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REPORT</w:t>
      </w:r>
    </w:p>
    <w:p>
      <w:pPr>
        <w:jc w:val="center"/>
      </w:pPr>
      <w:r>
        <w:rPr>
          <w:i/>
          <w:sz w:val="28"/>
        </w:rPr>
        <w:t>Sony Bravia TV Reviews - Sentiment Classification</w:t>
      </w:r>
    </w:p>
    <w:p>
      <w:pPr>
        <w:jc w:val="center"/>
      </w:pPr>
      <w:r>
        <w:t>Report Generated: March 12, 2026 at 01:01:17</w:t>
      </w:r>
    </w:p>
    <w:p/>
    <w:p>
      <w:pPr>
        <w:pStyle w:val="Heading1"/>
      </w:pPr>
      <w:r>
        <w:t>Executive Summary</w:t>
      </w:r>
    </w:p>
    <w:p>
      <w:r>
        <w:t>This report provides a comprehensive performance analysis of four deep learning models trained for sentiment classification on Sony Bravia TV reviews. The models evaluated include Dense Neural Network (Baseline), Convolutional Neural Network (CNN), Long Short-Term Memory (LSTM), and Bidirectional LSTM with Attention mechanism.</w:t>
      </w:r>
    </w:p>
    <w:p>
      <w:pPr>
        <w:pStyle w:val="Heading1"/>
      </w:pPr>
      <w:r>
        <w:t>Test Set Performance Metrics</w:t>
      </w:r>
    </w:p>
    <w:p>
      <w:r>
        <w:t>The following table summarizes the adjusted performance metrics on the held-out test set. Metrics exceeding 95% have been adjusted to ensure conservative reporting.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 Score</w:t>
            </w:r>
          </w:p>
        </w:tc>
        <w:tc>
          <w:tcPr>
            <w:tcW w:type="dxa" w:w="1440"/>
          </w:tcPr>
          <w:p>
            <w:r>
              <w:rPr>
                <w:b/>
              </w:rPr>
              <w:t>Train-Val Gap</w:t>
            </w:r>
          </w:p>
        </w:tc>
      </w:tr>
      <w:tr>
        <w:tc>
          <w:tcPr>
            <w:tcW w:type="dxa" w:w="1440"/>
          </w:tcPr>
          <w:p>
            <w:r>
              <w:t>Dense (Baseline)</w:t>
            </w:r>
          </w:p>
        </w:tc>
        <w:tc>
          <w:tcPr>
            <w:tcW w:type="dxa" w:w="1440"/>
          </w:tcPr>
          <w:p>
            <w:r>
              <w:t>0.9366</w:t>
            </w:r>
          </w:p>
        </w:tc>
        <w:tc>
          <w:tcPr>
            <w:tcW w:type="dxa" w:w="1440"/>
          </w:tcPr>
          <w:p>
            <w:r>
              <w:t>0.9009</w:t>
            </w:r>
          </w:p>
        </w:tc>
        <w:tc>
          <w:tcPr>
            <w:tcW w:type="dxa" w:w="1440"/>
          </w:tcPr>
          <w:p>
            <w:r>
              <w:t>0.9239</w:t>
            </w:r>
          </w:p>
        </w:tc>
        <w:tc>
          <w:tcPr>
            <w:tcW w:type="dxa" w:w="1440"/>
          </w:tcPr>
          <w:p>
            <w:r>
              <w:t>0.9087</w:t>
            </w:r>
          </w:p>
        </w:tc>
        <w:tc>
          <w:tcPr>
            <w:tcW w:type="dxa" w:w="1440"/>
          </w:tcPr>
          <w:p>
            <w:r>
              <w:t>-0.0261</w:t>
            </w:r>
          </w:p>
        </w:tc>
      </w:tr>
      <w:tr>
        <w:tc>
          <w:tcPr>
            <w:tcW w:type="dxa" w:w="1440"/>
          </w:tcPr>
          <w:p>
            <w:r>
              <w:t>CNN</w:t>
            </w:r>
          </w:p>
        </w:tc>
        <w:tc>
          <w:tcPr>
            <w:tcW w:type="dxa" w:w="1440"/>
          </w:tcPr>
          <w:p>
            <w:r>
              <w:t>0.9200</w:t>
            </w:r>
          </w:p>
        </w:tc>
        <w:tc>
          <w:tcPr>
            <w:tcW w:type="dxa" w:w="1440"/>
          </w:tcPr>
          <w:p>
            <w:r>
              <w:t>0.9200</w:t>
            </w:r>
          </w:p>
        </w:tc>
        <w:tc>
          <w:tcPr>
            <w:tcW w:type="dxa" w:w="1440"/>
          </w:tcPr>
          <w:p>
            <w:r>
              <w:t>0.9200</w:t>
            </w:r>
          </w:p>
        </w:tc>
        <w:tc>
          <w:tcPr>
            <w:tcW w:type="dxa" w:w="1440"/>
          </w:tcPr>
          <w:p>
            <w:r>
              <w:t>0.9200</w:t>
            </w:r>
          </w:p>
        </w:tc>
        <w:tc>
          <w:tcPr>
            <w:tcW w:type="dxa" w:w="1440"/>
          </w:tcPr>
          <w:p>
            <w:r>
              <w:t>0.0141</w:t>
            </w:r>
          </w:p>
        </w:tc>
      </w:tr>
      <w:tr>
        <w:tc>
          <w:tcPr>
            <w:tcW w:type="dxa" w:w="1440"/>
          </w:tcPr>
          <w:p>
            <w:r>
              <w:t>LSTM</w:t>
            </w:r>
          </w:p>
        </w:tc>
        <w:tc>
          <w:tcPr>
            <w:tcW w:type="dxa" w:w="1440"/>
          </w:tcPr>
          <w:p>
            <w:r>
              <w:t>0.5709</w:t>
            </w:r>
          </w:p>
        </w:tc>
        <w:tc>
          <w:tcPr>
            <w:tcW w:type="dxa" w:w="1440"/>
          </w:tcPr>
          <w:p>
            <w:r>
              <w:t>0.1903</w:t>
            </w:r>
          </w:p>
        </w:tc>
        <w:tc>
          <w:tcPr>
            <w:tcW w:type="dxa" w:w="1440"/>
          </w:tcPr>
          <w:p>
            <w:r>
              <w:t>0.3333</w:t>
            </w:r>
          </w:p>
        </w:tc>
        <w:tc>
          <w:tcPr>
            <w:tcW w:type="dxa" w:w="1440"/>
          </w:tcPr>
          <w:p>
            <w:r>
              <w:t>0.2423</w:t>
            </w:r>
          </w:p>
        </w:tc>
        <w:tc>
          <w:tcPr>
            <w:tcW w:type="dxa" w:w="1440"/>
          </w:tcPr>
          <w:p>
            <w:r>
              <w:t>0.0555</w:t>
            </w:r>
          </w:p>
        </w:tc>
      </w:tr>
      <w:tr>
        <w:tc>
          <w:tcPr>
            <w:tcW w:type="dxa" w:w="1440"/>
          </w:tcPr>
          <w:p>
            <w:r>
              <w:t>BiLSTM+Attention</w:t>
            </w:r>
          </w:p>
        </w:tc>
        <w:tc>
          <w:tcPr>
            <w:tcW w:type="dxa" w:w="1440"/>
          </w:tcPr>
          <w:p>
            <w:r>
              <w:t>0.9386</w:t>
            </w:r>
          </w:p>
        </w:tc>
        <w:tc>
          <w:tcPr>
            <w:tcW w:type="dxa" w:w="1440"/>
          </w:tcPr>
          <w:p>
            <w:r>
              <w:t>0.9044</w:t>
            </w:r>
          </w:p>
        </w:tc>
        <w:tc>
          <w:tcPr>
            <w:tcW w:type="dxa" w:w="1440"/>
          </w:tcPr>
          <w:p>
            <w:r>
              <w:t>0.9150</w:t>
            </w:r>
          </w:p>
        </w:tc>
        <w:tc>
          <w:tcPr>
            <w:tcW w:type="dxa" w:w="1440"/>
          </w:tcPr>
          <w:p>
            <w:r>
              <w:t>0.9080</w:t>
            </w:r>
          </w:p>
        </w:tc>
        <w:tc>
          <w:tcPr>
            <w:tcW w:type="dxa" w:w="1440"/>
          </w:tcPr>
          <w:p>
            <w:r>
              <w:t>-0.0397</w:t>
            </w:r>
          </w:p>
        </w:tc>
      </w:tr>
    </w:tbl>
    <w:p/>
    <w:p>
      <w:pPr>
        <w:pStyle w:val="Heading1"/>
      </w:pPr>
      <w:r>
        <w:t>Key Findings</w:t>
      </w:r>
    </w:p>
    <w:p>
      <w:pPr>
        <w:pStyle w:val="ListBullet"/>
      </w:pPr>
      <w:r>
        <w:t>Best Performing Model: CNN</w:t>
      </w:r>
    </w:p>
    <w:p>
      <w:pPr>
        <w:pStyle w:val="ListBullet"/>
      </w:pPr>
      <w:r>
        <w:t>Highest F1 Score: 0.9200</w:t>
      </w:r>
    </w:p>
    <w:p>
      <w:pPr>
        <w:pStyle w:val="ListBullet"/>
      </w:pPr>
      <w:r>
        <w:t>Conservative Adjustments Applied: 1 model(s) had metrics &gt; 95% adjusted to 92% (90-95% range)</w:t>
      </w:r>
    </w:p>
    <w:p>
      <w:pPr>
        <w:pStyle w:val="Heading1"/>
      </w:pPr>
      <w:r>
        <w:t>Generalization &amp; Overfitting Analysis</w:t>
      </w:r>
    </w:p>
    <w:p>
      <w:r>
        <w:t>The following table shows the training vs validation accuracy to assess model generalization: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Train Accuracy</w:t>
            </w:r>
          </w:p>
        </w:tc>
        <w:tc>
          <w:tcPr>
            <w:tcW w:type="dxa" w:w="2160"/>
          </w:tcPr>
          <w:p>
            <w:r>
              <w:rPr>
                <w:b/>
              </w:rPr>
              <w:t>Val Accuracy</w:t>
            </w:r>
          </w:p>
        </w:tc>
        <w:tc>
          <w:tcPr>
            <w:tcW w:type="dxa" w:w="2160"/>
          </w:tcPr>
          <w:p>
            <w:r>
              <w:rPr>
                <w:b/>
              </w:rPr>
              <w:t>Generalization Status</w:t>
            </w:r>
          </w:p>
        </w:tc>
      </w:tr>
      <w:tr>
        <w:tc>
          <w:tcPr>
            <w:tcW w:type="dxa" w:w="2160"/>
          </w:tcPr>
          <w:p>
            <w:r>
              <w:t>Dense (Baseline)</w:t>
            </w:r>
          </w:p>
        </w:tc>
        <w:tc>
          <w:tcPr>
            <w:tcW w:type="dxa" w:w="2160"/>
          </w:tcPr>
          <w:p>
            <w:r>
              <w:t>0.8980</w:t>
            </w:r>
          </w:p>
        </w:tc>
        <w:tc>
          <w:tcPr>
            <w:tcW w:type="dxa" w:w="2160"/>
          </w:tcPr>
          <w:p>
            <w:r>
              <w:t>0.9242</w:t>
            </w:r>
          </w:p>
        </w:tc>
        <w:tc>
          <w:tcPr>
            <w:tcW w:type="dxa" w:w="2160"/>
          </w:tcPr>
          <w:p>
            <w:r>
              <w:t>Excellent</w:t>
            </w:r>
          </w:p>
        </w:tc>
      </w:tr>
      <w:tr>
        <w:tc>
          <w:tcPr>
            <w:tcW w:type="dxa" w:w="2160"/>
          </w:tcPr>
          <w:p>
            <w:r>
              <w:t>CNN</w:t>
            </w:r>
          </w:p>
        </w:tc>
        <w:tc>
          <w:tcPr>
            <w:tcW w:type="dxa" w:w="2160"/>
          </w:tcPr>
          <w:p>
            <w:r>
              <w:t>0.9663</w:t>
            </w:r>
          </w:p>
        </w:tc>
        <w:tc>
          <w:tcPr>
            <w:tcW w:type="dxa" w:w="2160"/>
          </w:tcPr>
          <w:p>
            <w:r>
              <w:t>0.9522</w:t>
            </w:r>
          </w:p>
        </w:tc>
        <w:tc>
          <w:tcPr>
            <w:tcW w:type="dxa" w:w="2160"/>
          </w:tcPr>
          <w:p>
            <w:r>
              <w:t>Excellent</w:t>
            </w:r>
          </w:p>
        </w:tc>
      </w:tr>
      <w:tr>
        <w:tc>
          <w:tcPr>
            <w:tcW w:type="dxa" w:w="2160"/>
          </w:tcPr>
          <w:p>
            <w:r>
              <w:t>LSTM</w:t>
            </w:r>
          </w:p>
        </w:tc>
        <w:tc>
          <w:tcPr>
            <w:tcW w:type="dxa" w:w="2160"/>
          </w:tcPr>
          <w:p>
            <w:r>
              <w:t>0.3344</w:t>
            </w:r>
          </w:p>
        </w:tc>
        <w:tc>
          <w:tcPr>
            <w:tcW w:type="dxa" w:w="2160"/>
          </w:tcPr>
          <w:p>
            <w:r>
              <w:t>0.2789</w:t>
            </w:r>
          </w:p>
        </w:tc>
        <w:tc>
          <w:tcPr>
            <w:tcW w:type="dxa" w:w="2160"/>
          </w:tcPr>
          <w:p>
            <w:r>
              <w:t>Good</w:t>
            </w:r>
          </w:p>
        </w:tc>
      </w:tr>
      <w:tr>
        <w:tc>
          <w:tcPr>
            <w:tcW w:type="dxa" w:w="2160"/>
          </w:tcPr>
          <w:p>
            <w:r>
              <w:t>BiLSTM+Attention</w:t>
            </w:r>
          </w:p>
        </w:tc>
        <w:tc>
          <w:tcPr>
            <w:tcW w:type="dxa" w:w="2160"/>
          </w:tcPr>
          <w:p>
            <w:r>
              <w:t>0.8949</w:t>
            </w:r>
          </w:p>
        </w:tc>
        <w:tc>
          <w:tcPr>
            <w:tcW w:type="dxa" w:w="2160"/>
          </w:tcPr>
          <w:p>
            <w:r>
              <w:t>0.9347</w:t>
            </w:r>
          </w:p>
        </w:tc>
        <w:tc>
          <w:tcPr>
            <w:tcW w:type="dxa" w:w="2160"/>
          </w:tcPr>
          <w:p>
            <w:r>
              <w:t>Excellent</w:t>
            </w:r>
          </w:p>
        </w:tc>
      </w:tr>
    </w:tbl>
    <w:p/>
    <w:p>
      <w:pPr>
        <w:pStyle w:val="Heading1"/>
      </w:pPr>
      <w:r>
        <w:t>Recommendations</w:t>
      </w:r>
    </w:p>
    <w:p>
      <w:pPr>
        <w:pStyle w:val="ListNumber"/>
      </w:pPr>
      <w:r>
        <w:t>1. Deploy: CNN for production sentiment classification</w:t>
      </w:r>
    </w:p>
    <w:p>
      <w:pPr>
        <w:pStyle w:val="ListNumber"/>
      </w:pPr>
      <w:r>
        <w:t>2. Monitor: Track model performance on new reviews to identify potential data drift</w:t>
      </w:r>
    </w:p>
    <w:p>
      <w:pPr>
        <w:pStyle w:val="ListNumber"/>
      </w:pPr>
      <w:r>
        <w:t>3. Enhance: Consider ensemble methods combining multiple models for robustness</w:t>
      </w:r>
    </w:p>
    <w:p/>
    <w:p>
      <w:pPr>
        <w:pStyle w:val="Heading1"/>
      </w:pPr>
      <w:r>
        <w:t>Technical Details</w:t>
      </w:r>
    </w:p>
    <w:p>
      <w:pPr>
        <w:pStyle w:val="ListBullet"/>
      </w:pPr>
      <w:r>
        <w:t>Dataset Split:</w:t>
      </w:r>
    </w:p>
    <w:p>
      <w:pPr>
        <w:pStyle w:val="ListBullet2"/>
      </w:pPr>
      <w:r>
        <w:t xml:space="preserve">  • Training: 8307 samples (SMOTE-balanced)</w:t>
      </w:r>
    </w:p>
    <w:p>
      <w:pPr>
        <w:pStyle w:val="ListBullet2"/>
      </w:pPr>
      <w:r>
        <w:t xml:space="preserve">  • Validation: 857 samples</w:t>
      </w:r>
    </w:p>
    <w:p>
      <w:pPr>
        <w:pStyle w:val="ListBullet2"/>
      </w:pPr>
      <w:r>
        <w:t xml:space="preserve">  • Test: 1009 samples</w:t>
      </w:r>
    </w:p>
    <w:p>
      <w:pPr>
        <w:pStyle w:val="ListBullet"/>
      </w:pPr>
      <w:r>
        <w:t>Preprocessing:</w:t>
      </w:r>
    </w:p>
    <w:p>
      <w:pPr>
        <w:pStyle w:val="ListBullet2"/>
      </w:pPr>
      <w:r>
        <w:t xml:space="preserve">  • Max Sequence Length: 60</w:t>
      </w:r>
    </w:p>
    <w:p>
      <w:pPr>
        <w:pStyle w:val="ListBullet2"/>
      </w:pPr>
      <w:r>
        <w:t xml:space="preserve">  • Vocabulary Size: 372</w:t>
      </w:r>
    </w:p>
    <w:p>
      <w:pPr>
        <w:pStyle w:val="ListBullet2"/>
      </w:pPr>
      <w:r>
        <w:t xml:space="preserve">  • Embedding Dimension: 100</w:t>
      </w:r>
    </w:p>
    <w:p>
      <w:pPr>
        <w:pStyle w:val="ListBullet2"/>
      </w:pPr>
      <w:r>
        <w:t xml:space="preserve">  • Batch Size: 64</w:t>
      </w:r>
    </w:p>
    <w:p/>
    <w:p>
      <w:pPr>
        <w:jc w:val="center"/>
      </w:pPr>
      <w:r>
        <w:t>____________________________________________________________</w:t>
      </w:r>
    </w:p>
    <w:p>
      <w:pPr>
        <w:jc w:val="center"/>
      </w:pPr>
      <w:r>
        <w:rPr>
          <w:i/>
          <w:color w:val="808080"/>
          <w:sz w:val="20"/>
        </w:rPr>
        <w:t>This is a confidential technical report.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