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3A8A"/>
          <w:sz w:val="26"/>
        </w:rPr>
        <w:t>A PROJECT REPORT</w:t>
        <w:br/>
        <w:t>on</w:t>
      </w:r>
    </w:p>
    <w:p>
      <w:pPr>
        <w:spacing w:before="120" w:after="160"/>
        <w:jc w:val="center"/>
      </w:pPr>
      <w:r>
        <w:rPr>
          <w:b/>
          <w:color w:val="0F172A"/>
          <w:sz w:val="27"/>
        </w:rPr>
        <w:t>SMART TICKET UNDERSTANDING ENGINE:</w:t>
        <w:br/>
        <w:t>AN AI-POWERED NLP SYSTEM FOR INTENT CLASSIFICATION, SENTIMENT ANALYSIS, SLA-BASED PRIORITIZATION AND AUTOMATED ROUTING</w:t>
      </w:r>
    </w:p>
    <w:p>
      <w:pPr>
        <w:spacing w:before="0" w:after="120"/>
        <w:jc w:val="center"/>
      </w:pPr>
      <w:r>
        <w:rPr>
          <w:b/>
          <w:sz w:val="21"/>
        </w:rPr>
        <w:t>Submitted to</w:t>
        <w:br/>
        <w:t>JAWAHARLAL NEHRU TECHNOLOGICAL UNIVERSITY, HYDERABAD</w:t>
        <w:br/>
        <w:t>In partial fulfillment of the requirements for the award of the degree of</w:t>
        <w:br/>
        <w:t>BACHELOR OF TECHNOLOGY</w:t>
        <w:br/>
        <w:t>In</w:t>
        <w:br/>
        <w:t>COMPUTER SCIENCE AND ENGINEERING</w:t>
      </w:r>
    </w:p>
    <w:p>
      <w:pPr>
        <w:spacing w:before="80" w:after="80"/>
        <w:jc w:val="center"/>
      </w:pPr>
      <w:r>
        <w:rPr>
          <w:b/>
          <w:sz w:val="22"/>
        </w:rPr>
        <w:t>Submitted by</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4500"/>
        <w:gridCol w:w="4500"/>
      </w:tblGrid>
      <w:tr>
        <w:trPr>
          <w:cantSplit/>
          <w:tblHeader/>
        </w:trPr>
        <w:tc>
          <w:tcPr>
            <w:tcW w:type="dxa" w:w="4500"/>
            <w:shd w:fill="1e3a8a"/>
            <w:tcMar>
              <w:top w:w="40" w:type="dxa"/>
              <w:bottom w:w="40" w:type="dxa"/>
              <w:left w:w="80" w:type="dxa"/>
              <w:right w:w="80" w:type="dxa"/>
            </w:tcMar>
          </w:tcPr>
          <w:p>
            <w:pPr>
              <w:jc w:val="center"/>
            </w:pPr>
            <w:r>
              <w:rPr>
                <w:b/>
                <w:color w:val="FFFFFF"/>
                <w:sz w:val="21"/>
              </w:rPr>
              <w:t>Name of the Student</w:t>
            </w:r>
          </w:p>
        </w:tc>
        <w:tc>
          <w:tcPr>
            <w:tcW w:type="dxa" w:w="4500"/>
            <w:shd w:fill="1e3a8a"/>
            <w:tcMar>
              <w:top w:w="40" w:type="dxa"/>
              <w:bottom w:w="40" w:type="dxa"/>
              <w:left w:w="80" w:type="dxa"/>
              <w:right w:w="80" w:type="dxa"/>
            </w:tcMar>
          </w:tcPr>
          <w:p>
            <w:pPr>
              <w:jc w:val="center"/>
            </w:pPr>
            <w:r>
              <w:rPr>
                <w:b/>
                <w:color w:val="FFFFFF"/>
                <w:sz w:val="21"/>
              </w:rPr>
              <w:t>Hall Ticket No.</w:t>
            </w:r>
          </w:p>
        </w:tc>
      </w:tr>
      <w:tr>
        <w:trPr>
          <w:cantSplit/>
        </w:trPr>
        <w:tc>
          <w:tcPr>
            <w:tcW w:type="dxa" w:w="4500"/>
            <w:tcMar>
              <w:top w:w="35" w:type="dxa"/>
              <w:bottom w:w="35" w:type="dxa"/>
              <w:left w:w="60" w:type="dxa"/>
              <w:right w:w="60" w:type="dxa"/>
            </w:tcMar>
          </w:tcPr>
          <w:p>
            <w:r>
              <w:rPr>
                <w:b/>
                <w:sz w:val="20"/>
              </w:rPr>
              <w:t>NAYAKAM SATYAJEET</w:t>
            </w:r>
          </w:p>
        </w:tc>
        <w:tc>
          <w:tcPr>
            <w:tcW w:type="dxa" w:w="4500"/>
            <w:tcMar>
              <w:top w:w="35" w:type="dxa"/>
              <w:bottom w:w="35" w:type="dxa"/>
              <w:left w:w="60" w:type="dxa"/>
              <w:right w:w="60" w:type="dxa"/>
            </w:tcMar>
          </w:tcPr>
          <w:p>
            <w:pPr>
              <w:jc w:val="center"/>
            </w:pPr>
            <w:r>
              <w:rPr>
                <w:sz w:val="20"/>
              </w:rPr>
              <w:t>237Y1A0540</w:t>
            </w:r>
          </w:p>
        </w:tc>
      </w:tr>
      <w:tr>
        <w:trPr>
          <w:cantSplit/>
        </w:trPr>
        <w:tc>
          <w:tcPr>
            <w:tcW w:type="dxa" w:w="4500"/>
            <w:tcMar>
              <w:top w:w="35" w:type="dxa"/>
              <w:bottom w:w="35" w:type="dxa"/>
              <w:left w:w="60" w:type="dxa"/>
              <w:right w:w="60" w:type="dxa"/>
            </w:tcMar>
            <w:shd w:fill="f8fafc"/>
          </w:tcPr>
          <w:p>
            <w:r>
              <w:rPr>
                <w:b/>
                <w:sz w:val="20"/>
              </w:rPr>
              <w:t>JAKKU HARIKA</w:t>
            </w:r>
          </w:p>
        </w:tc>
        <w:tc>
          <w:tcPr>
            <w:tcW w:type="dxa" w:w="4500"/>
            <w:tcMar>
              <w:top w:w="35" w:type="dxa"/>
              <w:bottom w:w="35" w:type="dxa"/>
              <w:left w:w="60" w:type="dxa"/>
              <w:right w:w="60" w:type="dxa"/>
            </w:tcMar>
            <w:shd w:fill="f8fafc"/>
          </w:tcPr>
          <w:p>
            <w:pPr>
              <w:jc w:val="center"/>
            </w:pPr>
            <w:r>
              <w:rPr>
                <w:sz w:val="20"/>
              </w:rPr>
              <w:t>237Y1A0570</w:t>
            </w:r>
          </w:p>
        </w:tc>
      </w:tr>
      <w:tr>
        <w:trPr>
          <w:cantSplit/>
        </w:trPr>
        <w:tc>
          <w:tcPr>
            <w:tcW w:type="dxa" w:w="4500"/>
            <w:tcMar>
              <w:top w:w="35" w:type="dxa"/>
              <w:bottom w:w="35" w:type="dxa"/>
              <w:left w:w="60" w:type="dxa"/>
              <w:right w:w="60" w:type="dxa"/>
            </w:tcMar>
          </w:tcPr>
          <w:p>
            <w:r>
              <w:rPr>
                <w:b/>
                <w:sz w:val="20"/>
              </w:rPr>
              <w:t>SHERLA LOHITH KUMAR</w:t>
            </w:r>
          </w:p>
        </w:tc>
        <w:tc>
          <w:tcPr>
            <w:tcW w:type="dxa" w:w="4500"/>
            <w:tcMar>
              <w:top w:w="35" w:type="dxa"/>
              <w:bottom w:w="35" w:type="dxa"/>
              <w:left w:w="60" w:type="dxa"/>
              <w:right w:w="60" w:type="dxa"/>
            </w:tcMar>
          </w:tcPr>
          <w:p>
            <w:pPr>
              <w:jc w:val="center"/>
            </w:pPr>
            <w:r>
              <w:rPr>
                <w:sz w:val="20"/>
              </w:rPr>
              <w:t>237Y1A0574</w:t>
            </w:r>
          </w:p>
        </w:tc>
      </w:tr>
      <w:tr>
        <w:trPr>
          <w:cantSplit/>
        </w:trPr>
        <w:tc>
          <w:tcPr>
            <w:tcW w:type="dxa" w:w="4500"/>
            <w:tcMar>
              <w:top w:w="35" w:type="dxa"/>
              <w:bottom w:w="35" w:type="dxa"/>
              <w:left w:w="60" w:type="dxa"/>
              <w:right w:w="60" w:type="dxa"/>
            </w:tcMar>
            <w:shd w:fill="f8fafc"/>
          </w:tcPr>
          <w:p>
            <w:r>
              <w:rPr>
                <w:b/>
                <w:sz w:val="20"/>
              </w:rPr>
              <w:t>MAMIDALA VARUN</w:t>
            </w:r>
          </w:p>
        </w:tc>
        <w:tc>
          <w:tcPr>
            <w:tcW w:type="dxa" w:w="4500"/>
            <w:tcMar>
              <w:top w:w="35" w:type="dxa"/>
              <w:bottom w:w="35" w:type="dxa"/>
              <w:left w:w="60" w:type="dxa"/>
              <w:right w:w="60" w:type="dxa"/>
            </w:tcMar>
            <w:shd w:fill="f8fafc"/>
          </w:tcPr>
          <w:p>
            <w:pPr>
              <w:jc w:val="center"/>
            </w:pPr>
            <w:r>
              <w:rPr>
                <w:sz w:val="20"/>
              </w:rPr>
              <w:t>237Y1A05A5</w:t>
            </w:r>
          </w:p>
        </w:tc>
      </w:tr>
    </w:tbl>
    <w:p>
      <w:pPr>
        <w:spacing w:before="120" w:after="40"/>
        <w:jc w:val="center"/>
      </w:pPr>
      <w:r>
        <w:rPr>
          <w:b/>
          <w:color w:val="9A3412"/>
          <w:sz w:val="20"/>
        </w:rPr>
        <w:t>Under the Guidance of</w:t>
        <w:br/>
      </w:r>
      <w:r>
        <w:rPr>
          <w:b/>
          <w:sz w:val="23"/>
        </w:rPr>
        <w:t>Dr. PARVEZ</w:t>
        <w:br/>
      </w:r>
      <w:r>
        <w:rPr>
          <w:sz w:val="20"/>
        </w:rPr>
        <w:t>Associate Professor, Department of CSE</w:t>
      </w:r>
    </w:p>
    <w:p>
      <w:pPr>
        <w:spacing w:before="120" w:after="0"/>
        <w:jc w:val="center"/>
      </w:pPr>
      <w:r>
        <w:rPr>
          <w:b/>
          <w:color w:val="1D4ED8"/>
          <w:sz w:val="23"/>
        </w:rPr>
        <w:t>Department of Computer Science and Engineering</w:t>
        <w:br/>
      </w:r>
      <w:r>
        <w:rPr>
          <w:b/>
          <w:color w:val="B91C1C"/>
          <w:sz w:val="24"/>
        </w:rPr>
        <w:t>MARRI LAXMAN REDDY INSTITUTE OF TECHNOLOGY &amp; MANAGEMENT</w:t>
        <w:br/>
      </w:r>
      <w:r>
        <w:rPr>
          <w:sz w:val="18"/>
        </w:rPr>
        <w:t>(AN AUTONOMOUS INSTITUTION)</w:t>
        <w:br/>
        <w:t>(Approved by AICTE, New Delhi &amp; Affiliated to JNTUH, Hyderabad)</w:t>
        <w:br/>
        <w:t>Dundigal, Hyderabad – 500 043, Telangana, India</w:t>
        <w:br/>
        <w:t>Academic Year 2025–2026</w:t>
      </w:r>
    </w:p>
    <w:p>
      <w:pPr>
        <w:sectPr>
          <w:headerReference w:type="default" r:id="rId9"/>
          <w:footerReference w:type="default" r:id="rId10"/>
          <w:pgSz w:w="12240" w:h="15840"/>
          <w:pgMar w:top="1152" w:right="1440" w:bottom="1152" w:left="1800" w:header="720" w:footer="720" w:gutter="0"/>
          <w:cols w:space="720"/>
          <w:docGrid w:linePitch="360"/>
        </w:sectPr>
      </w:pPr>
    </w:p>
    <w:p>
      <w:pPr>
        <w:spacing w:before="0" w:after="40"/>
        <w:jc w:val="center"/>
      </w:pPr>
      <w:r>
        <w:rPr>
          <w:b/>
          <w:color w:val="B91C1C"/>
          <w:sz w:val="25"/>
        </w:rPr>
        <w:t>MARRI LAXMAN REDDY</w:t>
        <w:br/>
        <w:t>INSTITUTE OF TECHNOLOGY &amp; MANAGEMENT</w:t>
        <w:br/>
      </w:r>
      <w:r>
        <w:rPr>
          <w:sz w:val="19"/>
        </w:rPr>
        <w:t>(AN AUTONOMOUS INSTITUTION)</w:t>
        <w:br/>
        <w:t>(Approved by AICTE, New Delhi &amp; Affiliated to JNTUH, Hyderabad)</w:t>
        <w:br/>
        <w:t>NAAC Accredited Institution with 'A' Grade</w:t>
        <w:br/>
      </w:r>
      <w:r>
        <w:rPr>
          <w:b/>
          <w:color w:val="1D4ED8"/>
          <w:sz w:val="23"/>
        </w:rPr>
        <w:t>Department of Computer Science and Engineering</w:t>
        <w:br/>
      </w:r>
    </w:p>
    <w:p>
      <w:pPr>
        <w:spacing w:before="80" w:after="160"/>
        <w:jc w:val="center"/>
      </w:pPr>
      <w:r>
        <w:rPr>
          <w:b/>
          <w:sz w:val="27"/>
          <w:u w:val="single"/>
        </w:rPr>
        <w:t>CERTIFICATE</w:t>
      </w:r>
    </w:p>
    <w:p>
      <w:pPr>
        <w:spacing w:before="0" w:after="120" w:line="288" w:lineRule="auto"/>
        <w:jc w:val="both"/>
      </w:pPr>
      <w:r>
        <w:rPr>
          <w:rFonts w:ascii="Times New Roman" w:hAnsi="Times New Roman"/>
          <w:color w:val="111827"/>
          <w:sz w:val="23"/>
        </w:rPr>
        <w:t>This is to certify that the project work entitled "SMART TICKET UNDERSTANDING ENGINE" is a bonafide work carried out by NAYAKAM SATYAJEET (237Y1A0540), JAKKU HARIKA (237Y1A0570), SHERLA LOHITH KUMAR (237Y1A0574), and MAMIDALA VARUN (237Y1A05A5), students of the Department of Computer Science and Engineering, Marri Laxman Reddy Institute of Technology &amp; Management, during the academic year 2025–2026, under the guidance and supervision of Dr. PARVEZ, Associate Professor, Department of CSE.</w:t>
      </w:r>
    </w:p>
    <w:p>
      <w:pPr>
        <w:spacing w:before="0" w:after="160" w:line="288" w:lineRule="auto"/>
        <w:jc w:val="both"/>
      </w:pPr>
      <w:r>
        <w:rPr>
          <w:rFonts w:ascii="Times New Roman" w:hAnsi="Times New Roman"/>
          <w:color w:val="111827"/>
          <w:sz w:val="23"/>
        </w:rPr>
        <w:t>This project report is submitted in partial fulfillment of the requirements for the award of the degree of Bachelor of Technology in Computer Science and Engineering by Jawaharlal Nehru Technological University Hyderabad, Telangana. The matter embodied in this report has not been submitted by the candidates to any other University or Institution for the award of any degree or diploma.</w:t>
      </w:r>
    </w:p>
    <w:p>
      <w:pPr>
        <w:spacing w:before="80" w:after="160"/>
        <w:jc w:val="center"/>
      </w:pPr>
      <w:r>
        <w:rPr>
          <w:b/>
          <w:sz w:val="21"/>
        </w:rPr>
        <w:t>NAYAKAM SATYAJEET (237Y1A0540)             JAKKU HARIKA (237Y1A0570)</w:t>
        <w:br/>
        <w:t>SHERLA LOHITH KUMAR (237Y1A0574)          MAMIDALA VARUN (237Y1A05A5)</w:t>
      </w:r>
    </w:p>
    <w:p>
      <w:pPr>
        <w:spacing w:after="160"/>
      </w:pPr>
      <w:r>
        <w:t>Date: ____________________</w:t>
        <w:br/>
        <w:br/>
        <w:t>The Viva-Voce Examination of the above candidates has been held on: ____________________</w:t>
      </w:r>
    </w:p>
    <w:tbl>
      <w:tblPr>
        <w:tblW w:type="auto" w:w="0"/>
        <w:jc w:val="center"/>
        <w:tblLook w:firstColumn="1" w:firstRow="1" w:lastColumn="0" w:lastRow="0" w:noHBand="0" w:noVBand="1" w:val="04A0"/>
      </w:tblPr>
      <w:tblGrid>
        <w:gridCol w:w="3000"/>
        <w:gridCol w:w="3000"/>
        <w:gridCol w:w="3000"/>
      </w:tblGrid>
      <w:tr>
        <w:tc>
          <w:tcPr>
            <w:tcW w:type="dxa" w:w="3000"/>
          </w:tcPr>
          <w:p>
            <w:r>
              <w:rPr>
                <w:b/>
              </w:rPr>
              <w:t>Dr. PARVEZ</w:t>
              <w:br/>
              <w:t>Internal Guide</w:t>
            </w:r>
          </w:p>
        </w:tc>
        <w:tc>
          <w:tcPr>
            <w:tcW w:type="dxa" w:w="3000"/>
          </w:tcPr>
          <w:p>
            <w:r>
              <w:rPr>
                <w:b/>
              </w:rPr>
              <w:t>Dr. K. ABDUL BASITH</w:t>
              <w:br/>
              <w:t>Head of the Department</w:t>
            </w:r>
          </w:p>
        </w:tc>
        <w:tc>
          <w:tcPr>
            <w:tcW w:type="dxa" w:w="3000"/>
          </w:tcPr>
          <w:p>
            <w:r>
              <w:rPr>
                <w:b/>
              </w:rPr>
              <w:t>External Examiner</w:t>
              <w:br/>
            </w:r>
          </w:p>
        </w:tc>
      </w:tr>
      <w:tr>
        <w:tc>
          <w:tcPr>
            <w:tcW w:type="dxa" w:w="3000"/>
          </w:tcPr>
          <w:p/>
        </w:tc>
        <w:tc>
          <w:tcPr>
            <w:tcW w:type="dxa" w:w="3000"/>
          </w:tcPr>
          <w:p>
            <w:r>
              <w:rPr>
                <w:b/>
              </w:rPr>
              <w:br/>
              <w:br/>
              <w:t>Dr. R. MURALI PRASAD</w:t>
              <w:br/>
              <w:t>Principal / Director</w:t>
            </w:r>
          </w:p>
        </w:tc>
        <w:tc>
          <w:tcPr>
            <w:tcW w:type="dxa" w:w="3000"/>
          </w:tcPr>
          <w:p/>
        </w:tc>
      </w:tr>
    </w:tbl>
    <w:p>
      <w:r>
        <w:br w:type="page"/>
      </w:r>
    </w:p>
    <w:p>
      <w:pPr>
        <w:spacing w:before="160" w:after="240"/>
        <w:jc w:val="center"/>
      </w:pPr>
      <w:r>
        <w:rPr>
          <w:b/>
          <w:sz w:val="27"/>
          <w:u w:val="single"/>
        </w:rPr>
        <w:t>DECLARATION</w:t>
      </w:r>
    </w:p>
    <w:p>
      <w:pPr>
        <w:spacing w:before="0" w:after="160" w:line="288" w:lineRule="auto"/>
        <w:jc w:val="both"/>
      </w:pPr>
      <w:r>
        <w:rPr>
          <w:rFonts w:ascii="Times New Roman" w:hAnsi="Times New Roman"/>
          <w:color w:val="111827"/>
          <w:sz w:val="23"/>
        </w:rPr>
        <w:t>We hereby declare that the project work entitled "SMART TICKET UNDERSTANDING ENGINE" is an authentic record of our own research and development work carried out in the Department of Computer Science and Engineering, Marri Laxman Reddy Institute of Technology &amp; Management, Dundigal, Hyderabad, affiliated to Jawaharlal Nehru Technological University Hyderabad, under the guidance of Dr. PARVEZ, Associate Professor, Department of CSE.</w:t>
      </w:r>
    </w:p>
    <w:p>
      <w:pPr>
        <w:spacing w:before="0" w:after="320" w:line="288" w:lineRule="auto"/>
        <w:jc w:val="both"/>
      </w:pPr>
      <w:r>
        <w:rPr>
          <w:rFonts w:ascii="Times New Roman" w:hAnsi="Times New Roman"/>
          <w:color w:val="111827"/>
          <w:sz w:val="23"/>
        </w:rPr>
        <w:t>We further declare that the results, analytical models, and software architectures presented in this project report have not been submitted to any other university, institute, or examining body for the award of any degree, diploma, fellowship, or other similar titles.</w:t>
      </w:r>
    </w:p>
    <w:p>
      <w:pPr>
        <w:spacing w:before="240" w:line="312" w:lineRule="auto"/>
      </w:pPr>
      <w:r>
        <w:rPr>
          <w:b/>
        </w:rPr>
        <w:t xml:space="preserve">Date: </w:t>
        <w:br/>
        <w:t>Place: Hyderabad</w:t>
        <w:br/>
        <w:br/>
        <w:t>Student Name: NAYAKAM SATYAJEET [Reg No: 237Y1A0540]</w:t>
        <w:br/>
        <w:t>Student Name: JAKKU HARIKA      [Reg No: 237Y1A0570]</w:t>
        <w:br/>
        <w:t>Student Name: SHERLA LOHITH KUMAR [Reg No: 237Y1A0574]</w:t>
        <w:br/>
        <w:t>Student Name: MAMIDALA VARUN    [Reg No: 237Y1A05A5]</w:t>
      </w:r>
    </w:p>
    <w:p>
      <w:r>
        <w:br w:type="page"/>
      </w:r>
    </w:p>
    <w:p>
      <w:pPr>
        <w:spacing w:before="160" w:after="240"/>
        <w:jc w:val="center"/>
      </w:pPr>
      <w:r>
        <w:rPr>
          <w:b/>
          <w:sz w:val="27"/>
          <w:u w:val="single"/>
        </w:rPr>
        <w:t>ACKNOWLEDGEMENT</w:t>
      </w:r>
    </w:p>
    <w:p>
      <w:pPr>
        <w:spacing w:before="0" w:after="100" w:line="288" w:lineRule="auto"/>
        <w:jc w:val="both"/>
      </w:pPr>
      <w:r>
        <w:rPr>
          <w:rFonts w:ascii="Times New Roman" w:hAnsi="Times New Roman"/>
          <w:color w:val="111827"/>
          <w:sz w:val="23"/>
        </w:rPr>
        <w:t>We express our profound sense of gratitude to Dr. R. MURALI PRASAD, Principal, Marri Laxman Reddy Institute of Technology &amp; Management, for his visionary leadership, continuous encouragement, and for providing state-of-the-art computational infrastructure to pursue our project work successfully.</w:t>
      </w:r>
    </w:p>
    <w:p>
      <w:pPr>
        <w:spacing w:before="0" w:after="100" w:line="288" w:lineRule="auto"/>
        <w:jc w:val="both"/>
      </w:pPr>
      <w:r>
        <w:rPr>
          <w:rFonts w:ascii="Times New Roman" w:hAnsi="Times New Roman"/>
          <w:color w:val="111827"/>
          <w:sz w:val="23"/>
        </w:rPr>
        <w:t>We take immense pleasure in expressing our deep gratitude and heartfelt thanks to Dr. K. ABDUL BASITH, Professor and Head of the Department of Computer Science and Engineering, for providing academic freedom, valuable facilities, access to computing laboratories, and a constructive environment throughout the tenure of our project.</w:t>
      </w:r>
    </w:p>
    <w:p>
      <w:pPr>
        <w:spacing w:before="0" w:after="100" w:line="288" w:lineRule="auto"/>
        <w:jc w:val="both"/>
      </w:pPr>
      <w:r>
        <w:rPr>
          <w:rFonts w:ascii="Times New Roman" w:hAnsi="Times New Roman"/>
          <w:color w:val="111827"/>
          <w:sz w:val="23"/>
        </w:rPr>
        <w:t>We are especially grateful and deeply indebted to our esteemed project guide, Dr. PARVEZ, Associate Professor, Department of Computer Science and Engineering, for his invaluable guidance, technical insights, inspiring mentorship, and patient feedback at every stage of the project design, modeling, and experimentation.</w:t>
      </w:r>
    </w:p>
    <w:p>
      <w:pPr>
        <w:spacing w:before="0" w:after="100" w:line="288" w:lineRule="auto"/>
        <w:jc w:val="both"/>
      </w:pPr>
      <w:r>
        <w:rPr>
          <w:rFonts w:ascii="Times New Roman" w:hAnsi="Times New Roman"/>
          <w:color w:val="111827"/>
          <w:sz w:val="23"/>
        </w:rPr>
        <w:t>We sincerely acknowledge all the teaching faculty and non-teaching staff members of the Department of Computer Science and Engineering for their direct and indirect support, technical assistance, and continuous encouragement.</w:t>
      </w:r>
    </w:p>
    <w:p>
      <w:pPr>
        <w:spacing w:before="0" w:after="100" w:line="288" w:lineRule="auto"/>
        <w:jc w:val="both"/>
      </w:pPr>
      <w:r>
        <w:rPr>
          <w:rFonts w:ascii="Times New Roman" w:hAnsi="Times New Roman"/>
          <w:color w:val="111827"/>
          <w:sz w:val="23"/>
        </w:rPr>
        <w:t>Last but never least, we express our heartfelt love and indebtedness to our parents and family members for their unconditional moral support, sacrifices, and encouragement that enabled us to achieve our goals.</w:t>
      </w:r>
    </w:p>
    <w:p>
      <w:pPr>
        <w:spacing w:before="240"/>
        <w:jc w:val="right"/>
      </w:pPr>
      <w:r>
        <w:rPr>
          <w:b/>
        </w:rPr>
        <w:t>NAYAKAM SATYAJEET (237Y1A0540)</w:t>
        <w:br/>
        <w:t>JAKKU HARIKA (237Y1A0570)</w:t>
        <w:br/>
        <w:t>SHERLA LOHITH KUMAR (237Y1A0574)</w:t>
        <w:br/>
        <w:t>MAMIDALA VARUN (237Y1A05A5)</w:t>
      </w:r>
    </w:p>
    <w:p>
      <w:r>
        <w:br w:type="page"/>
      </w:r>
    </w:p>
    <w:p>
      <w:pPr>
        <w:spacing w:before="160" w:after="240"/>
        <w:jc w:val="center"/>
      </w:pPr>
      <w:r>
        <w:rPr>
          <w:b/>
          <w:sz w:val="27"/>
          <w:u w:val="single"/>
        </w:rPr>
        <w:t>ABSTRACT</w:t>
      </w:r>
    </w:p>
    <w:p>
      <w:pPr>
        <w:spacing w:before="0" w:after="100" w:line="288" w:lineRule="auto"/>
        <w:jc w:val="both"/>
      </w:pPr>
      <w:r>
        <w:rPr>
          <w:rFonts w:ascii="Times New Roman" w:hAnsi="Times New Roman"/>
          <w:color w:val="111827"/>
          <w:sz w:val="23"/>
        </w:rPr>
        <w:t>Modern enterprise customer support organizations and IT Service Management (ITSM) divisions face unprecedented inbound communication volumes across fragmented channels including web forms, emails, and live chat transcripts. Manually triaging, classifying, prioritizing, and researching these tickets incurs severe operational bottlenecks: extended queue wait times (hours to days), inconsistent subjective classification (~18% routing error rate), and soaring labor costs. While monolithic deep learning and Cloud Large Language Models (LLMs) offer strong linguistic fluency, they demand costly GPU infrastructure, exhibit high inference latency (&gt;100 ms), suffer from unpredictable hallucinations, and present data privacy barriers under banking regulations.</w:t>
      </w:r>
    </w:p>
    <w:p>
      <w:pPr>
        <w:spacing w:before="0" w:after="100" w:line="288" w:lineRule="auto"/>
        <w:jc w:val="both"/>
      </w:pPr>
      <w:r>
        <w:rPr>
          <w:rFonts w:ascii="Times New Roman" w:hAnsi="Times New Roman"/>
          <w:color w:val="111827"/>
          <w:sz w:val="23"/>
        </w:rPr>
        <w:t>To resolve this industrial bottleneck, this project presents the Smart Ticket Understanding Engine, a production-grade, air-gapped Natural Language Understanding (NLU) system designed for 100% offline execution on standard commodity enterprise CPUs. The architecture unifies a dual-view character-and-word n-gram representation with a calibrated hybrid cascade merging non-parametric k-Nearest Neighbor (kNN) retrieval and temperature-scaled Support Vector Classifiers (LinearSVC). To enforce operational safety, the engine integrates split-conformal risk control with an empirical non-conformity threshold (alpha = 0.10), automatically deflecting &gt;90% of routine inquiries at 100.00% precision while routing ambiguous queries to human agents with grounded, hallucination-resistant ReAct draft responses and domain entity extraction (transaction IDs, error codes, payment rails, and currency amounts).</w:t>
      </w:r>
    </w:p>
    <w:p>
      <w:pPr>
        <w:spacing w:before="0" w:after="100" w:line="288" w:lineRule="auto"/>
        <w:jc w:val="both"/>
      </w:pPr>
      <w:r>
        <w:rPr>
          <w:rFonts w:ascii="Times New Roman" w:hAnsi="Times New Roman"/>
          <w:color w:val="111827"/>
          <w:sz w:val="23"/>
        </w:rPr>
        <w:t>Benchmarked on the standard Banking77 corpus (1,963 test tickets), the engine achieves 94.60% accuracy and 94.43% Macro-F1 with an Expected Calibration Error (ECE) of 0.0170, running in just 33.3 ms per ticket on CPU with an ultra-compact 1.6 MB footprint. A rigorous McNemar paired test (p = 0.6061 &gt; 0.05) confirms that the cascade delivers classification accuracy statistically indistinguishable from fine-tuned DistilBERT (94.91%), while running 3.17× faster and consuming 167× less memory. Operational simulation indicates a 55% reduction in Mean Time to Resolution (MTTR) and substantial enterprise cost savings.</w:t>
      </w:r>
    </w:p>
    <w:p>
      <w:pPr>
        <w:spacing w:before="120"/>
        <w:jc w:val="both"/>
      </w:pPr>
      <w:r>
        <w:rPr>
          <w:b/>
          <w:color w:val="1E3A8A"/>
        </w:rPr>
        <w:t xml:space="preserve">Keywords: </w:t>
      </w:r>
      <w:r>
        <w:t>Natural Language Understanding (NLU), Intent Classification, Conformal Prediction, ITIL SLA Prioritization, ReAct Advisory Agent, Cascade Classifier, Dual-View TF-IDF, CPU Edge Serving.</w:t>
      </w:r>
    </w:p>
    <w:p>
      <w:r>
        <w:br w:type="page"/>
      </w:r>
    </w:p>
    <w:p>
      <w:pPr>
        <w:spacing w:before="80" w:after="160"/>
        <w:jc w:val="center"/>
      </w:pPr>
      <w:r>
        <w:rPr>
          <w:b/>
          <w:sz w:val="27"/>
          <w:u w:val="single"/>
        </w:rPr>
        <w:t>INDEX / TABLE OF CONTENTS</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4500"/>
        <w:gridCol w:w="4500"/>
      </w:tblGrid>
      <w:tr>
        <w:trPr>
          <w:cantSplit/>
          <w:tblHeader/>
        </w:trPr>
        <w:tc>
          <w:tcPr>
            <w:tcW w:type="dxa" w:w="4500"/>
            <w:shd w:fill="1e3a8a"/>
          </w:tcPr>
          <w:p>
            <w:r>
              <w:rPr>
                <w:b/>
                <w:color w:val="FFFFFF"/>
              </w:rPr>
              <w:t>TABLE OF CONTENTS</w:t>
            </w:r>
          </w:p>
        </w:tc>
        <w:tc>
          <w:tcPr>
            <w:tcW w:type="dxa" w:w="4500"/>
            <w:shd w:fill="1e3a8a"/>
          </w:tcPr>
          <w:p>
            <w:pPr>
              <w:jc w:val="right"/>
            </w:pPr>
            <w:r>
              <w:rPr>
                <w:b/>
                <w:color w:val="FFFFFF"/>
              </w:rPr>
              <w:t>PAGE NO.</w:t>
            </w:r>
          </w:p>
        </w:tc>
      </w:tr>
      <w:tr>
        <w:trPr>
          <w:cantSplit/>
        </w:trPr>
        <w:tc>
          <w:tcPr>
            <w:tcW w:type="dxa" w:w="4500"/>
            <w:tcMar>
              <w:top w:w="30" w:type="dxa"/>
              <w:bottom w:w="30" w:type="dxa"/>
              <w:left w:w="60" w:type="dxa"/>
              <w:right w:w="60" w:type="dxa"/>
            </w:tcMar>
          </w:tcPr>
          <w:p>
            <w:pPr>
              <w:spacing w:before="20" w:after="20"/>
            </w:pPr>
            <w:r>
              <w:rPr>
                <w:b/>
              </w:rPr>
              <w:t>Certificate</w:t>
            </w:r>
          </w:p>
        </w:tc>
        <w:tc>
          <w:tcPr>
            <w:tcW w:type="dxa" w:w="4500"/>
            <w:tcMar>
              <w:top w:w="30" w:type="dxa"/>
              <w:bottom w:w="30" w:type="dxa"/>
              <w:left w:w="60" w:type="dxa"/>
              <w:right w:w="60" w:type="dxa"/>
            </w:tcMar>
          </w:tcPr>
          <w:p>
            <w:pPr>
              <w:spacing w:before="20" w:after="20"/>
              <w:jc w:val="right"/>
            </w:pPr>
            <w:r>
              <w:t>ii</w:t>
            </w:r>
          </w:p>
        </w:tc>
      </w:tr>
      <w:tr>
        <w:trPr>
          <w:cantSplit/>
        </w:trPr>
        <w:tc>
          <w:tcPr>
            <w:tcW w:type="dxa" w:w="4500"/>
            <w:tcMar>
              <w:top w:w="30" w:type="dxa"/>
              <w:bottom w:w="30" w:type="dxa"/>
              <w:left w:w="60" w:type="dxa"/>
              <w:right w:w="60" w:type="dxa"/>
            </w:tcMar>
            <w:shd w:fill="f8fafc"/>
          </w:tcPr>
          <w:p>
            <w:pPr>
              <w:spacing w:before="20" w:after="20"/>
            </w:pPr>
            <w:r>
              <w:rPr>
                <w:b/>
              </w:rPr>
              <w:t>Declaration</w:t>
            </w:r>
          </w:p>
        </w:tc>
        <w:tc>
          <w:tcPr>
            <w:tcW w:type="dxa" w:w="4500"/>
            <w:tcMar>
              <w:top w:w="30" w:type="dxa"/>
              <w:bottom w:w="30" w:type="dxa"/>
              <w:left w:w="60" w:type="dxa"/>
              <w:right w:w="60" w:type="dxa"/>
            </w:tcMar>
            <w:shd w:fill="f8fafc"/>
          </w:tcPr>
          <w:p>
            <w:pPr>
              <w:spacing w:before="20" w:after="20"/>
              <w:jc w:val="right"/>
            </w:pPr>
            <w:r>
              <w:t>iii</w:t>
            </w:r>
          </w:p>
        </w:tc>
      </w:tr>
      <w:tr>
        <w:trPr>
          <w:cantSplit/>
        </w:trPr>
        <w:tc>
          <w:tcPr>
            <w:tcW w:type="dxa" w:w="4500"/>
            <w:tcMar>
              <w:top w:w="30" w:type="dxa"/>
              <w:bottom w:w="30" w:type="dxa"/>
              <w:left w:w="60" w:type="dxa"/>
              <w:right w:w="60" w:type="dxa"/>
            </w:tcMar>
          </w:tcPr>
          <w:p>
            <w:pPr>
              <w:spacing w:before="20" w:after="20"/>
            </w:pPr>
            <w:r>
              <w:rPr>
                <w:b/>
              </w:rPr>
              <w:t>Acknowledgement</w:t>
            </w:r>
          </w:p>
        </w:tc>
        <w:tc>
          <w:tcPr>
            <w:tcW w:type="dxa" w:w="4500"/>
            <w:tcMar>
              <w:top w:w="30" w:type="dxa"/>
              <w:bottom w:w="30" w:type="dxa"/>
              <w:left w:w="60" w:type="dxa"/>
              <w:right w:w="60" w:type="dxa"/>
            </w:tcMar>
          </w:tcPr>
          <w:p>
            <w:pPr>
              <w:spacing w:before="20" w:after="20"/>
              <w:jc w:val="right"/>
            </w:pPr>
            <w:r>
              <w:t>iv</w:t>
            </w:r>
          </w:p>
        </w:tc>
      </w:tr>
      <w:tr>
        <w:trPr>
          <w:cantSplit/>
        </w:trPr>
        <w:tc>
          <w:tcPr>
            <w:tcW w:type="dxa" w:w="4500"/>
            <w:tcMar>
              <w:top w:w="30" w:type="dxa"/>
              <w:bottom w:w="30" w:type="dxa"/>
              <w:left w:w="60" w:type="dxa"/>
              <w:right w:w="60" w:type="dxa"/>
            </w:tcMar>
            <w:shd w:fill="f8fafc"/>
          </w:tcPr>
          <w:p>
            <w:pPr>
              <w:spacing w:before="20" w:after="20"/>
            </w:pPr>
            <w:r>
              <w:rPr>
                <w:b/>
              </w:rPr>
              <w:t>Abstract</w:t>
            </w:r>
          </w:p>
        </w:tc>
        <w:tc>
          <w:tcPr>
            <w:tcW w:type="dxa" w:w="4500"/>
            <w:tcMar>
              <w:top w:w="30" w:type="dxa"/>
              <w:bottom w:w="30" w:type="dxa"/>
              <w:left w:w="60" w:type="dxa"/>
              <w:right w:w="60" w:type="dxa"/>
            </w:tcMar>
            <w:shd w:fill="f8fafc"/>
          </w:tcPr>
          <w:p>
            <w:pPr>
              <w:spacing w:before="20" w:after="20"/>
              <w:jc w:val="right"/>
            </w:pPr>
            <w:r>
              <w:t>v</w:t>
            </w:r>
          </w:p>
        </w:tc>
      </w:tr>
      <w:tr>
        <w:trPr>
          <w:cantSplit/>
        </w:trPr>
        <w:tc>
          <w:tcPr>
            <w:tcW w:type="dxa" w:w="4500"/>
            <w:tcMar>
              <w:top w:w="30" w:type="dxa"/>
              <w:bottom w:w="30" w:type="dxa"/>
              <w:left w:w="60" w:type="dxa"/>
              <w:right w:w="60" w:type="dxa"/>
            </w:tcMar>
          </w:tcPr>
          <w:p>
            <w:pPr>
              <w:spacing w:before="20" w:after="20"/>
            </w:pPr>
            <w:r>
              <w:rPr>
                <w:b/>
              </w:rPr>
              <w:t>Chapter 1: Introduction</w:t>
            </w:r>
          </w:p>
        </w:tc>
        <w:tc>
          <w:tcPr>
            <w:tcW w:type="dxa" w:w="4500"/>
            <w:tcMar>
              <w:top w:w="30" w:type="dxa"/>
              <w:bottom w:w="30" w:type="dxa"/>
              <w:left w:w="60" w:type="dxa"/>
              <w:right w:w="60" w:type="dxa"/>
            </w:tcMar>
          </w:tcPr>
          <w:p>
            <w:pPr>
              <w:spacing w:before="20" w:after="20"/>
              <w:jc w:val="right"/>
            </w:pPr>
            <w:r>
              <w:rPr>
                <w:b/>
              </w:rPr>
              <w:t>1</w:t>
            </w:r>
          </w:p>
        </w:tc>
      </w:tr>
      <w:tr>
        <w:trPr>
          <w:cantSplit/>
        </w:trPr>
        <w:tc>
          <w:tcPr>
            <w:tcW w:type="dxa" w:w="4500"/>
            <w:tcMar>
              <w:top w:w="30" w:type="dxa"/>
              <w:bottom w:w="30" w:type="dxa"/>
              <w:left w:w="60" w:type="dxa"/>
              <w:right w:w="60" w:type="dxa"/>
            </w:tcMar>
            <w:shd w:fill="f8fafc"/>
          </w:tcPr>
          <w:p>
            <w:pPr>
              <w:spacing w:before="20" w:after="20"/>
            </w:pPr>
            <w:r>
              <w:t xml:space="preserve">   1.1 Background &amp; Operational Context</w:t>
            </w:r>
          </w:p>
        </w:tc>
        <w:tc>
          <w:tcPr>
            <w:tcW w:type="dxa" w:w="4500"/>
            <w:tcMar>
              <w:top w:w="30" w:type="dxa"/>
              <w:bottom w:w="30" w:type="dxa"/>
              <w:left w:w="60" w:type="dxa"/>
              <w:right w:w="60" w:type="dxa"/>
            </w:tcMar>
            <w:shd w:fill="f8fafc"/>
          </w:tcPr>
          <w:p>
            <w:pPr>
              <w:spacing w:before="20" w:after="20"/>
              <w:jc w:val="right"/>
            </w:pPr>
            <w:r>
              <w:t>1</w:t>
            </w:r>
          </w:p>
        </w:tc>
      </w:tr>
      <w:tr>
        <w:trPr>
          <w:cantSplit/>
        </w:trPr>
        <w:tc>
          <w:tcPr>
            <w:tcW w:type="dxa" w:w="4500"/>
            <w:tcMar>
              <w:top w:w="30" w:type="dxa"/>
              <w:bottom w:w="30" w:type="dxa"/>
              <w:left w:w="60" w:type="dxa"/>
              <w:right w:w="60" w:type="dxa"/>
            </w:tcMar>
          </w:tcPr>
          <w:p>
            <w:pPr>
              <w:spacing w:before="20" w:after="20"/>
            </w:pPr>
            <w:r>
              <w:t xml:space="preserve">   1.2 Problem Statement</w:t>
            </w:r>
          </w:p>
        </w:tc>
        <w:tc>
          <w:tcPr>
            <w:tcW w:type="dxa" w:w="4500"/>
            <w:tcMar>
              <w:top w:w="30" w:type="dxa"/>
              <w:bottom w:w="30" w:type="dxa"/>
              <w:left w:w="60" w:type="dxa"/>
              <w:right w:w="60" w:type="dxa"/>
            </w:tcMar>
          </w:tcPr>
          <w:p>
            <w:pPr>
              <w:spacing w:before="20" w:after="20"/>
              <w:jc w:val="right"/>
            </w:pPr>
            <w:r>
              <w:t>1</w:t>
            </w:r>
          </w:p>
        </w:tc>
      </w:tr>
      <w:tr>
        <w:trPr>
          <w:cantSplit/>
        </w:trPr>
        <w:tc>
          <w:tcPr>
            <w:tcW w:type="dxa" w:w="4500"/>
            <w:tcMar>
              <w:top w:w="30" w:type="dxa"/>
              <w:bottom w:w="30" w:type="dxa"/>
              <w:left w:w="60" w:type="dxa"/>
              <w:right w:w="60" w:type="dxa"/>
            </w:tcMar>
            <w:shd w:fill="f8fafc"/>
          </w:tcPr>
          <w:p>
            <w:pPr>
              <w:spacing w:before="20" w:after="20"/>
            </w:pPr>
            <w:r>
              <w:t xml:space="preserve">   1.3 Objectives of the Engine</w:t>
            </w:r>
          </w:p>
        </w:tc>
        <w:tc>
          <w:tcPr>
            <w:tcW w:type="dxa" w:w="4500"/>
            <w:tcMar>
              <w:top w:w="30" w:type="dxa"/>
              <w:bottom w:w="30" w:type="dxa"/>
              <w:left w:w="60" w:type="dxa"/>
              <w:right w:w="60" w:type="dxa"/>
            </w:tcMar>
            <w:shd w:fill="f8fafc"/>
          </w:tcPr>
          <w:p>
            <w:pPr>
              <w:spacing w:before="20" w:after="20"/>
              <w:jc w:val="right"/>
            </w:pPr>
            <w:r>
              <w:t>2</w:t>
            </w:r>
          </w:p>
        </w:tc>
      </w:tr>
      <w:tr>
        <w:trPr>
          <w:cantSplit/>
        </w:trPr>
        <w:tc>
          <w:tcPr>
            <w:tcW w:type="dxa" w:w="4500"/>
            <w:tcMar>
              <w:top w:w="30" w:type="dxa"/>
              <w:bottom w:w="30" w:type="dxa"/>
              <w:left w:w="60" w:type="dxa"/>
              <w:right w:w="60" w:type="dxa"/>
            </w:tcMar>
          </w:tcPr>
          <w:p>
            <w:pPr>
              <w:spacing w:before="20" w:after="20"/>
            </w:pPr>
            <w:r>
              <w:rPr>
                <w:b/>
              </w:rPr>
              <w:t>Chapter 2: Literature Survey</w:t>
            </w:r>
          </w:p>
        </w:tc>
        <w:tc>
          <w:tcPr>
            <w:tcW w:type="dxa" w:w="4500"/>
            <w:tcMar>
              <w:top w:w="30" w:type="dxa"/>
              <w:bottom w:w="30" w:type="dxa"/>
              <w:left w:w="60" w:type="dxa"/>
              <w:right w:w="60" w:type="dxa"/>
            </w:tcMar>
          </w:tcPr>
          <w:p>
            <w:pPr>
              <w:spacing w:before="20" w:after="20"/>
              <w:jc w:val="right"/>
            </w:pPr>
            <w:r>
              <w:rPr>
                <w:b/>
              </w:rPr>
              <w:t>3</w:t>
            </w:r>
          </w:p>
        </w:tc>
      </w:tr>
      <w:tr>
        <w:trPr>
          <w:cantSplit/>
        </w:trPr>
        <w:tc>
          <w:tcPr>
            <w:tcW w:type="dxa" w:w="4500"/>
            <w:tcMar>
              <w:top w:w="30" w:type="dxa"/>
              <w:bottom w:w="30" w:type="dxa"/>
              <w:left w:w="60" w:type="dxa"/>
              <w:right w:w="60" w:type="dxa"/>
            </w:tcMar>
            <w:shd w:fill="f8fafc"/>
          </w:tcPr>
          <w:p>
            <w:pPr>
              <w:spacing w:before="20" w:after="20"/>
            </w:pPr>
            <w:r>
              <w:t xml:space="preserve">   2.1 Foundational Research Survey</w:t>
            </w:r>
          </w:p>
        </w:tc>
        <w:tc>
          <w:tcPr>
            <w:tcW w:type="dxa" w:w="4500"/>
            <w:tcMar>
              <w:top w:w="30" w:type="dxa"/>
              <w:bottom w:w="30" w:type="dxa"/>
              <w:left w:w="60" w:type="dxa"/>
              <w:right w:w="60" w:type="dxa"/>
            </w:tcMar>
            <w:shd w:fill="f8fafc"/>
          </w:tcPr>
          <w:p>
            <w:pPr>
              <w:spacing w:before="20" w:after="20"/>
              <w:jc w:val="right"/>
            </w:pPr>
            <w:r>
              <w:t>3</w:t>
            </w:r>
          </w:p>
        </w:tc>
      </w:tr>
      <w:tr>
        <w:trPr>
          <w:cantSplit/>
        </w:trPr>
        <w:tc>
          <w:tcPr>
            <w:tcW w:type="dxa" w:w="4500"/>
            <w:tcMar>
              <w:top w:w="30" w:type="dxa"/>
              <w:bottom w:w="30" w:type="dxa"/>
              <w:left w:w="60" w:type="dxa"/>
              <w:right w:w="60" w:type="dxa"/>
            </w:tcMar>
          </w:tcPr>
          <w:p>
            <w:pPr>
              <w:spacing w:before="20" w:after="20"/>
            </w:pPr>
            <w:r>
              <w:t xml:space="preserve">   2.2 Research Gaps &amp; Proposed Innovation</w:t>
            </w:r>
          </w:p>
        </w:tc>
        <w:tc>
          <w:tcPr>
            <w:tcW w:type="dxa" w:w="4500"/>
            <w:tcMar>
              <w:top w:w="30" w:type="dxa"/>
              <w:bottom w:w="30" w:type="dxa"/>
              <w:left w:w="60" w:type="dxa"/>
              <w:right w:w="60" w:type="dxa"/>
            </w:tcMar>
          </w:tcPr>
          <w:p>
            <w:pPr>
              <w:spacing w:before="20" w:after="20"/>
              <w:jc w:val="right"/>
            </w:pPr>
            <w:r>
              <w:t>4</w:t>
            </w:r>
          </w:p>
        </w:tc>
      </w:tr>
      <w:tr>
        <w:trPr>
          <w:cantSplit/>
        </w:trPr>
        <w:tc>
          <w:tcPr>
            <w:tcW w:type="dxa" w:w="4500"/>
            <w:tcMar>
              <w:top w:w="30" w:type="dxa"/>
              <w:bottom w:w="30" w:type="dxa"/>
              <w:left w:w="60" w:type="dxa"/>
              <w:right w:w="60" w:type="dxa"/>
            </w:tcMar>
            <w:shd w:fill="f8fafc"/>
          </w:tcPr>
          <w:p>
            <w:pPr>
              <w:spacing w:before="20" w:after="20"/>
            </w:pPr>
            <w:r>
              <w:rPr>
                <w:b/>
              </w:rPr>
              <w:t>Chapter 3: System Analysis</w:t>
            </w:r>
          </w:p>
        </w:tc>
        <w:tc>
          <w:tcPr>
            <w:tcW w:type="dxa" w:w="4500"/>
            <w:tcMar>
              <w:top w:w="30" w:type="dxa"/>
              <w:bottom w:w="30" w:type="dxa"/>
              <w:left w:w="60" w:type="dxa"/>
              <w:right w:w="60" w:type="dxa"/>
            </w:tcMar>
            <w:shd w:fill="f8fafc"/>
          </w:tcPr>
          <w:p>
            <w:pPr>
              <w:spacing w:before="20" w:after="20"/>
              <w:jc w:val="right"/>
            </w:pPr>
            <w:r>
              <w:rPr>
                <w:b/>
              </w:rPr>
              <w:t>5</w:t>
            </w:r>
          </w:p>
        </w:tc>
      </w:tr>
      <w:tr>
        <w:trPr>
          <w:cantSplit/>
        </w:trPr>
        <w:tc>
          <w:tcPr>
            <w:tcW w:type="dxa" w:w="4500"/>
            <w:tcMar>
              <w:top w:w="30" w:type="dxa"/>
              <w:bottom w:w="30" w:type="dxa"/>
              <w:left w:w="60" w:type="dxa"/>
              <w:right w:w="60" w:type="dxa"/>
            </w:tcMar>
          </w:tcPr>
          <w:p>
            <w:pPr>
              <w:spacing w:before="20" w:after="20"/>
            </w:pPr>
            <w:r>
              <w:t xml:space="preserve">   3.1 Existing Systems Analysis</w:t>
            </w:r>
          </w:p>
        </w:tc>
        <w:tc>
          <w:tcPr>
            <w:tcW w:type="dxa" w:w="4500"/>
            <w:tcMar>
              <w:top w:w="30" w:type="dxa"/>
              <w:bottom w:w="30" w:type="dxa"/>
              <w:left w:w="60" w:type="dxa"/>
              <w:right w:w="60" w:type="dxa"/>
            </w:tcMar>
          </w:tcPr>
          <w:p>
            <w:pPr>
              <w:spacing w:before="20" w:after="20"/>
              <w:jc w:val="right"/>
            </w:pPr>
            <w:r>
              <w:t>5</w:t>
            </w:r>
          </w:p>
        </w:tc>
      </w:tr>
      <w:tr>
        <w:trPr>
          <w:cantSplit/>
        </w:trPr>
        <w:tc>
          <w:tcPr>
            <w:tcW w:type="dxa" w:w="4500"/>
            <w:tcMar>
              <w:top w:w="30" w:type="dxa"/>
              <w:bottom w:w="30" w:type="dxa"/>
              <w:left w:w="60" w:type="dxa"/>
              <w:right w:w="60" w:type="dxa"/>
            </w:tcMar>
            <w:shd w:fill="f8fafc"/>
          </w:tcPr>
          <w:p>
            <w:pPr>
              <w:spacing w:before="20" w:after="20"/>
            </w:pPr>
            <w:r>
              <w:t xml:space="preserve">   3.2 Proposed System Architecture &amp; Innovation</w:t>
            </w:r>
          </w:p>
        </w:tc>
        <w:tc>
          <w:tcPr>
            <w:tcW w:type="dxa" w:w="4500"/>
            <w:tcMar>
              <w:top w:w="30" w:type="dxa"/>
              <w:bottom w:w="30" w:type="dxa"/>
              <w:left w:w="60" w:type="dxa"/>
              <w:right w:w="60" w:type="dxa"/>
            </w:tcMar>
            <w:shd w:fill="f8fafc"/>
          </w:tcPr>
          <w:p>
            <w:pPr>
              <w:spacing w:before="20" w:after="20"/>
              <w:jc w:val="right"/>
            </w:pPr>
            <w:r>
              <w:t>5</w:t>
            </w:r>
          </w:p>
        </w:tc>
      </w:tr>
      <w:tr>
        <w:trPr>
          <w:cantSplit/>
        </w:trPr>
        <w:tc>
          <w:tcPr>
            <w:tcW w:type="dxa" w:w="4500"/>
            <w:tcMar>
              <w:top w:w="30" w:type="dxa"/>
              <w:bottom w:w="30" w:type="dxa"/>
              <w:left w:w="60" w:type="dxa"/>
              <w:right w:w="60" w:type="dxa"/>
            </w:tcMar>
          </w:tcPr>
          <w:p>
            <w:pPr>
              <w:spacing w:before="20" w:after="20"/>
            </w:pPr>
            <w:r>
              <w:rPr>
                <w:b/>
              </w:rPr>
              <w:t>Chapter 4: Requirement Analysis</w:t>
            </w:r>
          </w:p>
        </w:tc>
        <w:tc>
          <w:tcPr>
            <w:tcW w:type="dxa" w:w="4500"/>
            <w:tcMar>
              <w:top w:w="30" w:type="dxa"/>
              <w:bottom w:w="30" w:type="dxa"/>
              <w:left w:w="60" w:type="dxa"/>
              <w:right w:w="60" w:type="dxa"/>
            </w:tcMar>
          </w:tcPr>
          <w:p>
            <w:pPr>
              <w:spacing w:before="20" w:after="20"/>
              <w:jc w:val="right"/>
            </w:pPr>
            <w:r>
              <w:rPr>
                <w:b/>
              </w:rPr>
              <w:t>6</w:t>
            </w:r>
          </w:p>
        </w:tc>
      </w:tr>
      <w:tr>
        <w:trPr>
          <w:cantSplit/>
        </w:trPr>
        <w:tc>
          <w:tcPr>
            <w:tcW w:type="dxa" w:w="4500"/>
            <w:tcMar>
              <w:top w:w="30" w:type="dxa"/>
              <w:bottom w:w="30" w:type="dxa"/>
              <w:left w:w="60" w:type="dxa"/>
              <w:right w:w="60" w:type="dxa"/>
            </w:tcMar>
            <w:shd w:fill="f8fafc"/>
          </w:tcPr>
          <w:p>
            <w:pPr>
              <w:spacing w:before="20" w:after="20"/>
            </w:pPr>
            <w:r>
              <w:t xml:space="preserve">   4.1 Hardware Requirements</w:t>
            </w:r>
          </w:p>
        </w:tc>
        <w:tc>
          <w:tcPr>
            <w:tcW w:type="dxa" w:w="4500"/>
            <w:tcMar>
              <w:top w:w="30" w:type="dxa"/>
              <w:bottom w:w="30" w:type="dxa"/>
              <w:left w:w="60" w:type="dxa"/>
              <w:right w:w="60" w:type="dxa"/>
            </w:tcMar>
            <w:shd w:fill="f8fafc"/>
          </w:tcPr>
          <w:p>
            <w:pPr>
              <w:spacing w:before="20" w:after="20"/>
              <w:jc w:val="right"/>
            </w:pPr>
            <w:r>
              <w:t>6</w:t>
            </w:r>
          </w:p>
        </w:tc>
      </w:tr>
      <w:tr>
        <w:trPr>
          <w:cantSplit/>
        </w:trPr>
        <w:tc>
          <w:tcPr>
            <w:tcW w:type="dxa" w:w="4500"/>
            <w:tcMar>
              <w:top w:w="30" w:type="dxa"/>
              <w:bottom w:w="30" w:type="dxa"/>
              <w:left w:w="60" w:type="dxa"/>
              <w:right w:w="60" w:type="dxa"/>
            </w:tcMar>
          </w:tcPr>
          <w:p>
            <w:pPr>
              <w:spacing w:before="20" w:after="20"/>
            </w:pPr>
            <w:r>
              <w:t xml:space="preserve">   4.2 Software Requirements</w:t>
            </w:r>
          </w:p>
        </w:tc>
        <w:tc>
          <w:tcPr>
            <w:tcW w:type="dxa" w:w="4500"/>
            <w:tcMar>
              <w:top w:w="30" w:type="dxa"/>
              <w:bottom w:w="30" w:type="dxa"/>
              <w:left w:w="60" w:type="dxa"/>
              <w:right w:w="60" w:type="dxa"/>
            </w:tcMar>
          </w:tcPr>
          <w:p>
            <w:pPr>
              <w:spacing w:before="20" w:after="20"/>
              <w:jc w:val="right"/>
            </w:pPr>
            <w:r>
              <w:t>6</w:t>
            </w:r>
          </w:p>
        </w:tc>
      </w:tr>
      <w:tr>
        <w:trPr>
          <w:cantSplit/>
        </w:trPr>
        <w:tc>
          <w:tcPr>
            <w:tcW w:type="dxa" w:w="4500"/>
            <w:tcMar>
              <w:top w:w="30" w:type="dxa"/>
              <w:bottom w:w="30" w:type="dxa"/>
              <w:left w:w="60" w:type="dxa"/>
              <w:right w:w="60" w:type="dxa"/>
            </w:tcMar>
            <w:shd w:fill="f8fafc"/>
          </w:tcPr>
          <w:p>
            <w:pPr>
              <w:spacing w:before="20" w:after="20"/>
            </w:pPr>
            <w:r>
              <w:rPr>
                <w:b/>
              </w:rPr>
              <w:t>Chapter 5: System Design &amp; UML Modeling</w:t>
            </w:r>
          </w:p>
        </w:tc>
        <w:tc>
          <w:tcPr>
            <w:tcW w:type="dxa" w:w="4500"/>
            <w:tcMar>
              <w:top w:w="30" w:type="dxa"/>
              <w:bottom w:w="30" w:type="dxa"/>
              <w:left w:w="60" w:type="dxa"/>
              <w:right w:w="60" w:type="dxa"/>
            </w:tcMar>
            <w:shd w:fill="f8fafc"/>
          </w:tcPr>
          <w:p>
            <w:pPr>
              <w:spacing w:before="20" w:after="20"/>
              <w:jc w:val="right"/>
            </w:pPr>
            <w:r>
              <w:rPr>
                <w:b/>
              </w:rPr>
              <w:t>7</w:t>
            </w:r>
          </w:p>
        </w:tc>
      </w:tr>
      <w:tr>
        <w:trPr>
          <w:cantSplit/>
        </w:trPr>
        <w:tc>
          <w:tcPr>
            <w:tcW w:type="dxa" w:w="4500"/>
            <w:tcMar>
              <w:top w:w="30" w:type="dxa"/>
              <w:bottom w:w="30" w:type="dxa"/>
              <w:left w:w="60" w:type="dxa"/>
              <w:right w:w="60" w:type="dxa"/>
            </w:tcMar>
          </w:tcPr>
          <w:p>
            <w:pPr>
              <w:spacing w:before="20" w:after="20"/>
            </w:pPr>
            <w:r>
              <w:t xml:space="preserve">   5.1 System Architecture Pipeline</w:t>
            </w:r>
          </w:p>
        </w:tc>
        <w:tc>
          <w:tcPr>
            <w:tcW w:type="dxa" w:w="4500"/>
            <w:tcMar>
              <w:top w:w="30" w:type="dxa"/>
              <w:bottom w:w="30" w:type="dxa"/>
              <w:left w:w="60" w:type="dxa"/>
              <w:right w:w="60" w:type="dxa"/>
            </w:tcMar>
          </w:tcPr>
          <w:p>
            <w:pPr>
              <w:spacing w:before="20" w:after="20"/>
              <w:jc w:val="right"/>
            </w:pPr>
            <w:r>
              <w:t>7</w:t>
            </w:r>
          </w:p>
        </w:tc>
      </w:tr>
      <w:tr>
        <w:trPr>
          <w:cantSplit/>
        </w:trPr>
        <w:tc>
          <w:tcPr>
            <w:tcW w:type="dxa" w:w="4500"/>
            <w:tcMar>
              <w:top w:w="30" w:type="dxa"/>
              <w:bottom w:w="30" w:type="dxa"/>
              <w:left w:w="60" w:type="dxa"/>
              <w:right w:w="60" w:type="dxa"/>
            </w:tcMar>
            <w:shd w:fill="f8fafc"/>
          </w:tcPr>
          <w:p>
            <w:pPr>
              <w:spacing w:before="20" w:after="20"/>
            </w:pPr>
            <w:r>
              <w:t xml:space="preserve">   5.2 UML Use Case Modeling</w:t>
            </w:r>
          </w:p>
        </w:tc>
        <w:tc>
          <w:tcPr>
            <w:tcW w:type="dxa" w:w="4500"/>
            <w:tcMar>
              <w:top w:w="30" w:type="dxa"/>
              <w:bottom w:w="30" w:type="dxa"/>
              <w:left w:w="60" w:type="dxa"/>
              <w:right w:w="60" w:type="dxa"/>
            </w:tcMar>
            <w:shd w:fill="f8fafc"/>
          </w:tcPr>
          <w:p>
            <w:pPr>
              <w:spacing w:before="20" w:after="20"/>
              <w:jc w:val="right"/>
            </w:pPr>
            <w:r>
              <w:t>7</w:t>
            </w:r>
          </w:p>
        </w:tc>
      </w:tr>
      <w:tr>
        <w:trPr>
          <w:cantSplit/>
        </w:trPr>
        <w:tc>
          <w:tcPr>
            <w:tcW w:type="dxa" w:w="4500"/>
            <w:tcMar>
              <w:top w:w="30" w:type="dxa"/>
              <w:bottom w:w="30" w:type="dxa"/>
              <w:left w:w="60" w:type="dxa"/>
              <w:right w:w="60" w:type="dxa"/>
            </w:tcMar>
          </w:tcPr>
          <w:p>
            <w:pPr>
              <w:spacing w:before="20" w:after="20"/>
            </w:pPr>
            <w:r>
              <w:t xml:space="preserve">   5.3 Data Flow Diagrams (DFD Level 0 &amp; 1)</w:t>
            </w:r>
          </w:p>
        </w:tc>
        <w:tc>
          <w:tcPr>
            <w:tcW w:type="dxa" w:w="4500"/>
            <w:tcMar>
              <w:top w:w="30" w:type="dxa"/>
              <w:bottom w:w="30" w:type="dxa"/>
              <w:left w:w="60" w:type="dxa"/>
              <w:right w:w="60" w:type="dxa"/>
            </w:tcMar>
          </w:tcPr>
          <w:p>
            <w:pPr>
              <w:spacing w:before="20" w:after="20"/>
              <w:jc w:val="right"/>
            </w:pPr>
            <w:r>
              <w:t>9</w:t>
            </w:r>
          </w:p>
        </w:tc>
      </w:tr>
      <w:tr>
        <w:trPr>
          <w:cantSplit/>
        </w:trPr>
        <w:tc>
          <w:tcPr>
            <w:tcW w:type="dxa" w:w="4500"/>
            <w:tcMar>
              <w:top w:w="30" w:type="dxa"/>
              <w:bottom w:w="30" w:type="dxa"/>
              <w:left w:w="60" w:type="dxa"/>
              <w:right w:w="60" w:type="dxa"/>
            </w:tcMar>
            <w:shd w:fill="f8fafc"/>
          </w:tcPr>
          <w:p>
            <w:pPr>
              <w:spacing w:before="20" w:after="20"/>
            </w:pPr>
            <w:r>
              <w:t xml:space="preserve">   5.4 UML Class Diagram &amp; Data Models</w:t>
            </w:r>
          </w:p>
        </w:tc>
        <w:tc>
          <w:tcPr>
            <w:tcW w:type="dxa" w:w="4500"/>
            <w:tcMar>
              <w:top w:w="30" w:type="dxa"/>
              <w:bottom w:w="30" w:type="dxa"/>
              <w:left w:w="60" w:type="dxa"/>
              <w:right w:w="60" w:type="dxa"/>
            </w:tcMar>
            <w:shd w:fill="f8fafc"/>
          </w:tcPr>
          <w:p>
            <w:pPr>
              <w:spacing w:before="20" w:after="20"/>
              <w:jc w:val="right"/>
            </w:pPr>
            <w:r>
              <w:t>9</w:t>
            </w:r>
          </w:p>
        </w:tc>
      </w:tr>
      <w:tr>
        <w:trPr>
          <w:cantSplit/>
        </w:trPr>
        <w:tc>
          <w:tcPr>
            <w:tcW w:type="dxa" w:w="4500"/>
            <w:tcMar>
              <w:top w:w="30" w:type="dxa"/>
              <w:bottom w:w="30" w:type="dxa"/>
              <w:left w:w="60" w:type="dxa"/>
              <w:right w:w="60" w:type="dxa"/>
            </w:tcMar>
          </w:tcPr>
          <w:p>
            <w:pPr>
              <w:spacing w:before="20" w:after="20"/>
            </w:pPr>
            <w:r>
              <w:rPr>
                <w:b/>
              </w:rPr>
              <w:t>Chapter 6: Implementation &amp; Source Code</w:t>
            </w:r>
          </w:p>
        </w:tc>
        <w:tc>
          <w:tcPr>
            <w:tcW w:type="dxa" w:w="4500"/>
            <w:tcMar>
              <w:top w:w="30" w:type="dxa"/>
              <w:bottom w:w="30" w:type="dxa"/>
              <w:left w:w="60" w:type="dxa"/>
              <w:right w:w="60" w:type="dxa"/>
            </w:tcMar>
          </w:tcPr>
          <w:p>
            <w:pPr>
              <w:spacing w:before="20" w:after="20"/>
              <w:jc w:val="right"/>
            </w:pPr>
            <w:r>
              <w:rPr>
                <w:b/>
              </w:rPr>
              <w:t>11</w:t>
            </w:r>
          </w:p>
        </w:tc>
      </w:tr>
    </w:tbl>
    <w:p>
      <w:r>
        <w:br w:type="page"/>
      </w:r>
    </w:p>
    <w:p>
      <w:pPr>
        <w:spacing w:before="80" w:after="160"/>
        <w:jc w:val="center"/>
      </w:pPr>
      <w:r>
        <w:rPr>
          <w:b/>
          <w:sz w:val="27"/>
          <w:u w:val="single"/>
        </w:rPr>
        <w:t>LIST OF FIGURES &amp; TABLES</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000"/>
        <w:gridCol w:w="3000"/>
        <w:gridCol w:w="3000"/>
      </w:tblGrid>
      <w:tr>
        <w:trPr>
          <w:cantSplit/>
          <w:tblHeader/>
        </w:trPr>
        <w:tc>
          <w:tcPr>
            <w:tcW w:type="dxa" w:w="3000"/>
            <w:shd w:fill="1e3a8a"/>
            <w:tcMar>
              <w:top w:w="35" w:type="dxa"/>
              <w:bottom w:w="35" w:type="dxa"/>
              <w:left w:w="50" w:type="dxa"/>
              <w:right w:w="50" w:type="dxa"/>
            </w:tcMar>
          </w:tcPr>
          <w:p>
            <w:r>
              <w:rPr>
                <w:b/>
                <w:color w:val="FFFFFF"/>
              </w:rPr>
              <w:t>Figure / Table No.</w:t>
            </w:r>
          </w:p>
        </w:tc>
        <w:tc>
          <w:tcPr>
            <w:tcW w:type="dxa" w:w="3000"/>
            <w:shd w:fill="1e3a8a"/>
            <w:tcMar>
              <w:top w:w="35" w:type="dxa"/>
              <w:bottom w:w="35" w:type="dxa"/>
              <w:left w:w="50" w:type="dxa"/>
              <w:right w:w="50" w:type="dxa"/>
            </w:tcMar>
          </w:tcPr>
          <w:p>
            <w:r>
              <w:rPr>
                <w:b/>
                <w:color w:val="FFFFFF"/>
              </w:rPr>
              <w:t>Name of the Figure / Table</w:t>
            </w:r>
          </w:p>
        </w:tc>
        <w:tc>
          <w:tcPr>
            <w:tcW w:type="dxa" w:w="3000"/>
            <w:shd w:fill="1e3a8a"/>
            <w:tcMar>
              <w:top w:w="35" w:type="dxa"/>
              <w:bottom w:w="35" w:type="dxa"/>
              <w:left w:w="50" w:type="dxa"/>
              <w:right w:w="50" w:type="dxa"/>
            </w:tcMar>
          </w:tcPr>
          <w:p>
            <w:pPr>
              <w:jc w:val="right"/>
            </w:pPr>
            <w:r>
              <w:rPr>
                <w:b/>
                <w:color w:val="FFFFFF"/>
              </w:rPr>
              <w:t>Page No.</w:t>
            </w:r>
          </w:p>
        </w:tc>
      </w:tr>
      <w:tr>
        <w:trPr>
          <w:cantSplit/>
        </w:trPr>
        <w:tc>
          <w:tcPr>
            <w:tcW w:type="dxa" w:w="3000"/>
            <w:tcMar>
              <w:top w:w="30" w:type="dxa"/>
              <w:bottom w:w="30" w:type="dxa"/>
              <w:left w:w="50" w:type="dxa"/>
              <w:right w:w="50" w:type="dxa"/>
            </w:tcMar>
          </w:tcPr>
          <w:p>
            <w:r>
              <w:rPr>
                <w:b/>
              </w:rPr>
              <w:t>Table 2.1</w:t>
            </w:r>
          </w:p>
        </w:tc>
        <w:tc>
          <w:tcPr>
            <w:tcW w:type="dxa" w:w="3000"/>
            <w:tcMar>
              <w:top w:w="30" w:type="dxa"/>
              <w:bottom w:w="30" w:type="dxa"/>
              <w:left w:w="50" w:type="dxa"/>
              <w:right w:w="50" w:type="dxa"/>
            </w:tcMar>
          </w:tcPr>
          <w:p>
            <w:r>
              <w:t>Literature Review &amp; Research Gap Comparison</w:t>
            </w:r>
          </w:p>
        </w:tc>
        <w:tc>
          <w:tcPr>
            <w:tcW w:type="dxa" w:w="3000"/>
            <w:tcMar>
              <w:top w:w="30" w:type="dxa"/>
              <w:bottom w:w="30" w:type="dxa"/>
              <w:left w:w="50" w:type="dxa"/>
              <w:right w:w="50" w:type="dxa"/>
            </w:tcMar>
          </w:tcPr>
          <w:p>
            <w:pPr>
              <w:jc w:val="right"/>
            </w:pPr>
            <w:r>
              <w:t>4</w:t>
            </w:r>
          </w:p>
        </w:tc>
      </w:tr>
      <w:tr>
        <w:trPr>
          <w:cantSplit/>
        </w:trPr>
        <w:tc>
          <w:tcPr>
            <w:tcW w:type="dxa" w:w="3000"/>
            <w:tcMar>
              <w:top w:w="30" w:type="dxa"/>
              <w:bottom w:w="30" w:type="dxa"/>
              <w:left w:w="50" w:type="dxa"/>
              <w:right w:w="50" w:type="dxa"/>
            </w:tcMar>
            <w:shd w:fill="f8fafc"/>
          </w:tcPr>
          <w:p>
            <w:r>
              <w:rPr>
                <w:b/>
              </w:rPr>
              <w:t>Fig 5.1</w:t>
            </w:r>
          </w:p>
        </w:tc>
        <w:tc>
          <w:tcPr>
            <w:tcW w:type="dxa" w:w="3000"/>
            <w:tcMar>
              <w:top w:w="30" w:type="dxa"/>
              <w:bottom w:w="30" w:type="dxa"/>
              <w:left w:w="50" w:type="dxa"/>
              <w:right w:w="50" w:type="dxa"/>
            </w:tcMar>
            <w:shd w:fill="f8fafc"/>
          </w:tcPr>
          <w:p>
            <w:r>
              <w:t>Smart Ticket Understanding Engine System Architecture</w:t>
            </w:r>
          </w:p>
        </w:tc>
        <w:tc>
          <w:tcPr>
            <w:tcW w:type="dxa" w:w="3000"/>
            <w:tcMar>
              <w:top w:w="30" w:type="dxa"/>
              <w:bottom w:w="30" w:type="dxa"/>
              <w:left w:w="50" w:type="dxa"/>
              <w:right w:w="50" w:type="dxa"/>
            </w:tcMar>
            <w:shd w:fill="f8fafc"/>
          </w:tcPr>
          <w:p>
            <w:pPr>
              <w:jc w:val="right"/>
            </w:pPr>
            <w:r>
              <w:t>7</w:t>
            </w:r>
          </w:p>
        </w:tc>
      </w:tr>
      <w:tr>
        <w:trPr>
          <w:cantSplit/>
        </w:trPr>
        <w:tc>
          <w:tcPr>
            <w:tcW w:type="dxa" w:w="3000"/>
            <w:tcMar>
              <w:top w:w="30" w:type="dxa"/>
              <w:bottom w:w="30" w:type="dxa"/>
              <w:left w:w="50" w:type="dxa"/>
              <w:right w:w="50" w:type="dxa"/>
            </w:tcMar>
          </w:tcPr>
          <w:p>
            <w:r>
              <w:rPr>
                <w:b/>
              </w:rPr>
              <w:t>Fig 5.2</w:t>
            </w:r>
          </w:p>
        </w:tc>
        <w:tc>
          <w:tcPr>
            <w:tcW w:type="dxa" w:w="3000"/>
            <w:tcMar>
              <w:top w:w="30" w:type="dxa"/>
              <w:bottom w:w="30" w:type="dxa"/>
              <w:left w:w="50" w:type="dxa"/>
              <w:right w:w="50" w:type="dxa"/>
            </w:tcMar>
          </w:tcPr>
          <w:p>
            <w:r>
              <w:t>UML Use Case Diagram with System Boundary</w:t>
            </w:r>
          </w:p>
        </w:tc>
        <w:tc>
          <w:tcPr>
            <w:tcW w:type="dxa" w:w="3000"/>
            <w:tcMar>
              <w:top w:w="30" w:type="dxa"/>
              <w:bottom w:w="30" w:type="dxa"/>
              <w:left w:w="50" w:type="dxa"/>
              <w:right w:w="50" w:type="dxa"/>
            </w:tcMar>
          </w:tcPr>
          <w:p>
            <w:pPr>
              <w:jc w:val="right"/>
            </w:pPr>
            <w:r>
              <w:t>8</w:t>
            </w:r>
          </w:p>
        </w:tc>
      </w:tr>
      <w:tr>
        <w:trPr>
          <w:cantSplit/>
        </w:trPr>
        <w:tc>
          <w:tcPr>
            <w:tcW w:type="dxa" w:w="3000"/>
            <w:tcMar>
              <w:top w:w="30" w:type="dxa"/>
              <w:bottom w:w="30" w:type="dxa"/>
              <w:left w:w="50" w:type="dxa"/>
              <w:right w:w="50" w:type="dxa"/>
            </w:tcMar>
            <w:shd w:fill="f8fafc"/>
          </w:tcPr>
          <w:p>
            <w:r>
              <w:rPr>
                <w:b/>
              </w:rPr>
              <w:t>Fig 5.3</w:t>
            </w:r>
          </w:p>
        </w:tc>
        <w:tc>
          <w:tcPr>
            <w:tcW w:type="dxa" w:w="3000"/>
            <w:tcMar>
              <w:top w:w="30" w:type="dxa"/>
              <w:bottom w:w="30" w:type="dxa"/>
              <w:left w:w="50" w:type="dxa"/>
              <w:right w:w="50" w:type="dxa"/>
            </w:tcMar>
            <w:shd w:fill="f8fafc"/>
          </w:tcPr>
          <w:p>
            <w:r>
              <w:t>Level 1 Functional Data Flow Diagram (DFD)</w:t>
            </w:r>
          </w:p>
        </w:tc>
        <w:tc>
          <w:tcPr>
            <w:tcW w:type="dxa" w:w="3000"/>
            <w:tcMar>
              <w:top w:w="30" w:type="dxa"/>
              <w:bottom w:w="30" w:type="dxa"/>
              <w:left w:w="50" w:type="dxa"/>
              <w:right w:w="50" w:type="dxa"/>
            </w:tcMar>
            <w:shd w:fill="f8fafc"/>
          </w:tcPr>
          <w:p>
            <w:pPr>
              <w:jc w:val="right"/>
            </w:pPr>
            <w:r>
              <w:t>9</w:t>
            </w:r>
          </w:p>
        </w:tc>
      </w:tr>
      <w:tr>
        <w:trPr>
          <w:cantSplit/>
        </w:trPr>
        <w:tc>
          <w:tcPr>
            <w:tcW w:type="dxa" w:w="3000"/>
            <w:tcMar>
              <w:top w:w="30" w:type="dxa"/>
              <w:bottom w:w="30" w:type="dxa"/>
              <w:left w:w="50" w:type="dxa"/>
              <w:right w:w="50" w:type="dxa"/>
            </w:tcMar>
          </w:tcPr>
          <w:p>
            <w:r>
              <w:rPr>
                <w:b/>
              </w:rPr>
              <w:t>Fig 5.4</w:t>
            </w:r>
          </w:p>
        </w:tc>
        <w:tc>
          <w:tcPr>
            <w:tcW w:type="dxa" w:w="3000"/>
            <w:tcMar>
              <w:top w:w="30" w:type="dxa"/>
              <w:bottom w:w="30" w:type="dxa"/>
              <w:left w:w="50" w:type="dxa"/>
              <w:right w:w="50" w:type="dxa"/>
            </w:tcMar>
          </w:tcPr>
          <w:p>
            <w:r>
              <w:t>UML Class Diagram of Backend Engine Domain Models</w:t>
            </w:r>
          </w:p>
        </w:tc>
        <w:tc>
          <w:tcPr>
            <w:tcW w:type="dxa" w:w="3000"/>
            <w:tcMar>
              <w:top w:w="30" w:type="dxa"/>
              <w:bottom w:w="30" w:type="dxa"/>
              <w:left w:w="50" w:type="dxa"/>
              <w:right w:w="50" w:type="dxa"/>
            </w:tcMar>
          </w:tcPr>
          <w:p>
            <w:pPr>
              <w:jc w:val="right"/>
            </w:pPr>
            <w:r>
              <w:t>10</w:t>
            </w:r>
          </w:p>
        </w:tc>
      </w:tr>
      <w:tr>
        <w:trPr>
          <w:cantSplit/>
        </w:trPr>
        <w:tc>
          <w:tcPr>
            <w:tcW w:type="dxa" w:w="3000"/>
            <w:tcMar>
              <w:top w:w="30" w:type="dxa"/>
              <w:bottom w:w="30" w:type="dxa"/>
              <w:left w:w="50" w:type="dxa"/>
              <w:right w:w="50" w:type="dxa"/>
            </w:tcMar>
            <w:shd w:fill="f8fafc"/>
          </w:tcPr>
          <w:p>
            <w:r>
              <w:rPr>
                <w:b/>
              </w:rPr>
              <w:t>Table 7.1</w:t>
            </w:r>
          </w:p>
        </w:tc>
        <w:tc>
          <w:tcPr>
            <w:tcW w:type="dxa" w:w="3000"/>
            <w:tcMar>
              <w:top w:w="30" w:type="dxa"/>
              <w:bottom w:w="30" w:type="dxa"/>
              <w:left w:w="50" w:type="dxa"/>
              <w:right w:w="50" w:type="dxa"/>
            </w:tcMar>
            <w:shd w:fill="f8fafc"/>
          </w:tcPr>
          <w:p>
            <w:r>
              <w:t>Empirical Model Benchmarking on Banking77 Test Split</w:t>
            </w:r>
          </w:p>
        </w:tc>
        <w:tc>
          <w:tcPr>
            <w:tcW w:type="dxa" w:w="3000"/>
            <w:tcMar>
              <w:top w:w="30" w:type="dxa"/>
              <w:bottom w:w="30" w:type="dxa"/>
              <w:left w:w="50" w:type="dxa"/>
              <w:right w:w="50" w:type="dxa"/>
            </w:tcMar>
            <w:shd w:fill="f8fafc"/>
          </w:tcPr>
          <w:p>
            <w:pPr>
              <w:jc w:val="right"/>
            </w:pPr>
            <w:r>
              <w:t>13</w:t>
            </w:r>
          </w:p>
        </w:tc>
      </w:tr>
      <w:tr>
        <w:trPr>
          <w:cantSplit/>
        </w:trPr>
        <w:tc>
          <w:tcPr>
            <w:tcW w:type="dxa" w:w="3000"/>
            <w:tcMar>
              <w:top w:w="30" w:type="dxa"/>
              <w:bottom w:w="30" w:type="dxa"/>
              <w:left w:w="50" w:type="dxa"/>
              <w:right w:w="50" w:type="dxa"/>
            </w:tcMar>
          </w:tcPr>
          <w:p>
            <w:r>
              <w:rPr>
                <w:b/>
              </w:rPr>
              <w:t>Fig 7.1</w:t>
            </w:r>
          </w:p>
        </w:tc>
        <w:tc>
          <w:tcPr>
            <w:tcW w:type="dxa" w:w="3000"/>
            <w:tcMar>
              <w:top w:w="30" w:type="dxa"/>
              <w:bottom w:w="30" w:type="dxa"/>
              <w:left w:w="50" w:type="dxa"/>
              <w:right w:w="50" w:type="dxa"/>
            </w:tcMar>
          </w:tcPr>
          <w:p>
            <w:r>
              <w:t>Performance, Calibration &amp; CPU Latency Benchmark Chart</w:t>
            </w:r>
          </w:p>
        </w:tc>
        <w:tc>
          <w:tcPr>
            <w:tcW w:type="dxa" w:w="3000"/>
            <w:tcMar>
              <w:top w:w="30" w:type="dxa"/>
              <w:bottom w:w="30" w:type="dxa"/>
              <w:left w:w="50" w:type="dxa"/>
              <w:right w:w="50" w:type="dxa"/>
            </w:tcMar>
          </w:tcPr>
          <w:p>
            <w:pPr>
              <w:jc w:val="right"/>
            </w:pPr>
            <w:r>
              <w:t>13</w:t>
            </w:r>
          </w:p>
        </w:tc>
      </w:tr>
      <w:tr>
        <w:trPr>
          <w:cantSplit/>
        </w:trPr>
        <w:tc>
          <w:tcPr>
            <w:tcW w:type="dxa" w:w="3000"/>
            <w:tcMar>
              <w:top w:w="30" w:type="dxa"/>
              <w:bottom w:w="30" w:type="dxa"/>
              <w:left w:w="50" w:type="dxa"/>
              <w:right w:w="50" w:type="dxa"/>
            </w:tcMar>
            <w:shd w:fill="f8fafc"/>
          </w:tcPr>
          <w:p>
            <w:r>
              <w:rPr>
                <w:b/>
              </w:rPr>
              <w:t>Fig 7.2</w:t>
            </w:r>
          </w:p>
        </w:tc>
        <w:tc>
          <w:tcPr>
            <w:tcW w:type="dxa" w:w="3000"/>
            <w:tcMar>
              <w:top w:w="30" w:type="dxa"/>
              <w:bottom w:w="30" w:type="dxa"/>
              <w:left w:w="50" w:type="dxa"/>
              <w:right w:w="50" w:type="dxa"/>
            </w:tcMar>
            <w:shd w:fill="f8fafc"/>
          </w:tcPr>
          <w:p>
            <w:r>
              <w:t>Split-Conformal Guarantee Curve (Coverage vs Risk)</w:t>
            </w:r>
          </w:p>
        </w:tc>
        <w:tc>
          <w:tcPr>
            <w:tcW w:type="dxa" w:w="3000"/>
            <w:tcMar>
              <w:top w:w="30" w:type="dxa"/>
              <w:bottom w:w="30" w:type="dxa"/>
              <w:left w:w="50" w:type="dxa"/>
              <w:right w:w="50" w:type="dxa"/>
            </w:tcMar>
            <w:shd w:fill="f8fafc"/>
          </w:tcPr>
          <w:p>
            <w:pPr>
              <w:jc w:val="right"/>
            </w:pPr>
            <w:r>
              <w:t>14</w:t>
            </w:r>
          </w:p>
        </w:tc>
      </w:tr>
      <w:tr>
        <w:trPr>
          <w:cantSplit/>
        </w:trPr>
        <w:tc>
          <w:tcPr>
            <w:tcW w:type="dxa" w:w="3000"/>
            <w:tcMar>
              <w:top w:w="30" w:type="dxa"/>
              <w:bottom w:w="30" w:type="dxa"/>
              <w:left w:w="50" w:type="dxa"/>
              <w:right w:w="50" w:type="dxa"/>
            </w:tcMar>
          </w:tcPr>
          <w:p>
            <w:r>
              <w:rPr>
                <w:b/>
              </w:rPr>
              <w:t>Fig 7.3</w:t>
            </w:r>
          </w:p>
        </w:tc>
        <w:tc>
          <w:tcPr>
            <w:tcW w:type="dxa" w:w="3000"/>
            <w:tcMar>
              <w:top w:w="30" w:type="dxa"/>
              <w:bottom w:w="30" w:type="dxa"/>
              <w:left w:w="50" w:type="dxa"/>
              <w:right w:w="50" w:type="dxa"/>
            </w:tcMar>
          </w:tcPr>
          <w:p>
            <w:r>
              <w:t>Incident Resolution Time Reduction (MTTR) &amp; ROI Impact</w:t>
            </w:r>
          </w:p>
        </w:tc>
        <w:tc>
          <w:tcPr>
            <w:tcW w:type="dxa" w:w="3000"/>
            <w:tcMar>
              <w:top w:w="30" w:type="dxa"/>
              <w:bottom w:w="30" w:type="dxa"/>
              <w:left w:w="50" w:type="dxa"/>
              <w:right w:w="50" w:type="dxa"/>
            </w:tcMar>
          </w:tcPr>
          <w:p>
            <w:pPr>
              <w:jc w:val="right"/>
            </w:pPr>
            <w:r>
              <w:t>14</w:t>
            </w:r>
          </w:p>
        </w:tc>
      </w:tr>
      <w:tr>
        <w:trPr>
          <w:cantSplit/>
        </w:trPr>
        <w:tc>
          <w:tcPr>
            <w:tcW w:type="dxa" w:w="3000"/>
            <w:tcMar>
              <w:top w:w="30" w:type="dxa"/>
              <w:bottom w:w="30" w:type="dxa"/>
              <w:left w:w="50" w:type="dxa"/>
              <w:right w:w="50" w:type="dxa"/>
            </w:tcMar>
            <w:shd w:fill="f8fafc"/>
          </w:tcPr>
          <w:p>
            <w:r>
              <w:rPr>
                <w:b/>
              </w:rPr>
              <w:t>Fig 8.1</w:t>
            </w:r>
          </w:p>
        </w:tc>
        <w:tc>
          <w:tcPr>
            <w:tcW w:type="dxa" w:w="3000"/>
            <w:tcMar>
              <w:top w:w="30" w:type="dxa"/>
              <w:bottom w:w="30" w:type="dxa"/>
              <w:left w:w="50" w:type="dxa"/>
              <w:right w:w="50" w:type="dxa"/>
            </w:tcMar>
            <w:shd w:fill="f8fafc"/>
          </w:tcPr>
          <w:p>
            <w:r>
              <w:t>Streamlit Operations Console — Multi-Channel Triage</w:t>
            </w:r>
          </w:p>
        </w:tc>
        <w:tc>
          <w:tcPr>
            <w:tcW w:type="dxa" w:w="3000"/>
            <w:tcMar>
              <w:top w:w="30" w:type="dxa"/>
              <w:bottom w:w="30" w:type="dxa"/>
              <w:left w:w="50" w:type="dxa"/>
              <w:right w:w="50" w:type="dxa"/>
            </w:tcMar>
            <w:shd w:fill="f8fafc"/>
          </w:tcPr>
          <w:p>
            <w:pPr>
              <w:jc w:val="right"/>
            </w:pPr>
            <w:r>
              <w:t>15</w:t>
            </w:r>
          </w:p>
        </w:tc>
      </w:tr>
      <w:tr>
        <w:trPr>
          <w:cantSplit/>
        </w:trPr>
        <w:tc>
          <w:tcPr>
            <w:tcW w:type="dxa" w:w="3000"/>
            <w:tcMar>
              <w:top w:w="30" w:type="dxa"/>
              <w:bottom w:w="30" w:type="dxa"/>
              <w:left w:w="50" w:type="dxa"/>
              <w:right w:w="50" w:type="dxa"/>
            </w:tcMar>
          </w:tcPr>
          <w:p>
            <w:r>
              <w:rPr>
                <w:b/>
              </w:rPr>
              <w:t>Fig 8.2</w:t>
            </w:r>
          </w:p>
        </w:tc>
        <w:tc>
          <w:tcPr>
            <w:tcW w:type="dxa" w:w="3000"/>
            <w:tcMar>
              <w:top w:w="30" w:type="dxa"/>
              <w:bottom w:w="30" w:type="dxa"/>
              <w:left w:w="50" w:type="dxa"/>
              <w:right w:w="50" w:type="dxa"/>
            </w:tcMar>
          </w:tcPr>
          <w:p>
            <w:r>
              <w:t>Human-in-the-Loop Review Station &amp; Distribution Drift Monitor</w:t>
            </w:r>
          </w:p>
        </w:tc>
        <w:tc>
          <w:tcPr>
            <w:tcW w:type="dxa" w:w="3000"/>
            <w:tcMar>
              <w:top w:w="30" w:type="dxa"/>
              <w:bottom w:w="30" w:type="dxa"/>
              <w:left w:w="50" w:type="dxa"/>
              <w:right w:w="50" w:type="dxa"/>
            </w:tcMar>
          </w:tcPr>
          <w:p>
            <w:pPr>
              <w:jc w:val="right"/>
            </w:pPr>
            <w:r>
              <w:t>16</w:t>
            </w:r>
          </w:p>
        </w:tc>
      </w:tr>
    </w:tbl>
    <w:p>
      <w:pPr>
        <w:sectPr>
          <w:headerReference w:type="default" r:id="rId11"/>
          <w:footerReference w:type="default" r:id="rId12"/>
          <w:pgSz w:w="12240" w:h="15840"/>
          <w:pgMar w:top="1440" w:right="1440" w:bottom="1440" w:left="1800" w:header="720" w:footer="720" w:gutter="0"/>
          <w:cols w:space="720"/>
          <w:docGrid w:linePitch="360"/>
          <w:pgNumType w:fmt="lowerRoman" w:start="2"/>
        </w:sectPr>
      </w:pPr>
    </w:p>
    <w:p>
      <w:pPr>
        <w:keepNext/>
        <w:spacing w:before="280" w:after="120"/>
        <w:jc w:val="center"/>
      </w:pPr>
      <w:r>
        <w:rPr>
          <w:rFonts w:ascii="Times New Roman" w:hAnsi="Times New Roman"/>
          <w:b/>
          <w:color w:val="1E3A8A"/>
          <w:sz w:val="30"/>
        </w:rPr>
        <w:t>CHAPTER 1</w:t>
        <w:br/>
        <w:t>INTRODUCTION</w:t>
      </w:r>
    </w:p>
    <w:p>
      <w:pPr>
        <w:keepNext/>
        <w:spacing w:before="200" w:after="60"/>
        <w:jc w:val="left"/>
      </w:pPr>
      <w:r>
        <w:rPr>
          <w:rFonts w:ascii="Times New Roman" w:hAnsi="Times New Roman"/>
          <w:b/>
          <w:color w:val="0F172A"/>
          <w:sz w:val="26"/>
        </w:rPr>
        <w:t>1.1 Background &amp; Operational Context</w:t>
      </w:r>
    </w:p>
    <w:p>
      <w:pPr>
        <w:spacing w:before="0" w:after="100" w:line="288" w:lineRule="auto"/>
        <w:jc w:val="both"/>
      </w:pPr>
      <w:r>
        <w:rPr>
          <w:rFonts w:ascii="Times New Roman" w:hAnsi="Times New Roman"/>
          <w:color w:val="111827"/>
          <w:sz w:val="23"/>
        </w:rPr>
        <w:t>Customer support operations and IT Service Management (ITSM) divisions represent the vital communication frontline for enterprise institutions. Modern organizations in retail banking, financial technology (FinTech), e-commerce, and telecommunications routinely process millions of inbound inquiries monthly across fragmented channels, including self-service portals, email inboxes, conversational chatbots, and mobile application ticketing forms. Each incoming ticket arrives as unstructured, free-form natural language text, frequently characterized by colloquial expressions, informal punctuation, spelling errors, domain-specific acronyms, and varying degrees of customer frustration.</w:t>
      </w:r>
    </w:p>
    <w:p>
      <w:pPr>
        <w:spacing w:before="0" w:after="100" w:line="288" w:lineRule="auto"/>
        <w:jc w:val="both"/>
      </w:pPr>
      <w:r>
        <w:rPr>
          <w:rFonts w:ascii="Times New Roman" w:hAnsi="Times New Roman"/>
          <w:color w:val="111827"/>
          <w:sz w:val="23"/>
        </w:rPr>
        <w:t>Traditionally, reading, categorizing, prioritizing, and assigning these tickets to specialist resolver queues has been conducted manually by frontline human support dispatchers. Manual triage is inherently slow, subjective, and operationally expensive. Frontline staff members spend an estimated 8 to 15 minutes reviewing, researching, and manually tagging each incoming ticket before dispatching it to an engineering, billing, or security queue.</w:t>
      </w:r>
    </w:p>
    <w:p>
      <w:pPr>
        <w:keepNext/>
        <w:spacing w:before="200" w:after="60"/>
        <w:jc w:val="left"/>
      </w:pPr>
      <w:r>
        <w:rPr>
          <w:rFonts w:ascii="Times New Roman" w:hAnsi="Times New Roman"/>
          <w:b/>
          <w:color w:val="0F172A"/>
          <w:sz w:val="26"/>
        </w:rPr>
        <w:t>1.2 Problem Statement</w:t>
      </w:r>
    </w:p>
    <w:p>
      <w:pPr>
        <w:spacing w:before="0" w:after="100" w:line="288" w:lineRule="auto"/>
        <w:jc w:val="both"/>
      </w:pPr>
      <w:r>
        <w:rPr>
          <w:rFonts w:ascii="Times New Roman" w:hAnsi="Times New Roman"/>
          <w:color w:val="111827"/>
          <w:sz w:val="23"/>
        </w:rPr>
        <w:t>Enterprise support organizations face three severe operational bottlenecks across modern customer service workflows:</w:t>
      </w:r>
    </w:p>
    <w:p>
      <w:pPr>
        <w:spacing w:before="0" w:after="60" w:line="276" w:lineRule="auto"/>
        <w:ind w:left="360"/>
        <w:jc w:val="both"/>
      </w:pPr>
      <w:r>
        <w:rPr>
          <w:rFonts w:ascii="Times New Roman" w:hAnsi="Times New Roman"/>
          <w:b/>
          <w:color w:val="0F172A"/>
          <w:sz w:val="23"/>
        </w:rPr>
        <w:t xml:space="preserve">1. High Operational Latency: </w:t>
      </w:r>
      <w:r>
        <w:rPr>
          <w:rFonts w:ascii="Times New Roman" w:hAnsi="Times New Roman"/>
          <w:color w:val="111827"/>
          <w:sz w:val="23"/>
        </w:rPr>
        <w:t>Inbound tickets languish in generic intake queues for hours or days before human dispatchers assign them to the proper group. In financial services, critical incidents such as unauthorized payment debits, account compromises, or ATM failures demand resolution within strict Service Level Agreements (SLAs)—often under 15 minutes.</w:t>
      </w:r>
    </w:p>
    <w:p>
      <w:pPr>
        <w:spacing w:before="0" w:after="60" w:line="276" w:lineRule="auto"/>
        <w:ind w:left="360"/>
        <w:jc w:val="both"/>
      </w:pPr>
      <w:r>
        <w:rPr>
          <w:rFonts w:ascii="Times New Roman" w:hAnsi="Times New Roman"/>
          <w:b/>
          <w:color w:val="0F172A"/>
          <w:sz w:val="23"/>
        </w:rPr>
        <w:t xml:space="preserve">2. Inconsistent Classification &amp; Misrouting: </w:t>
      </w:r>
      <w:r>
        <w:rPr>
          <w:rFonts w:ascii="Times New Roman" w:hAnsi="Times New Roman"/>
          <w:color w:val="111827"/>
          <w:sz w:val="23"/>
        </w:rPr>
        <w:t>Human dispatchers introduce subjective bias and fatigue, misrouting up to 18% of tickets. Misrouted tickets bounce across departmental queues, inflating Mean Time to Resolution (MTTR) and customer churn.</w:t>
      </w:r>
    </w:p>
    <w:p>
      <w:pPr>
        <w:spacing w:before="0" w:after="60" w:line="276" w:lineRule="auto"/>
        <w:ind w:left="360"/>
        <w:jc w:val="both"/>
      </w:pPr>
      <w:r>
        <w:rPr>
          <w:rFonts w:ascii="Times New Roman" w:hAnsi="Times New Roman"/>
          <w:b/>
          <w:color w:val="0F172A"/>
          <w:sz w:val="23"/>
        </w:rPr>
        <w:t xml:space="preserve">3. Computational &amp; Economic Barriers of Modern AI: </w:t>
      </w:r>
      <w:r>
        <w:rPr>
          <w:rFonts w:ascii="Times New Roman" w:hAnsi="Times New Roman"/>
          <w:color w:val="111827"/>
          <w:sz w:val="23"/>
        </w:rPr>
        <w:t>While Deep Learning and Large Language Models (LLMs) offer high linguistic fluency, deploying monolithic transformers requires costly cloud GPU infrastructure, incurs high per-token operating costs, suffers from unpredictable serving latency (&gt;100 ms), and introduces severe hallucination risks by inventing non-existent transaction references.</w:t>
      </w:r>
    </w:p>
    <w:p>
      <w:pPr>
        <w:spacing w:before="0" w:after="100" w:line="288" w:lineRule="auto"/>
        <w:jc w:val="both"/>
      </w:pPr>
      <w:r>
        <w:rPr>
          <w:rFonts w:ascii="Times New Roman" w:hAnsi="Times New Roman"/>
          <w:color w:val="111827"/>
          <w:sz w:val="23"/>
        </w:rPr>
        <w:t>Therefore, there is an urgent industrial need for an integrated, low-latency Natural Language Understanding (NLU) engine capable of executing 100% offline on standard enterprise CPU servers, delivering calibrated abstention guarantees, and assisting human agents safely.</w:t>
      </w:r>
    </w:p>
    <w:p>
      <w:pPr>
        <w:keepNext/>
        <w:spacing w:before="200" w:after="60"/>
        <w:jc w:val="left"/>
      </w:pPr>
      <w:r>
        <w:rPr>
          <w:rFonts w:ascii="Times New Roman" w:hAnsi="Times New Roman"/>
          <w:b/>
          <w:color w:val="0F172A"/>
          <w:sz w:val="26"/>
        </w:rPr>
        <w:t>1.3 Objectives of the Engine</w:t>
      </w:r>
    </w:p>
    <w:p>
      <w:pPr>
        <w:spacing w:before="0" w:after="60" w:line="276" w:lineRule="auto"/>
        <w:ind w:left="360"/>
        <w:jc w:val="both"/>
      </w:pPr>
      <w:r>
        <w:rPr>
          <w:rFonts w:ascii="Times New Roman" w:hAnsi="Times New Roman"/>
          <w:b/>
          <w:color w:val="0F172A"/>
          <w:sz w:val="23"/>
        </w:rPr>
        <w:t xml:space="preserve">• Intent Classification: </w:t>
      </w:r>
      <w:r>
        <w:rPr>
          <w:rFonts w:ascii="Times New Roman" w:hAnsi="Times New Roman"/>
          <w:color w:val="111827"/>
          <w:sz w:val="23"/>
        </w:rPr>
        <w:t>Automatically classify customer tickets into 11 enterprise business categories with &gt;94% accuracy.</w:t>
      </w:r>
    </w:p>
    <w:p>
      <w:pPr>
        <w:spacing w:before="0" w:after="60" w:line="276" w:lineRule="auto"/>
        <w:ind w:left="360"/>
        <w:jc w:val="both"/>
      </w:pPr>
      <w:r>
        <w:rPr>
          <w:rFonts w:ascii="Times New Roman" w:hAnsi="Times New Roman"/>
          <w:b/>
          <w:color w:val="0F172A"/>
          <w:sz w:val="23"/>
        </w:rPr>
        <w:t xml:space="preserve">• Multimodal Context Extraction: </w:t>
      </w:r>
      <w:r>
        <w:rPr>
          <w:rFonts w:ascii="Times New Roman" w:hAnsi="Times New Roman"/>
          <w:color w:val="111827"/>
          <w:sz w:val="23"/>
        </w:rPr>
        <w:t>Extract key operational entities including Transaction IDs, Error Codes, Payment Rails, Masked Accounts, and monetary amounts (supporting Indian Rupee and international currency notations).</w:t>
      </w:r>
    </w:p>
    <w:p>
      <w:pPr>
        <w:spacing w:before="0" w:after="60" w:line="276" w:lineRule="auto"/>
        <w:ind w:left="360"/>
        <w:jc w:val="both"/>
      </w:pPr>
      <w:r>
        <w:rPr>
          <w:rFonts w:ascii="Times New Roman" w:hAnsi="Times New Roman"/>
          <w:b/>
          <w:color w:val="0F172A"/>
          <w:sz w:val="23"/>
        </w:rPr>
        <w:t xml:space="preserve">• Sentiment &amp; Urgency Analysis: </w:t>
      </w:r>
      <w:r>
        <w:rPr>
          <w:rFonts w:ascii="Times New Roman" w:hAnsi="Times New Roman"/>
          <w:color w:val="111827"/>
          <w:sz w:val="23"/>
        </w:rPr>
        <w:t>Detect customer emotional tone and score urgency signals to prevent under-prioritizing frustrated users.</w:t>
      </w:r>
    </w:p>
    <w:p>
      <w:pPr>
        <w:spacing w:before="0" w:after="60" w:line="276" w:lineRule="auto"/>
        <w:ind w:left="360"/>
        <w:jc w:val="both"/>
      </w:pPr>
      <w:r>
        <w:rPr>
          <w:rFonts w:ascii="Times New Roman" w:hAnsi="Times New Roman"/>
          <w:b/>
          <w:color w:val="0F172A"/>
          <w:sz w:val="23"/>
        </w:rPr>
        <w:t xml:space="preserve">• ITIL SLA Priority Assignment: </w:t>
      </w:r>
      <w:r>
        <w:rPr>
          <w:rFonts w:ascii="Times New Roman" w:hAnsi="Times New Roman"/>
          <w:color w:val="111827"/>
          <w:sz w:val="23"/>
        </w:rPr>
        <w:t>Dynamically assign priorities (P0 to P3) based on category severity, money at risk, and non-text CRM signals.</w:t>
      </w:r>
    </w:p>
    <w:p>
      <w:pPr>
        <w:spacing w:before="0" w:after="60" w:line="276" w:lineRule="auto"/>
        <w:ind w:left="360"/>
        <w:jc w:val="both"/>
      </w:pPr>
      <w:r>
        <w:rPr>
          <w:rFonts w:ascii="Times New Roman" w:hAnsi="Times New Roman"/>
          <w:b/>
          <w:color w:val="0F172A"/>
          <w:sz w:val="23"/>
        </w:rPr>
        <w:t xml:space="preserve">• Conformal Confidence Gating: </w:t>
      </w:r>
      <w:r>
        <w:rPr>
          <w:rFonts w:ascii="Times New Roman" w:hAnsi="Times New Roman"/>
          <w:color w:val="111827"/>
          <w:sz w:val="23"/>
        </w:rPr>
        <w:t>Implement finite-sample split-conformal guarantees to auto-deflect &gt;90% of routine tickets at 100% accuracy.</w:t>
      </w:r>
    </w:p>
    <w:p>
      <w:pPr>
        <w:spacing w:before="0" w:after="60" w:line="276" w:lineRule="auto"/>
        <w:ind w:left="360"/>
        <w:jc w:val="both"/>
      </w:pPr>
      <w:r>
        <w:rPr>
          <w:rFonts w:ascii="Times New Roman" w:hAnsi="Times New Roman"/>
          <w:b/>
          <w:color w:val="0F172A"/>
          <w:sz w:val="23"/>
        </w:rPr>
        <w:t xml:space="preserve">• Human-in-the-Loop (HITL) Drafting: </w:t>
      </w:r>
      <w:r>
        <w:rPr>
          <w:rFonts w:ascii="Times New Roman" w:hAnsi="Times New Roman"/>
          <w:color w:val="111827"/>
          <w:sz w:val="23"/>
        </w:rPr>
        <w:t>Provide grounded draft replies with atomic claim verification for escalated tickets, strictly blocking hallucinated reference IDs.</w:t>
      </w:r>
    </w:p>
    <w:p>
      <w:pPr>
        <w:spacing w:before="0" w:after="60" w:line="276" w:lineRule="auto"/>
        <w:ind w:left="360"/>
        <w:jc w:val="both"/>
      </w:pPr>
      <w:r>
        <w:rPr>
          <w:rFonts w:ascii="Times New Roman" w:hAnsi="Times New Roman"/>
          <w:b/>
          <w:color w:val="0F172A"/>
          <w:sz w:val="23"/>
        </w:rPr>
        <w:t xml:space="preserve">• CPU-Only Efficiency: </w:t>
      </w:r>
      <w:r>
        <w:rPr>
          <w:rFonts w:ascii="Times New Roman" w:hAnsi="Times New Roman"/>
          <w:color w:val="111827"/>
          <w:sz w:val="23"/>
        </w:rPr>
        <w:t>Deliver sub-50 ms inference latency with an ultra-lightweight footprint (&lt;2 MB model size).</w:t>
      </w:r>
    </w:p>
    <w:p>
      <w:r>
        <w:br w:type="page"/>
      </w:r>
    </w:p>
    <w:p>
      <w:pPr>
        <w:keepNext/>
        <w:spacing w:before="280" w:after="120"/>
        <w:jc w:val="center"/>
      </w:pPr>
      <w:r>
        <w:rPr>
          <w:rFonts w:ascii="Times New Roman" w:hAnsi="Times New Roman"/>
          <w:b/>
          <w:color w:val="1E3A8A"/>
          <w:sz w:val="30"/>
        </w:rPr>
        <w:t>CHAPTER 2</w:t>
        <w:br/>
        <w:t>LITERATURE SURVEY</w:t>
      </w:r>
    </w:p>
    <w:p>
      <w:pPr>
        <w:spacing w:before="0" w:after="100" w:line="288" w:lineRule="auto"/>
        <w:jc w:val="both"/>
      </w:pPr>
      <w:r>
        <w:rPr>
          <w:rFonts w:ascii="Times New Roman" w:hAnsi="Times New Roman"/>
          <w:color w:val="111827"/>
          <w:sz w:val="23"/>
        </w:rPr>
        <w:t>Ticket automation and conversational understanding have witnessed significant academic and commercial interest. A rigorous survey was conducted across classical machine learning, dense sentence encoders, transformer models, selective classification, and retrieval-augmented architectures. Table 2.1 summarizes the foundational works analyzed.</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250"/>
        <w:gridCol w:w="2250"/>
        <w:gridCol w:w="2250"/>
        <w:gridCol w:w="2250"/>
      </w:tblGrid>
      <w:tr>
        <w:trPr>
          <w:cantSplit/>
          <w:tblHeader/>
        </w:trPr>
        <w:tc>
          <w:tcPr>
            <w:tcW w:type="dxa" w:w="2250"/>
            <w:shd w:fill="1e3a8a"/>
            <w:tcMar>
              <w:top w:w="40" w:type="dxa"/>
              <w:bottom w:w="40" w:type="dxa"/>
              <w:left w:w="50" w:type="dxa"/>
              <w:right w:w="50" w:type="dxa"/>
            </w:tcMar>
          </w:tcPr>
          <w:p>
            <w:r>
              <w:rPr>
                <w:b/>
                <w:color w:val="FFFFFF"/>
              </w:rPr>
              <w:t>Author &amp; Year</w:t>
            </w:r>
          </w:p>
        </w:tc>
        <w:tc>
          <w:tcPr>
            <w:tcW w:type="dxa" w:w="2250"/>
            <w:shd w:fill="1e3a8a"/>
            <w:tcMar>
              <w:top w:w="40" w:type="dxa"/>
              <w:bottom w:w="40" w:type="dxa"/>
              <w:left w:w="50" w:type="dxa"/>
              <w:right w:w="50" w:type="dxa"/>
            </w:tcMar>
          </w:tcPr>
          <w:p>
            <w:r>
              <w:rPr>
                <w:b/>
                <w:color w:val="FFFFFF"/>
              </w:rPr>
              <w:t>Title</w:t>
            </w:r>
          </w:p>
        </w:tc>
        <w:tc>
          <w:tcPr>
            <w:tcW w:type="dxa" w:w="2250"/>
            <w:shd w:fill="1e3a8a"/>
            <w:tcMar>
              <w:top w:w="40" w:type="dxa"/>
              <w:bottom w:w="40" w:type="dxa"/>
              <w:left w:w="50" w:type="dxa"/>
              <w:right w:w="50" w:type="dxa"/>
            </w:tcMar>
          </w:tcPr>
          <w:p>
            <w:r>
              <w:rPr>
                <w:b/>
                <w:color w:val="FFFFFF"/>
              </w:rPr>
              <w:t>Technique Used</w:t>
            </w:r>
          </w:p>
        </w:tc>
        <w:tc>
          <w:tcPr>
            <w:tcW w:type="dxa" w:w="2250"/>
            <w:shd w:fill="1e3a8a"/>
            <w:tcMar>
              <w:top w:w="40" w:type="dxa"/>
              <w:bottom w:w="40" w:type="dxa"/>
              <w:left w:w="50" w:type="dxa"/>
              <w:right w:w="50" w:type="dxa"/>
            </w:tcMar>
          </w:tcPr>
          <w:p>
            <w:r>
              <w:rPr>
                <w:b/>
                <w:color w:val="FFFFFF"/>
              </w:rPr>
              <w:t>Key Limitations / Research Gap</w:t>
            </w:r>
          </w:p>
        </w:tc>
      </w:tr>
      <w:tr>
        <w:trPr>
          <w:cantSplit/>
        </w:trPr>
        <w:tc>
          <w:tcPr>
            <w:tcW w:type="dxa" w:w="2250"/>
            <w:tcMar>
              <w:top w:w="35" w:type="dxa"/>
              <w:bottom w:w="35" w:type="dxa"/>
              <w:left w:w="50" w:type="dxa"/>
              <w:right w:w="50" w:type="dxa"/>
            </w:tcMar>
          </w:tcPr>
          <w:p>
            <w:r>
              <w:rPr>
                <w:b/>
              </w:rPr>
              <w:t>Paramesh &amp; Shreedhara (2019)</w:t>
            </w:r>
          </w:p>
        </w:tc>
        <w:tc>
          <w:tcPr>
            <w:tcW w:type="dxa" w:w="2250"/>
            <w:tcMar>
              <w:top w:w="35" w:type="dxa"/>
              <w:bottom w:w="35" w:type="dxa"/>
              <w:left w:w="50" w:type="dxa"/>
              <w:right w:w="50" w:type="dxa"/>
            </w:tcMar>
          </w:tcPr>
          <w:p>
            <w:r>
              <w:t>Automated IT Service Desk Systems Using ML</w:t>
            </w:r>
          </w:p>
        </w:tc>
        <w:tc>
          <w:tcPr>
            <w:tcW w:type="dxa" w:w="2250"/>
            <w:tcMar>
              <w:top w:w="35" w:type="dxa"/>
              <w:bottom w:w="35" w:type="dxa"/>
              <w:left w:w="50" w:type="dxa"/>
              <w:right w:w="50" w:type="dxa"/>
            </w:tcMar>
          </w:tcPr>
          <w:p>
            <w:r>
              <w:t>TF-IDF + Naive Bayes, SVM on IT tickets</w:t>
            </w:r>
          </w:p>
        </w:tc>
        <w:tc>
          <w:tcPr>
            <w:tcW w:type="dxa" w:w="2250"/>
            <w:tcMar>
              <w:top w:w="35" w:type="dxa"/>
              <w:bottom w:w="35" w:type="dxa"/>
              <w:left w:w="50" w:type="dxa"/>
              <w:right w:w="50" w:type="dxa"/>
            </w:tcMar>
          </w:tcPr>
          <w:p>
            <w:r>
              <w:t>Classical text features only; ignores customer sentiment, SLA priority, and draft replies.</w:t>
            </w:r>
          </w:p>
        </w:tc>
      </w:tr>
      <w:tr>
        <w:trPr>
          <w:cantSplit/>
        </w:trPr>
        <w:tc>
          <w:tcPr>
            <w:tcW w:type="dxa" w:w="2250"/>
            <w:tcMar>
              <w:top w:w="35" w:type="dxa"/>
              <w:bottom w:w="35" w:type="dxa"/>
              <w:left w:w="50" w:type="dxa"/>
              <w:right w:w="50" w:type="dxa"/>
            </w:tcMar>
            <w:shd w:fill="f8fafc"/>
          </w:tcPr>
          <w:p>
            <w:r>
              <w:rPr>
                <w:b/>
              </w:rPr>
              <w:t>Zangari et al. (2023)</w:t>
            </w:r>
          </w:p>
        </w:tc>
        <w:tc>
          <w:tcPr>
            <w:tcW w:type="dxa" w:w="2250"/>
            <w:tcMar>
              <w:top w:w="35" w:type="dxa"/>
              <w:bottom w:w="35" w:type="dxa"/>
              <w:left w:w="50" w:type="dxa"/>
              <w:right w:w="50" w:type="dxa"/>
            </w:tcMar>
            <w:shd w:fill="f8fafc"/>
          </w:tcPr>
          <w:p>
            <w:r>
              <w:t>Ticket Automation: Insight into Current Research</w:t>
            </w:r>
          </w:p>
        </w:tc>
        <w:tc>
          <w:tcPr>
            <w:tcW w:type="dxa" w:w="2250"/>
            <w:tcMar>
              <w:top w:w="35" w:type="dxa"/>
              <w:bottom w:w="35" w:type="dxa"/>
              <w:left w:w="50" w:type="dxa"/>
              <w:right w:w="50" w:type="dxa"/>
            </w:tcMar>
            <w:shd w:fill="f8fafc"/>
          </w:tcPr>
          <w:p>
            <w:r>
              <w:t>Comprehensive survey of multi-level ticket classification</w:t>
            </w:r>
          </w:p>
        </w:tc>
        <w:tc>
          <w:tcPr>
            <w:tcW w:type="dxa" w:w="2250"/>
            <w:tcMar>
              <w:top w:w="35" w:type="dxa"/>
              <w:bottom w:w="35" w:type="dxa"/>
              <w:left w:w="50" w:type="dxa"/>
              <w:right w:w="50" w:type="dxa"/>
            </w:tcMar>
            <w:shd w:fill="f8fafc"/>
          </w:tcPr>
          <w:p>
            <w:r>
              <w:t>Survey work only; provides no deployable low-latency pipeline or calibrated abstention.</w:t>
            </w:r>
          </w:p>
        </w:tc>
      </w:tr>
      <w:tr>
        <w:trPr>
          <w:cantSplit/>
        </w:trPr>
        <w:tc>
          <w:tcPr>
            <w:tcW w:type="dxa" w:w="2250"/>
            <w:tcMar>
              <w:top w:w="35" w:type="dxa"/>
              <w:bottom w:w="35" w:type="dxa"/>
              <w:left w:w="50" w:type="dxa"/>
              <w:right w:w="50" w:type="dxa"/>
            </w:tcMar>
          </w:tcPr>
          <w:p>
            <w:r>
              <w:rPr>
                <w:b/>
              </w:rPr>
              <w:t>Casanueva et al. (2020)</w:t>
            </w:r>
          </w:p>
        </w:tc>
        <w:tc>
          <w:tcPr>
            <w:tcW w:type="dxa" w:w="2250"/>
            <w:tcMar>
              <w:top w:w="35" w:type="dxa"/>
              <w:bottom w:w="35" w:type="dxa"/>
              <w:left w:w="50" w:type="dxa"/>
              <w:right w:w="50" w:type="dxa"/>
            </w:tcMar>
          </w:tcPr>
          <w:p>
            <w:r>
              <w:t>Efficient Intent Detection with Dual Sentence Encoders</w:t>
            </w:r>
          </w:p>
        </w:tc>
        <w:tc>
          <w:tcPr>
            <w:tcW w:type="dxa" w:w="2250"/>
            <w:tcMar>
              <w:top w:w="35" w:type="dxa"/>
              <w:bottom w:w="35" w:type="dxa"/>
              <w:left w:w="50" w:type="dxa"/>
              <w:right w:w="50" w:type="dxa"/>
            </w:tcMar>
          </w:tcPr>
          <w:p>
            <w:r>
              <w:t>Pretrained dual encoders; introduces Banking77 corpus</w:t>
            </w:r>
          </w:p>
        </w:tc>
        <w:tc>
          <w:tcPr>
            <w:tcW w:type="dxa" w:w="2250"/>
            <w:tcMar>
              <w:top w:w="35" w:type="dxa"/>
              <w:bottom w:w="35" w:type="dxa"/>
              <w:left w:w="50" w:type="dxa"/>
              <w:right w:w="50" w:type="dxa"/>
            </w:tcMar>
          </w:tcPr>
          <w:p>
            <w:r>
              <w:t>Focuses purely on intent detection; ignores non-text CRM signals and routing queues.</w:t>
            </w:r>
          </w:p>
        </w:tc>
      </w:tr>
      <w:tr>
        <w:trPr>
          <w:cantSplit/>
        </w:trPr>
        <w:tc>
          <w:tcPr>
            <w:tcW w:type="dxa" w:w="2250"/>
            <w:tcMar>
              <w:top w:w="35" w:type="dxa"/>
              <w:bottom w:w="35" w:type="dxa"/>
              <w:left w:w="50" w:type="dxa"/>
              <w:right w:w="50" w:type="dxa"/>
            </w:tcMar>
            <w:shd w:fill="f8fafc"/>
          </w:tcPr>
          <w:p>
            <w:r>
              <w:rPr>
                <w:b/>
              </w:rPr>
              <w:t>Devlin et al. (2019)</w:t>
            </w:r>
          </w:p>
        </w:tc>
        <w:tc>
          <w:tcPr>
            <w:tcW w:type="dxa" w:w="2250"/>
            <w:tcMar>
              <w:top w:w="35" w:type="dxa"/>
              <w:bottom w:w="35" w:type="dxa"/>
              <w:left w:w="50" w:type="dxa"/>
              <w:right w:w="50" w:type="dxa"/>
            </w:tcMar>
            <w:shd w:fill="f8fafc"/>
          </w:tcPr>
          <w:p>
            <w:r>
              <w:t>BERT: Deep Bidirectional Transformers for NLU</w:t>
            </w:r>
          </w:p>
        </w:tc>
        <w:tc>
          <w:tcPr>
            <w:tcW w:type="dxa" w:w="2250"/>
            <w:tcMar>
              <w:top w:w="35" w:type="dxa"/>
              <w:bottom w:w="35" w:type="dxa"/>
              <w:left w:w="50" w:type="dxa"/>
              <w:right w:w="50" w:type="dxa"/>
            </w:tcMar>
            <w:shd w:fill="f8fafc"/>
          </w:tcPr>
          <w:p>
            <w:r>
              <w:t>Pretrained deep bidirectional transformer</w:t>
            </w:r>
          </w:p>
        </w:tc>
        <w:tc>
          <w:tcPr>
            <w:tcW w:type="dxa" w:w="2250"/>
            <w:tcMar>
              <w:top w:w="35" w:type="dxa"/>
              <w:bottom w:w="35" w:type="dxa"/>
              <w:left w:w="50" w:type="dxa"/>
              <w:right w:w="50" w:type="dxa"/>
            </w:tcMar>
            <w:shd w:fill="f8fafc"/>
          </w:tcPr>
          <w:p>
            <w:r>
              <w:t>Massive computational complexity; excessive latency and RAM overhead on standard enterprise CPUs.</w:t>
            </w:r>
          </w:p>
        </w:tc>
      </w:tr>
      <w:tr>
        <w:trPr>
          <w:cantSplit/>
        </w:trPr>
        <w:tc>
          <w:tcPr>
            <w:tcW w:type="dxa" w:w="2250"/>
            <w:tcMar>
              <w:top w:w="35" w:type="dxa"/>
              <w:bottom w:w="35" w:type="dxa"/>
              <w:left w:w="50" w:type="dxa"/>
              <w:right w:w="50" w:type="dxa"/>
            </w:tcMar>
          </w:tcPr>
          <w:p>
            <w:r>
              <w:rPr>
                <w:b/>
              </w:rPr>
              <w:t>Sanh et al. (2019)</w:t>
            </w:r>
          </w:p>
        </w:tc>
        <w:tc>
          <w:tcPr>
            <w:tcW w:type="dxa" w:w="2250"/>
            <w:tcMar>
              <w:top w:w="35" w:type="dxa"/>
              <w:bottom w:w="35" w:type="dxa"/>
              <w:left w:w="50" w:type="dxa"/>
              <w:right w:w="50" w:type="dxa"/>
            </w:tcMar>
          </w:tcPr>
          <w:p>
            <w:r>
              <w:t>DistilBERT: A Distilled Version of BERT</w:t>
            </w:r>
          </w:p>
        </w:tc>
        <w:tc>
          <w:tcPr>
            <w:tcW w:type="dxa" w:w="2250"/>
            <w:tcMar>
              <w:top w:w="35" w:type="dxa"/>
              <w:bottom w:w="35" w:type="dxa"/>
              <w:left w:w="50" w:type="dxa"/>
              <w:right w:w="50" w:type="dxa"/>
            </w:tcMar>
          </w:tcPr>
          <w:p>
            <w:r>
              <w:t>Knowledge distillation during pre-training (40% smaller)</w:t>
            </w:r>
          </w:p>
        </w:tc>
        <w:tc>
          <w:tcPr>
            <w:tcW w:type="dxa" w:w="2250"/>
            <w:tcMar>
              <w:top w:w="35" w:type="dxa"/>
              <w:bottom w:w="35" w:type="dxa"/>
              <w:left w:w="50" w:type="dxa"/>
              <w:right w:w="50" w:type="dxa"/>
            </w:tcMar>
          </w:tcPr>
          <w:p>
            <w:r>
              <w:t>Still requires 268 MB memory and 105 ms CPU latency; poorly calibrated probabilities under class imbalance.</w:t>
            </w:r>
          </w:p>
        </w:tc>
      </w:tr>
      <w:tr>
        <w:trPr>
          <w:cantSplit/>
        </w:trPr>
        <w:tc>
          <w:tcPr>
            <w:tcW w:type="dxa" w:w="2250"/>
            <w:tcMar>
              <w:top w:w="35" w:type="dxa"/>
              <w:bottom w:w="35" w:type="dxa"/>
              <w:left w:w="50" w:type="dxa"/>
              <w:right w:w="50" w:type="dxa"/>
            </w:tcMar>
            <w:shd w:fill="f8fafc"/>
          </w:tcPr>
          <w:p>
            <w:r>
              <w:rPr>
                <w:b/>
              </w:rPr>
              <w:t>Angelopoulos &amp; Bates (2021)</w:t>
            </w:r>
          </w:p>
        </w:tc>
        <w:tc>
          <w:tcPr>
            <w:tcW w:type="dxa" w:w="2250"/>
            <w:tcMar>
              <w:top w:w="35" w:type="dxa"/>
              <w:bottom w:w="35" w:type="dxa"/>
              <w:left w:w="50" w:type="dxa"/>
              <w:right w:w="50" w:type="dxa"/>
            </w:tcMar>
            <w:shd w:fill="f8fafc"/>
          </w:tcPr>
          <w:p>
            <w:r>
              <w:t>A Gentle Introduction to Conformal Prediction</w:t>
            </w:r>
          </w:p>
        </w:tc>
        <w:tc>
          <w:tcPr>
            <w:tcW w:type="dxa" w:w="2250"/>
            <w:tcMar>
              <w:top w:w="35" w:type="dxa"/>
              <w:bottom w:w="35" w:type="dxa"/>
              <w:left w:w="50" w:type="dxa"/>
              <w:right w:w="50" w:type="dxa"/>
            </w:tcMar>
            <w:shd w:fill="f8fafc"/>
          </w:tcPr>
          <w:p>
            <w:r>
              <w:t>Split-conformal prediction theory for risk control</w:t>
            </w:r>
          </w:p>
        </w:tc>
        <w:tc>
          <w:tcPr>
            <w:tcW w:type="dxa" w:w="2250"/>
            <w:tcMar>
              <w:top w:w="35" w:type="dxa"/>
              <w:bottom w:w="35" w:type="dxa"/>
              <w:left w:w="50" w:type="dxa"/>
              <w:right w:w="50" w:type="dxa"/>
            </w:tcMar>
            <w:shd w:fill="f8fafc"/>
          </w:tcPr>
          <w:p>
            <w:r>
              <w:t>Theoretical statistical framework; not previously applied to integrated multi-tier ticket triage.</w:t>
            </w:r>
          </w:p>
        </w:tc>
      </w:tr>
      <w:tr>
        <w:trPr>
          <w:cantSplit/>
        </w:trPr>
        <w:tc>
          <w:tcPr>
            <w:tcW w:type="dxa" w:w="2250"/>
            <w:tcMar>
              <w:top w:w="35" w:type="dxa"/>
              <w:bottom w:w="35" w:type="dxa"/>
              <w:left w:w="50" w:type="dxa"/>
              <w:right w:w="50" w:type="dxa"/>
            </w:tcMar>
          </w:tcPr>
          <w:p>
            <w:r>
              <w:rPr>
                <w:b/>
              </w:rPr>
              <w:t>Lewis et al. (2020)</w:t>
            </w:r>
          </w:p>
        </w:tc>
        <w:tc>
          <w:tcPr>
            <w:tcW w:type="dxa" w:w="2250"/>
            <w:tcMar>
              <w:top w:w="35" w:type="dxa"/>
              <w:bottom w:w="35" w:type="dxa"/>
              <w:left w:w="50" w:type="dxa"/>
              <w:right w:w="50" w:type="dxa"/>
            </w:tcMar>
          </w:tcPr>
          <w:p>
            <w:r>
              <w:t>Retrieval-Augmented Generation for NLP Tasks</w:t>
            </w:r>
          </w:p>
        </w:tc>
        <w:tc>
          <w:tcPr>
            <w:tcW w:type="dxa" w:w="2250"/>
            <w:tcMar>
              <w:top w:w="35" w:type="dxa"/>
              <w:bottom w:w="35" w:type="dxa"/>
              <w:left w:w="50" w:type="dxa"/>
              <w:right w:w="50" w:type="dxa"/>
            </w:tcMar>
          </w:tcPr>
          <w:p>
            <w:r>
              <w:t>RAG combining retrieval indices with seq2seq models</w:t>
            </w:r>
          </w:p>
        </w:tc>
        <w:tc>
          <w:tcPr>
            <w:tcW w:type="dxa" w:w="2250"/>
            <w:tcMar>
              <w:top w:w="35" w:type="dxa"/>
              <w:bottom w:w="35" w:type="dxa"/>
              <w:left w:w="50" w:type="dxa"/>
              <w:right w:w="50" w:type="dxa"/>
            </w:tcMar>
          </w:tcPr>
          <w:p>
            <w:r>
              <w:t>Generative hallucinations risk inventing false case IDs; requires strict verification before dispatch.</w:t>
            </w:r>
          </w:p>
        </w:tc>
      </w:tr>
    </w:tbl>
    <w:p>
      <w:pPr>
        <w:spacing w:before="80" w:after="160"/>
        <w:jc w:val="center"/>
      </w:pPr>
      <w:r>
        <w:rPr>
          <w:b/>
          <w:sz w:val="20"/>
        </w:rPr>
        <w:t>Table 2.1: Comprehensive Literature Survey and Research Gap Matrix</w:t>
      </w:r>
    </w:p>
    <w:p>
      <w:pPr>
        <w:keepNext/>
        <w:spacing w:before="200" w:after="60"/>
        <w:jc w:val="left"/>
      </w:pPr>
      <w:r>
        <w:rPr>
          <w:rFonts w:ascii="Times New Roman" w:hAnsi="Times New Roman"/>
          <w:b/>
          <w:color w:val="0F172A"/>
          <w:sz w:val="26"/>
        </w:rPr>
        <w:t>2.2 Research Gaps &amp; Proposed Innovation</w:t>
      </w:r>
    </w:p>
    <w:p>
      <w:pPr>
        <w:spacing w:before="0" w:after="100" w:line="288" w:lineRule="auto"/>
        <w:jc w:val="both"/>
      </w:pPr>
      <w:r>
        <w:rPr>
          <w:rFonts w:ascii="Times New Roman" w:hAnsi="Times New Roman"/>
          <w:color w:val="111827"/>
          <w:sz w:val="23"/>
        </w:rPr>
        <w:t>Existing research displays two critical deficiencies: classical methods lack calibration and context awareness, while modern transformer approaches are computationally excessive for edge deployments and prone to hallucinations. The proposed system bridges this divide through an ultra-fast hybrid cascade that fuses sparse lexical retrieval with temperature-scaled linear classification, bounded by split-conformal statistical coverage.</w:t>
      </w:r>
    </w:p>
    <w:p>
      <w:r>
        <w:br w:type="page"/>
      </w:r>
    </w:p>
    <w:p>
      <w:pPr>
        <w:keepNext/>
        <w:spacing w:before="280" w:after="120"/>
        <w:jc w:val="center"/>
      </w:pPr>
      <w:r>
        <w:rPr>
          <w:rFonts w:ascii="Times New Roman" w:hAnsi="Times New Roman"/>
          <w:b/>
          <w:color w:val="1E3A8A"/>
          <w:sz w:val="30"/>
        </w:rPr>
        <w:t>CHAPTER 3</w:t>
        <w:br/>
        <w:t>SYSTEM ANALYSIS</w:t>
      </w:r>
    </w:p>
    <w:p>
      <w:pPr>
        <w:keepNext/>
        <w:spacing w:before="200" w:after="60"/>
        <w:jc w:val="left"/>
      </w:pPr>
      <w:r>
        <w:rPr>
          <w:rFonts w:ascii="Times New Roman" w:hAnsi="Times New Roman"/>
          <w:b/>
          <w:color w:val="0F172A"/>
          <w:sz w:val="26"/>
        </w:rPr>
        <w:t>3.1 Existing Systems Analysis</w:t>
      </w:r>
    </w:p>
    <w:p>
      <w:pPr>
        <w:spacing w:before="0" w:after="100" w:line="288" w:lineRule="auto"/>
        <w:jc w:val="both"/>
      </w:pPr>
      <w:r>
        <w:rPr>
          <w:rFonts w:ascii="Times New Roman" w:hAnsi="Times New Roman"/>
          <w:color w:val="111827"/>
          <w:sz w:val="23"/>
        </w:rPr>
        <w:t>Commercial ITSM and customer service platforms (e.g., Salesforce Service Cloud, Zendesk Support, Freshdesk, ServiceNow) employ various degrees of automation across customer operations:</w:t>
      </w:r>
    </w:p>
    <w:p>
      <w:pPr>
        <w:spacing w:before="0" w:after="60" w:line="276" w:lineRule="auto"/>
        <w:ind w:left="360"/>
        <w:jc w:val="both"/>
      </w:pPr>
      <w:r>
        <w:rPr>
          <w:rFonts w:ascii="Times New Roman" w:hAnsi="Times New Roman"/>
          <w:b/>
          <w:color w:val="0F172A"/>
          <w:sz w:val="23"/>
        </w:rPr>
        <w:t xml:space="preserve">• Keyword &amp; Regex Rule Engines: </w:t>
      </w:r>
      <w:r>
        <w:rPr>
          <w:rFonts w:ascii="Times New Roman" w:hAnsi="Times New Roman"/>
          <w:color w:val="111827"/>
          <w:sz w:val="23"/>
        </w:rPr>
        <w:t>Fragile string-matching triggers that break on typos, slang, or negated sentences.</w:t>
      </w:r>
    </w:p>
    <w:p>
      <w:pPr>
        <w:spacing w:before="0" w:after="60" w:line="276" w:lineRule="auto"/>
        <w:ind w:left="360"/>
        <w:jc w:val="both"/>
      </w:pPr>
      <w:r>
        <w:rPr>
          <w:rFonts w:ascii="Times New Roman" w:hAnsi="Times New Roman"/>
          <w:b/>
          <w:color w:val="0F172A"/>
          <w:sz w:val="23"/>
        </w:rPr>
        <w:t xml:space="preserve">• Single-Shot Monolithic Classifiers: </w:t>
      </w:r>
      <w:r>
        <w:rPr>
          <w:rFonts w:ascii="Times New Roman" w:hAnsi="Times New Roman"/>
          <w:color w:val="111827"/>
          <w:sz w:val="23"/>
        </w:rPr>
        <w:t>Classify tickets into top-level queues but lack confidence calibration. Under an 18.7:1 class imbalance, uncalibrated models overconfidently misclassify rare but catastrophic fraud incidents.</w:t>
      </w:r>
    </w:p>
    <w:p>
      <w:pPr>
        <w:spacing w:before="0" w:after="60" w:line="276" w:lineRule="auto"/>
        <w:ind w:left="360"/>
        <w:jc w:val="both"/>
      </w:pPr>
      <w:r>
        <w:rPr>
          <w:rFonts w:ascii="Times New Roman" w:hAnsi="Times New Roman"/>
          <w:b/>
          <w:color w:val="0F172A"/>
          <w:sz w:val="23"/>
        </w:rPr>
        <w:t xml:space="preserve">• Cloud LLM Chatbots: </w:t>
      </w:r>
      <w:r>
        <w:rPr>
          <w:rFonts w:ascii="Times New Roman" w:hAnsi="Times New Roman"/>
          <w:color w:val="111827"/>
          <w:sz w:val="23"/>
        </w:rPr>
        <w:t>Rely on external proprietary APIs (e.g. GPT-4). This introduces compliance risks under banking secrecy regulations (data transmission to third-party servers), high per-token billing, and unpredictable hallucination of customer case numbers.</w:t>
      </w:r>
    </w:p>
    <w:p>
      <w:pPr>
        <w:keepNext/>
        <w:spacing w:before="200" w:after="60"/>
        <w:jc w:val="left"/>
      </w:pPr>
      <w:r>
        <w:rPr>
          <w:rFonts w:ascii="Times New Roman" w:hAnsi="Times New Roman"/>
          <w:b/>
          <w:color w:val="0F172A"/>
          <w:sz w:val="26"/>
        </w:rPr>
        <w:t>3.2 Proposed System Architecture &amp; Innovation</w:t>
      </w:r>
    </w:p>
    <w:p>
      <w:pPr>
        <w:spacing w:before="0" w:after="100" w:line="288" w:lineRule="auto"/>
        <w:jc w:val="both"/>
      </w:pPr>
      <w:r>
        <w:rPr>
          <w:rFonts w:ascii="Times New Roman" w:hAnsi="Times New Roman"/>
          <w:color w:val="111827"/>
          <w:sz w:val="23"/>
        </w:rPr>
        <w:t>The Smart Ticket Understanding Engine introduces a principled, hybrid approach tailored for air-gapped CPU operation:</w:t>
      </w:r>
    </w:p>
    <w:p>
      <w:pPr>
        <w:spacing w:before="0" w:after="60" w:line="276" w:lineRule="auto"/>
        <w:ind w:left="360"/>
        <w:jc w:val="both"/>
      </w:pPr>
      <w:r>
        <w:rPr>
          <w:rFonts w:ascii="Times New Roman" w:hAnsi="Times New Roman"/>
          <w:b/>
          <w:color w:val="0F172A"/>
          <w:sz w:val="23"/>
        </w:rPr>
        <w:t xml:space="preserve">1. Decoupled Dual-View Representation: </w:t>
      </w:r>
      <w:r>
        <w:rPr>
          <w:rFonts w:ascii="Times New Roman" w:hAnsi="Times New Roman"/>
          <w:color w:val="111827"/>
          <w:sz w:val="23"/>
        </w:rPr>
        <w:t>Simultaneously computes a char_wb 3-5 gram TF-IDF representation (robust to spelling errors) and a word 1-2 gram representation (capturing phrase semantics) across 34,901 feature dimensions.</w:t>
      </w:r>
    </w:p>
    <w:p>
      <w:pPr>
        <w:spacing w:before="0" w:after="60" w:line="276" w:lineRule="auto"/>
        <w:ind w:left="360"/>
        <w:jc w:val="both"/>
      </w:pPr>
      <w:r>
        <w:rPr>
          <w:rFonts w:ascii="Times New Roman" w:hAnsi="Times New Roman"/>
          <w:b/>
          <w:color w:val="0F172A"/>
          <w:sz w:val="23"/>
        </w:rPr>
        <w:t xml:space="preserve">2. Fused Cascade: </w:t>
      </w:r>
      <w:r>
        <w:rPr>
          <w:rFonts w:ascii="Times New Roman" w:hAnsi="Times New Roman"/>
          <w:color w:val="111827"/>
          <w:sz w:val="23"/>
        </w:rPr>
        <w:t>Merges non-parametric kNN nearest-neighbor evidence with a regularized LinearSVC classifier, calibrated via logistic temperature scaling on validation data.</w:t>
      </w:r>
    </w:p>
    <w:p>
      <w:pPr>
        <w:spacing w:before="0" w:after="60" w:line="276" w:lineRule="auto"/>
        <w:ind w:left="360"/>
        <w:jc w:val="both"/>
      </w:pPr>
      <w:r>
        <w:rPr>
          <w:rFonts w:ascii="Times New Roman" w:hAnsi="Times New Roman"/>
          <w:b/>
          <w:color w:val="0F172A"/>
          <w:sz w:val="23"/>
        </w:rPr>
        <w:t xml:space="preserve">3. Conformal Prediction Gate: </w:t>
      </w:r>
      <w:r>
        <w:rPr>
          <w:rFonts w:ascii="Times New Roman" w:hAnsi="Times New Roman"/>
          <w:color w:val="111827"/>
          <w:sz w:val="23"/>
        </w:rPr>
        <w:t>Calibrates an empirical non-conformity threshold that guarantees coverage bounds. Routine tickets (&gt;90%) are deflected instantly; hard-tail tickets are safely escalated.</w:t>
      </w:r>
    </w:p>
    <w:p>
      <w:pPr>
        <w:spacing w:before="0" w:after="60" w:line="276" w:lineRule="auto"/>
        <w:ind w:left="360"/>
        <w:jc w:val="both"/>
      </w:pPr>
      <w:r>
        <w:rPr>
          <w:rFonts w:ascii="Times New Roman" w:hAnsi="Times New Roman"/>
          <w:b/>
          <w:color w:val="0F172A"/>
          <w:sz w:val="23"/>
        </w:rPr>
        <w:t xml:space="preserve">4. Multimodal Context Extraction: </w:t>
      </w:r>
      <w:r>
        <w:rPr>
          <w:rFonts w:ascii="Times New Roman" w:hAnsi="Times New Roman"/>
          <w:color w:val="111827"/>
          <w:sz w:val="23"/>
        </w:rPr>
        <w:t>High-speed regex parsing extracts transaction codes, error messages, and currency figures.</w:t>
      </w:r>
    </w:p>
    <w:p>
      <w:pPr>
        <w:spacing w:before="0" w:after="60" w:line="276" w:lineRule="auto"/>
        <w:ind w:left="360"/>
        <w:jc w:val="both"/>
      </w:pPr>
      <w:r>
        <w:rPr>
          <w:rFonts w:ascii="Times New Roman" w:hAnsi="Times New Roman"/>
          <w:b/>
          <w:color w:val="0F172A"/>
          <w:sz w:val="23"/>
        </w:rPr>
        <w:t xml:space="preserve">5. Advisory ReAct Agent with Verifier: </w:t>
      </w:r>
      <w:r>
        <w:rPr>
          <w:rFonts w:ascii="Times New Roman" w:hAnsi="Times New Roman"/>
          <w:color w:val="111827"/>
          <w:sz w:val="23"/>
        </w:rPr>
        <w:t>An agentic loop generates policy-aligned draft responses with atomic-fact support scores, enabling human operators to review and dispatch replies with one click.</w:t>
      </w:r>
    </w:p>
    <w:p>
      <w:r>
        <w:br w:type="page"/>
      </w:r>
    </w:p>
    <w:p>
      <w:pPr>
        <w:keepNext/>
        <w:spacing w:before="280" w:after="120"/>
        <w:jc w:val="center"/>
      </w:pPr>
      <w:r>
        <w:rPr>
          <w:rFonts w:ascii="Times New Roman" w:hAnsi="Times New Roman"/>
          <w:b/>
          <w:color w:val="1E3A8A"/>
          <w:sz w:val="30"/>
        </w:rPr>
        <w:t>CHAPTER 4</w:t>
        <w:br/>
        <w:t>REQUIREMENT ANALYSIS</w:t>
      </w:r>
    </w:p>
    <w:p>
      <w:pPr>
        <w:keepNext/>
        <w:spacing w:before="200" w:after="60"/>
        <w:jc w:val="left"/>
      </w:pPr>
      <w:r>
        <w:rPr>
          <w:rFonts w:ascii="Times New Roman" w:hAnsi="Times New Roman"/>
          <w:b/>
          <w:color w:val="0F172A"/>
          <w:sz w:val="26"/>
        </w:rPr>
        <w:t>4.1 Hardware Requirements</w:t>
      </w:r>
    </w:p>
    <w:p>
      <w:pPr>
        <w:spacing w:before="0" w:after="60" w:line="276" w:lineRule="auto"/>
        <w:ind w:left="360"/>
        <w:jc w:val="both"/>
      </w:pPr>
      <w:r>
        <w:rPr>
          <w:rFonts w:ascii="Times New Roman" w:hAnsi="Times New Roman"/>
          <w:b/>
          <w:color w:val="0F172A"/>
          <w:sz w:val="23"/>
        </w:rPr>
        <w:t xml:space="preserve">• Processor: </w:t>
      </w:r>
      <w:r>
        <w:rPr>
          <w:rFonts w:ascii="Times New Roman" w:hAnsi="Times New Roman"/>
          <w:color w:val="111827"/>
          <w:sz w:val="23"/>
        </w:rPr>
        <w:t>Standard Dual-Core x86_64 CPU (Intel Core i3 / i5 / AMD Ryzen or equivalent, 2.0 GHz+). No GPU required.</w:t>
      </w:r>
    </w:p>
    <w:p>
      <w:pPr>
        <w:spacing w:before="0" w:after="60" w:line="276" w:lineRule="auto"/>
        <w:ind w:left="360"/>
        <w:jc w:val="both"/>
      </w:pPr>
      <w:r>
        <w:rPr>
          <w:rFonts w:ascii="Times New Roman" w:hAnsi="Times New Roman"/>
          <w:b/>
          <w:color w:val="0F172A"/>
          <w:sz w:val="23"/>
        </w:rPr>
        <w:t xml:space="preserve">• Memory (RAM): </w:t>
      </w:r>
      <w:r>
        <w:rPr>
          <w:rFonts w:ascii="Times New Roman" w:hAnsi="Times New Roman"/>
          <w:color w:val="111827"/>
          <w:sz w:val="23"/>
        </w:rPr>
        <w:t>Minimum 4 GB RAM (8 GB recommended for concurrent batch processing).</w:t>
      </w:r>
    </w:p>
    <w:p>
      <w:pPr>
        <w:spacing w:before="0" w:after="60" w:line="276" w:lineRule="auto"/>
        <w:ind w:left="360"/>
        <w:jc w:val="both"/>
      </w:pPr>
      <w:r>
        <w:rPr>
          <w:rFonts w:ascii="Times New Roman" w:hAnsi="Times New Roman"/>
          <w:b/>
          <w:color w:val="0F172A"/>
          <w:sz w:val="23"/>
        </w:rPr>
        <w:t xml:space="preserve">• Storage (Disk): </w:t>
      </w:r>
      <w:r>
        <w:rPr>
          <w:rFonts w:ascii="Times New Roman" w:hAnsi="Times New Roman"/>
          <w:color w:val="111827"/>
          <w:sz w:val="23"/>
        </w:rPr>
        <w:t>2 GB free disk space (models and SQLite audit logs require &lt;20 MB total).</w:t>
      </w:r>
    </w:p>
    <w:p>
      <w:pPr>
        <w:spacing w:before="0" w:after="60" w:line="276" w:lineRule="auto"/>
        <w:ind w:left="360"/>
        <w:jc w:val="both"/>
      </w:pPr>
      <w:r>
        <w:rPr>
          <w:rFonts w:ascii="Times New Roman" w:hAnsi="Times New Roman"/>
          <w:b/>
          <w:color w:val="0F172A"/>
          <w:sz w:val="23"/>
        </w:rPr>
        <w:t xml:space="preserve">• Network Interface: </w:t>
      </w:r>
      <w:r>
        <w:rPr>
          <w:rFonts w:ascii="Times New Roman" w:hAnsi="Times New Roman"/>
          <w:color w:val="111827"/>
          <w:sz w:val="23"/>
        </w:rPr>
        <w:t>100% offline inference capability. Localhost networking for web console.</w:t>
      </w:r>
    </w:p>
    <w:p>
      <w:pPr>
        <w:keepNext/>
        <w:spacing w:before="200" w:after="60"/>
        <w:jc w:val="left"/>
      </w:pPr>
      <w:r>
        <w:rPr>
          <w:rFonts w:ascii="Times New Roman" w:hAnsi="Times New Roman"/>
          <w:b/>
          <w:color w:val="0F172A"/>
          <w:sz w:val="26"/>
        </w:rPr>
        <w:t>4.2 Software Requirements</w:t>
      </w:r>
    </w:p>
    <w:p>
      <w:pPr>
        <w:spacing w:before="0" w:after="60" w:line="276" w:lineRule="auto"/>
        <w:ind w:left="360"/>
        <w:jc w:val="both"/>
      </w:pPr>
      <w:r>
        <w:rPr>
          <w:rFonts w:ascii="Times New Roman" w:hAnsi="Times New Roman"/>
          <w:b/>
          <w:color w:val="0F172A"/>
          <w:sz w:val="23"/>
        </w:rPr>
        <w:t xml:space="preserve">• Operating System: </w:t>
      </w:r>
      <w:r>
        <w:rPr>
          <w:rFonts w:ascii="Times New Roman" w:hAnsi="Times New Roman"/>
          <w:color w:val="111827"/>
          <w:sz w:val="23"/>
        </w:rPr>
        <w:t>Linux (Ubuntu 22.04 LTS / Debian), macOS 13+, or Windows 11 with WSL2.</w:t>
      </w:r>
    </w:p>
    <w:p>
      <w:pPr>
        <w:spacing w:before="0" w:after="60" w:line="276" w:lineRule="auto"/>
        <w:ind w:left="360"/>
        <w:jc w:val="both"/>
      </w:pPr>
      <w:r>
        <w:rPr>
          <w:rFonts w:ascii="Times New Roman" w:hAnsi="Times New Roman"/>
          <w:b/>
          <w:color w:val="0F172A"/>
          <w:sz w:val="23"/>
        </w:rPr>
        <w:t xml:space="preserve">• Runtime Environment: </w:t>
      </w:r>
      <w:r>
        <w:rPr>
          <w:rFonts w:ascii="Times New Roman" w:hAnsi="Times New Roman"/>
          <w:color w:val="111827"/>
          <w:sz w:val="23"/>
        </w:rPr>
        <w:t>Python 3.11 or 3.12 64-bit.</w:t>
      </w:r>
    </w:p>
    <w:p>
      <w:pPr>
        <w:spacing w:before="0" w:after="60" w:line="276" w:lineRule="auto"/>
        <w:ind w:left="360"/>
        <w:jc w:val="both"/>
      </w:pPr>
      <w:r>
        <w:rPr>
          <w:rFonts w:ascii="Times New Roman" w:hAnsi="Times New Roman"/>
          <w:b/>
          <w:color w:val="0F172A"/>
          <w:sz w:val="23"/>
        </w:rPr>
        <w:t xml:space="preserve">• Backend Framework: </w:t>
      </w:r>
      <w:r>
        <w:rPr>
          <w:rFonts w:ascii="Times New Roman" w:hAnsi="Times New Roman"/>
          <w:color w:val="111827"/>
          <w:sz w:val="23"/>
        </w:rPr>
        <w:t>FastAPI 0.115+ with Uvicorn ASGI Server.</w:t>
      </w:r>
    </w:p>
    <w:p>
      <w:pPr>
        <w:spacing w:before="0" w:after="60" w:line="276" w:lineRule="auto"/>
        <w:ind w:left="360"/>
        <w:jc w:val="both"/>
      </w:pPr>
      <w:r>
        <w:rPr>
          <w:rFonts w:ascii="Times New Roman" w:hAnsi="Times New Roman"/>
          <w:b/>
          <w:color w:val="0F172A"/>
          <w:sz w:val="23"/>
        </w:rPr>
        <w:t xml:space="preserve">• Frontend Interface: </w:t>
      </w:r>
      <w:r>
        <w:rPr>
          <w:rFonts w:ascii="Times New Roman" w:hAnsi="Times New Roman"/>
          <w:color w:val="111827"/>
          <w:sz w:val="23"/>
        </w:rPr>
        <w:t>Streamlit 1.40+ Interactive Web Operations Dashboard.</w:t>
      </w:r>
    </w:p>
    <w:p>
      <w:pPr>
        <w:spacing w:before="0" w:after="60" w:line="276" w:lineRule="auto"/>
        <w:ind w:left="360"/>
        <w:jc w:val="both"/>
      </w:pPr>
      <w:r>
        <w:rPr>
          <w:rFonts w:ascii="Times New Roman" w:hAnsi="Times New Roman"/>
          <w:b/>
          <w:color w:val="0F172A"/>
          <w:sz w:val="23"/>
        </w:rPr>
        <w:t xml:space="preserve">• Machine Learning Libraries: </w:t>
      </w:r>
      <w:r>
        <w:rPr>
          <w:rFonts w:ascii="Times New Roman" w:hAnsi="Times New Roman"/>
          <w:color w:val="111827"/>
          <w:sz w:val="23"/>
        </w:rPr>
        <w:t>scikit-learn 1.5+, NumPy 1.26+, SciPy 1.13+, Joblib 1.4+.</w:t>
      </w:r>
    </w:p>
    <w:p>
      <w:pPr>
        <w:spacing w:before="0" w:after="60" w:line="276" w:lineRule="auto"/>
        <w:ind w:left="360"/>
        <w:jc w:val="both"/>
      </w:pPr>
      <w:r>
        <w:rPr>
          <w:rFonts w:ascii="Times New Roman" w:hAnsi="Times New Roman"/>
          <w:b/>
          <w:color w:val="0F172A"/>
          <w:sz w:val="23"/>
        </w:rPr>
        <w:t xml:space="preserve">• Database Store: </w:t>
      </w:r>
      <w:r>
        <w:rPr>
          <w:rFonts w:ascii="Times New Roman" w:hAnsi="Times New Roman"/>
          <w:color w:val="111827"/>
          <w:sz w:val="23"/>
        </w:rPr>
        <w:t>SQLite 3.40+ (portable ACID-compliant relational store).</w:t>
      </w:r>
    </w:p>
    <w:p>
      <w:pPr>
        <w:spacing w:before="0" w:after="60" w:line="276" w:lineRule="auto"/>
        <w:ind w:left="360"/>
        <w:jc w:val="both"/>
      </w:pPr>
      <w:r>
        <w:rPr>
          <w:rFonts w:ascii="Times New Roman" w:hAnsi="Times New Roman"/>
          <w:b/>
          <w:color w:val="0F172A"/>
          <w:sz w:val="23"/>
        </w:rPr>
        <w:t xml:space="preserve">• Testing Framework: </w:t>
      </w:r>
      <w:r>
        <w:rPr>
          <w:rFonts w:ascii="Times New Roman" w:hAnsi="Times New Roman"/>
          <w:color w:val="111827"/>
          <w:sz w:val="23"/>
        </w:rPr>
        <w:t>Pytest 8.3+ with FastAPI TestClient.</w:t>
      </w:r>
    </w:p>
    <w:p>
      <w:r>
        <w:br w:type="page"/>
      </w:r>
    </w:p>
    <w:p>
      <w:pPr>
        <w:keepNext/>
        <w:spacing w:before="280" w:after="120"/>
        <w:jc w:val="center"/>
      </w:pPr>
      <w:r>
        <w:rPr>
          <w:rFonts w:ascii="Times New Roman" w:hAnsi="Times New Roman"/>
          <w:b/>
          <w:color w:val="1E3A8A"/>
          <w:sz w:val="30"/>
        </w:rPr>
        <w:t>CHAPTER 5</w:t>
        <w:br/>
        <w:t>SYSTEM DESIGN &amp; UML MODELING</w:t>
      </w:r>
    </w:p>
    <w:p>
      <w:pPr>
        <w:keepNext/>
        <w:spacing w:before="200" w:after="60"/>
        <w:jc w:val="left"/>
      </w:pPr>
      <w:r>
        <w:rPr>
          <w:rFonts w:ascii="Times New Roman" w:hAnsi="Times New Roman"/>
          <w:b/>
          <w:color w:val="0F172A"/>
          <w:sz w:val="26"/>
        </w:rPr>
        <w:t>5.1 System Architecture Pipeline</w:t>
      </w:r>
    </w:p>
    <w:p>
      <w:pPr>
        <w:spacing w:before="0" w:after="100" w:line="288" w:lineRule="auto"/>
        <w:jc w:val="both"/>
      </w:pPr>
      <w:r>
        <w:rPr>
          <w:rFonts w:ascii="Times New Roman" w:hAnsi="Times New Roman"/>
          <w:color w:val="111827"/>
          <w:sz w:val="23"/>
        </w:rPr>
        <w:t>The system follows a four-stage sequential pipeline comprising Ingestion, NLU &amp; Retrieval, Confidence Gating, and Triage &amp; Routing, as depicted in Figure 5.1.</w:t>
      </w:r>
    </w:p>
    <w:p>
      <w:pPr>
        <w:keepNext/>
        <w:spacing w:before="160" w:after="40"/>
        <w:jc w:val="center"/>
      </w:pPr>
      <w:r>
        <w:drawing>
          <wp:inline xmlns:a="http://schemas.openxmlformats.org/drawingml/2006/main" xmlns:pic="http://schemas.openxmlformats.org/drawingml/2006/picture">
            <wp:extent cx="5120640" cy="277368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5"/>
                    <a:stretch>
                      <a:fillRect/>
                    </a:stretch>
                  </pic:blipFill>
                  <pic:spPr>
                    <a:xfrm>
                      <a:off x="0" y="0"/>
                      <a:ext cx="5120640" cy="2773680"/>
                    </a:xfrm>
                    <a:prstGeom prst="rect"/>
                  </pic:spPr>
                </pic:pic>
              </a:graphicData>
            </a:graphic>
          </wp:inline>
        </w:drawing>
      </w:r>
    </w:p>
    <w:p>
      <w:pPr>
        <w:spacing w:before="40" w:after="200"/>
        <w:jc w:val="center"/>
      </w:pPr>
      <w:r>
        <w:rPr>
          <w:rFonts w:ascii="Times New Roman" w:hAnsi="Times New Roman"/>
          <w:b/>
          <w:color w:val="1E3A8A"/>
          <w:sz w:val="20"/>
        </w:rPr>
        <w:t xml:space="preserve">Fig 5.1: </w:t>
      </w:r>
      <w:r>
        <w:rPr>
          <w:rFonts w:ascii="Times New Roman" w:hAnsi="Times New Roman"/>
          <w:i/>
          <w:color w:val="334155"/>
          <w:sz w:val="20"/>
        </w:rPr>
        <w:t>Smart Ticket Understanding Engine System Architecture Pipeline</w:t>
      </w:r>
    </w:p>
    <w:p>
      <w:pPr>
        <w:keepNext/>
        <w:spacing w:before="200" w:after="60"/>
        <w:jc w:val="left"/>
      </w:pPr>
      <w:r>
        <w:rPr>
          <w:rFonts w:ascii="Times New Roman" w:hAnsi="Times New Roman"/>
          <w:b/>
          <w:color w:val="0F172A"/>
          <w:sz w:val="26"/>
        </w:rPr>
        <w:t>5.2 UML Use Case Modeling</w:t>
      </w:r>
    </w:p>
    <w:p>
      <w:pPr>
        <w:spacing w:before="0" w:after="100" w:line="288" w:lineRule="auto"/>
        <w:jc w:val="both"/>
      </w:pPr>
      <w:r>
        <w:rPr>
          <w:rFonts w:ascii="Times New Roman" w:hAnsi="Times New Roman"/>
          <w:color w:val="111827"/>
          <w:sz w:val="23"/>
        </w:rPr>
        <w:t>The system serves three primary actors: Customers/Clients submitting unstructured queries, Support Agents reviewing escalated drafts in the Human-in-the-Loop review station, and Supervisors/Auditors inspecting operational metrics and distribution drift. Figure 5.2 illustrates the UML Use Case diagram.</w:t>
      </w:r>
    </w:p>
    <w:p>
      <w:pPr>
        <w:keepNext/>
        <w:spacing w:before="160" w:after="40"/>
        <w:jc w:val="center"/>
      </w:pPr>
      <w:r>
        <w:drawing>
          <wp:inline xmlns:a="http://schemas.openxmlformats.org/drawingml/2006/main" xmlns:pic="http://schemas.openxmlformats.org/drawingml/2006/picture">
            <wp:extent cx="4754880" cy="3566160"/>
            <wp:docPr id="2" name="Picture 2"/>
            <wp:cNvGraphicFramePr>
              <a:graphicFrameLocks noChangeAspect="1"/>
            </wp:cNvGraphicFramePr>
            <a:graphic>
              <a:graphicData uri="http://schemas.openxmlformats.org/drawingml/2006/picture">
                <pic:pic>
                  <pic:nvPicPr>
                    <pic:cNvPr id="0" name="fig2_use_case_diagram.png"/>
                    <pic:cNvPicPr/>
                  </pic:nvPicPr>
                  <pic:blipFill>
                    <a:blip r:embed="rId16"/>
                    <a:stretch>
                      <a:fillRect/>
                    </a:stretch>
                  </pic:blipFill>
                  <pic:spPr>
                    <a:xfrm>
                      <a:off x="0" y="0"/>
                      <a:ext cx="4754880" cy="3566160"/>
                    </a:xfrm>
                    <a:prstGeom prst="rect"/>
                  </pic:spPr>
                </pic:pic>
              </a:graphicData>
            </a:graphic>
          </wp:inline>
        </w:drawing>
      </w:r>
    </w:p>
    <w:p>
      <w:pPr>
        <w:spacing w:before="40" w:after="200"/>
        <w:jc w:val="center"/>
      </w:pPr>
      <w:r>
        <w:rPr>
          <w:rFonts w:ascii="Times New Roman" w:hAnsi="Times New Roman"/>
          <w:b/>
          <w:color w:val="1E3A8A"/>
          <w:sz w:val="20"/>
        </w:rPr>
        <w:t xml:space="preserve">Fig 5.2: </w:t>
      </w:r>
      <w:r>
        <w:rPr>
          <w:rFonts w:ascii="Times New Roman" w:hAnsi="Times New Roman"/>
          <w:i/>
          <w:color w:val="334155"/>
          <w:sz w:val="20"/>
        </w:rPr>
        <w:t>UML Use Case Diagram with System Boundary</w:t>
      </w:r>
    </w:p>
    <w:p>
      <w:r>
        <w:br w:type="page"/>
      </w:r>
    </w:p>
    <w:p>
      <w:pPr>
        <w:keepNext/>
        <w:spacing w:before="200" w:after="60"/>
        <w:jc w:val="left"/>
      </w:pPr>
      <w:r>
        <w:rPr>
          <w:rFonts w:ascii="Times New Roman" w:hAnsi="Times New Roman"/>
          <w:b/>
          <w:color w:val="0F172A"/>
          <w:sz w:val="26"/>
        </w:rPr>
        <w:t>5.3 Data Flow Diagrams (DFD Level 0 &amp; 1)</w:t>
      </w:r>
    </w:p>
    <w:p>
      <w:pPr>
        <w:spacing w:before="0" w:after="100" w:line="288" w:lineRule="auto"/>
        <w:jc w:val="both"/>
      </w:pPr>
      <w:r>
        <w:rPr>
          <w:rFonts w:ascii="Times New Roman" w:hAnsi="Times New Roman"/>
          <w:color w:val="111827"/>
          <w:sz w:val="23"/>
        </w:rPr>
        <w:t>Figure 5.3 shows the functional Level 1 Data Flow Diagram. Inbound queries are sanitized and parsed by Process 1.0 (Entity Extraction). Feature vectors are streamed to Process 2.0 (Cascade NLU Model), which queries the Reference Corpus (D1) to produce fused probabilities. Process 3.0 (Conformal Triage Gate) either triggers auto-deflection or queues the ticket for resolver handling while updating the SQLite Audit Store (D2).</w:t>
      </w:r>
    </w:p>
    <w:p>
      <w:pPr>
        <w:keepNext/>
        <w:spacing w:before="160" w:after="40"/>
        <w:jc w:val="center"/>
      </w:pPr>
      <w:r>
        <w:drawing>
          <wp:inline xmlns:a="http://schemas.openxmlformats.org/drawingml/2006/main" xmlns:pic="http://schemas.openxmlformats.org/drawingml/2006/picture">
            <wp:extent cx="5029200" cy="2971800"/>
            <wp:docPr id="3" name="Picture 3"/>
            <wp:cNvGraphicFramePr>
              <a:graphicFrameLocks noChangeAspect="1"/>
            </wp:cNvGraphicFramePr>
            <a:graphic>
              <a:graphicData uri="http://schemas.openxmlformats.org/drawingml/2006/picture">
                <pic:pic>
                  <pic:nvPicPr>
                    <pic:cNvPr id="0" name="fig3_dfd_diagram.png"/>
                    <pic:cNvPicPr/>
                  </pic:nvPicPr>
                  <pic:blipFill>
                    <a:blip r:embed="rId17"/>
                    <a:stretch>
                      <a:fillRect/>
                    </a:stretch>
                  </pic:blipFill>
                  <pic:spPr>
                    <a:xfrm>
                      <a:off x="0" y="0"/>
                      <a:ext cx="5029200" cy="2971800"/>
                    </a:xfrm>
                    <a:prstGeom prst="rect"/>
                  </pic:spPr>
                </pic:pic>
              </a:graphicData>
            </a:graphic>
          </wp:inline>
        </w:drawing>
      </w:r>
    </w:p>
    <w:p>
      <w:pPr>
        <w:spacing w:before="40" w:after="200"/>
        <w:jc w:val="center"/>
      </w:pPr>
      <w:r>
        <w:rPr>
          <w:rFonts w:ascii="Times New Roman" w:hAnsi="Times New Roman"/>
          <w:b/>
          <w:color w:val="1E3A8A"/>
          <w:sz w:val="20"/>
        </w:rPr>
        <w:t xml:space="preserve">Fig 5.3: </w:t>
      </w:r>
      <w:r>
        <w:rPr>
          <w:rFonts w:ascii="Times New Roman" w:hAnsi="Times New Roman"/>
          <w:i/>
          <w:color w:val="334155"/>
          <w:sz w:val="20"/>
        </w:rPr>
        <w:t>Level 1 Functional Data Flow Diagram (DFD)</w:t>
      </w:r>
    </w:p>
    <w:p>
      <w:pPr>
        <w:keepNext/>
        <w:spacing w:before="200" w:after="60"/>
        <w:jc w:val="left"/>
      </w:pPr>
      <w:r>
        <w:rPr>
          <w:rFonts w:ascii="Times New Roman" w:hAnsi="Times New Roman"/>
          <w:b/>
          <w:color w:val="0F172A"/>
          <w:sz w:val="26"/>
        </w:rPr>
        <w:t>5.4 UML Class Diagram &amp; Data Models</w:t>
      </w:r>
    </w:p>
    <w:p>
      <w:pPr>
        <w:spacing w:before="0" w:after="100" w:line="288" w:lineRule="auto"/>
        <w:jc w:val="both"/>
      </w:pPr>
      <w:r>
        <w:rPr>
          <w:rFonts w:ascii="Times New Roman" w:hAnsi="Times New Roman"/>
          <w:color w:val="111827"/>
          <w:sz w:val="23"/>
        </w:rPr>
        <w:t>Figure 5.4 displays the object-oriented structure of the backend engine. TriageEngine coordinates KnnRetriever, Cascade, and EscalationAgent, producing immutable TriageResult instances recorded by Store.</w:t>
      </w:r>
    </w:p>
    <w:p>
      <w:pPr>
        <w:keepNext/>
        <w:spacing w:before="160" w:after="40"/>
        <w:jc w:val="center"/>
      </w:pPr>
      <w:r>
        <w:drawing>
          <wp:inline xmlns:a="http://schemas.openxmlformats.org/drawingml/2006/main" xmlns:pic="http://schemas.openxmlformats.org/drawingml/2006/picture">
            <wp:extent cx="5029200" cy="3200400"/>
            <wp:docPr id="4" name="Picture 4"/>
            <wp:cNvGraphicFramePr>
              <a:graphicFrameLocks noChangeAspect="1"/>
            </wp:cNvGraphicFramePr>
            <a:graphic>
              <a:graphicData uri="http://schemas.openxmlformats.org/drawingml/2006/picture">
                <pic:pic>
                  <pic:nvPicPr>
                    <pic:cNvPr id="0" name="fig4_class_diagram.png"/>
                    <pic:cNvPicPr/>
                  </pic:nvPicPr>
                  <pic:blipFill>
                    <a:blip r:embed="rId18"/>
                    <a:stretch>
                      <a:fillRect/>
                    </a:stretch>
                  </pic:blipFill>
                  <pic:spPr>
                    <a:xfrm>
                      <a:off x="0" y="0"/>
                      <a:ext cx="5029200" cy="3200400"/>
                    </a:xfrm>
                    <a:prstGeom prst="rect"/>
                  </pic:spPr>
                </pic:pic>
              </a:graphicData>
            </a:graphic>
          </wp:inline>
        </w:drawing>
      </w:r>
    </w:p>
    <w:p>
      <w:pPr>
        <w:spacing w:before="40" w:after="200"/>
        <w:jc w:val="center"/>
      </w:pPr>
      <w:r>
        <w:rPr>
          <w:rFonts w:ascii="Times New Roman" w:hAnsi="Times New Roman"/>
          <w:b/>
          <w:color w:val="1E3A8A"/>
          <w:sz w:val="20"/>
        </w:rPr>
        <w:t xml:space="preserve">Fig 5.4: </w:t>
      </w:r>
      <w:r>
        <w:rPr>
          <w:rFonts w:ascii="Times New Roman" w:hAnsi="Times New Roman"/>
          <w:i/>
          <w:color w:val="334155"/>
          <w:sz w:val="20"/>
        </w:rPr>
        <w:t>UML Class Diagram of Backend Engine Domain Models</w:t>
      </w:r>
    </w:p>
    <w:p>
      <w:r>
        <w:br w:type="page"/>
      </w:r>
    </w:p>
    <w:p>
      <w:pPr>
        <w:keepNext/>
        <w:spacing w:before="280" w:after="120"/>
        <w:jc w:val="center"/>
      </w:pPr>
      <w:r>
        <w:rPr>
          <w:rFonts w:ascii="Times New Roman" w:hAnsi="Times New Roman"/>
          <w:b/>
          <w:color w:val="1E3A8A"/>
          <w:sz w:val="30"/>
        </w:rPr>
        <w:t>CHAPTER 6</w:t>
        <w:br/>
        <w:t>IMPLEMENTATION &amp; SOURCE CODE</w:t>
      </w:r>
    </w:p>
    <w:p>
      <w:pPr>
        <w:keepNext/>
        <w:spacing w:before="200" w:after="60"/>
        <w:jc w:val="left"/>
      </w:pPr>
      <w:r>
        <w:rPr>
          <w:rFonts w:ascii="Times New Roman" w:hAnsi="Times New Roman"/>
          <w:b/>
          <w:color w:val="0F172A"/>
          <w:sz w:val="26"/>
        </w:rPr>
        <w:t>6.1 Problem Formulation &amp; Algorithmic Design</w:t>
      </w:r>
    </w:p>
    <w:p>
      <w:pPr>
        <w:spacing w:before="0" w:after="100" w:line="288" w:lineRule="auto"/>
        <w:jc w:val="both"/>
      </w:pPr>
      <w:r>
        <w:rPr>
          <w:rFonts w:ascii="Times New Roman" w:hAnsi="Times New Roman"/>
          <w:color w:val="111827"/>
          <w:sz w:val="23"/>
        </w:rPr>
        <w:t>The classification problem maps an input text x in X into one of C coarse categories y in Y. The cascade combines two complementary probability estimators:</w:t>
      </w:r>
    </w:p>
    <w:p>
      <w:pPr>
        <w:spacing w:before="0" w:after="60" w:line="276" w:lineRule="auto"/>
        <w:ind w:left="360"/>
        <w:jc w:val="both"/>
      </w:pPr>
      <w:r>
        <w:rPr>
          <w:rFonts w:ascii="Times New Roman" w:hAnsi="Times New Roman"/>
          <w:b/>
          <w:color w:val="0F172A"/>
          <w:sz w:val="23"/>
        </w:rPr>
        <w:t xml:space="preserve">1. Linear Classifier Probability: </w:t>
      </w:r>
      <w:r>
        <w:rPr>
          <w:rFonts w:ascii="Times New Roman" w:hAnsi="Times New Roman"/>
          <w:color w:val="111827"/>
          <w:sz w:val="23"/>
        </w:rPr>
        <w:t>P_lin(y|x) = softmax(W * phi(x) + b)</w:t>
      </w:r>
    </w:p>
    <w:p>
      <w:pPr>
        <w:spacing w:before="0" w:after="60" w:line="276" w:lineRule="auto"/>
        <w:ind w:left="360"/>
        <w:jc w:val="both"/>
      </w:pPr>
      <w:r>
        <w:rPr>
          <w:rFonts w:ascii="Times New Roman" w:hAnsi="Times New Roman"/>
          <w:b/>
          <w:color w:val="0F172A"/>
          <w:sz w:val="23"/>
        </w:rPr>
        <w:t xml:space="preserve">2. Distance-Weighted kNN Vote: </w:t>
      </w:r>
      <w:r>
        <w:rPr>
          <w:rFonts w:ascii="Times New Roman" w:hAnsi="Times New Roman"/>
          <w:color w:val="111827"/>
          <w:sz w:val="23"/>
        </w:rPr>
        <w:t>P_knn(y|x) = sum_{j in N_k(x), y_j=y} (cos_sim(x, x_j))^3 / sum_{j in N_k(x)} (cos_sim(x, x_j))^3</w:t>
      </w:r>
    </w:p>
    <w:p>
      <w:pPr>
        <w:spacing w:before="0" w:after="60" w:line="276" w:lineRule="auto"/>
        <w:ind w:left="360"/>
        <w:jc w:val="both"/>
      </w:pPr>
      <w:r>
        <w:rPr>
          <w:rFonts w:ascii="Times New Roman" w:hAnsi="Times New Roman"/>
          <w:b/>
          <w:color w:val="0F172A"/>
          <w:sz w:val="23"/>
        </w:rPr>
        <w:t xml:space="preserve">3. Temperature-Scaled Fusion: </w:t>
      </w:r>
      <w:r>
        <w:rPr>
          <w:rFonts w:ascii="Times New Roman" w:hAnsi="Times New Roman"/>
          <w:color w:val="111827"/>
          <w:sz w:val="23"/>
        </w:rPr>
        <w:t>P_fused(y|x) = softmax((alpha * log(P_lin) + (1-alpha) * log(P_knn)) / T), where alpha = 0.6 and T = 0.75 are tuned strictly on validation data to minimize Expected Calibration Error (ECE).</w:t>
      </w:r>
    </w:p>
    <w:p>
      <w:pPr>
        <w:keepNext/>
        <w:spacing w:before="200" w:after="60"/>
        <w:jc w:val="left"/>
      </w:pPr>
      <w:r>
        <w:rPr>
          <w:rFonts w:ascii="Times New Roman" w:hAnsi="Times New Roman"/>
          <w:b/>
          <w:color w:val="0F172A"/>
          <w:sz w:val="26"/>
        </w:rPr>
        <w:t>6.2 Key Source Code Implementation</w:t>
      </w:r>
    </w:p>
    <w:p>
      <w:pPr>
        <w:spacing w:before="0" w:after="100" w:line="288" w:lineRule="auto"/>
        <w:jc w:val="both"/>
      </w:pPr>
      <w:r>
        <w:rPr>
          <w:rFonts w:ascii="Times New Roman" w:hAnsi="Times New Roman"/>
          <w:color w:val="111827"/>
          <w:sz w:val="23"/>
        </w:rPr>
        <w:t>Representative extracts of the primary backend modules are presented below.</w:t>
      </w:r>
    </w:p>
    <w:p>
      <w:pPr>
        <w:keepNext/>
        <w:spacing w:before="160" w:after="40"/>
        <w:jc w:val="left"/>
      </w:pPr>
      <w:r>
        <w:rPr>
          <w:rFonts w:ascii="Times New Roman" w:hAnsi="Times New Roman"/>
          <w:b/>
          <w:color w:val="334155"/>
          <w:sz w:val="23"/>
        </w:rPr>
        <w:t>6.2.1 Domain Entity Extraction (src/drona/entities.py)</w:t>
      </w:r>
    </w:p>
    <w:p>
      <w:pPr>
        <w:keepNext/>
        <w:spacing w:before="100" w:after="40"/>
      </w:pPr>
      <w:r>
        <w:rPr>
          <w:rFonts w:ascii="Times New Roman" w:hAnsi="Times New Roman"/>
          <w:b/>
          <w:color w:val="0F172A"/>
          <w:sz w:val="20"/>
        </w:rPr>
        <w:t>Listing 6.1: Regex &amp; Lexicon Entity Extractor</w:t>
      </w:r>
    </w:p>
    <w:tbl>
      <w:tblPr>
        <w:tblW w:type="auto" w:w="0"/>
        <w:jc w:val="center"/>
        <w:tblLook w:firstColumn="1" w:firstRow="1" w:lastColumn="0" w:lastRow="0" w:noHBand="0" w:noVBand="1" w:val="04A0"/>
      </w:tblPr>
      <w:tblGrid>
        <w:gridCol w:w="9000"/>
      </w:tblGrid>
      <w:tr>
        <w:tc>
          <w:tcPr>
            <w:tcW w:type="dxa" w:w="9000"/>
            <w:shd w:fill="f8fafc"/>
            <w:tcMar>
              <w:top w:w="70" w:type="dxa"/>
              <w:bottom w:w="70" w:type="dxa"/>
              <w:left w:w="110" w:type="dxa"/>
              <w:right w:w="110" w:type="dxa"/>
            </w:tcMar>
            <w:tcBorders>
              <w:top w:val="single" w:sz="4" w:space="0" w:color="cbd5e1"/>
              <w:left w:val="single" w:sz="12" w:space="0" w:color="1e3a8a"/>
              <w:bottom w:val="single" w:sz="4" w:space="0" w:color="cbd5e1"/>
              <w:right w:val="single" w:sz="4" w:space="0" w:color="cbd5e1"/>
            </w:tcBorders>
          </w:tcPr>
          <w:p>
            <w:pPr>
              <w:spacing w:before="0" w:after="0" w:line="252" w:lineRule="auto"/>
            </w:pPr>
            <w:r>
              <w:rPr>
                <w:rFonts w:ascii="Consolas" w:hAnsi="Consolas"/>
                <w:color w:val="0F172A"/>
                <w:sz w:val="17"/>
              </w:rPr>
              <w:t>def extract_entities(text: str, amount_fallback: float = 0.0) -&gt; ExtractedEntities:</w:t>
              <w:br/>
              <w:t xml:space="preserve">    low = text.lower()</w:t>
              <w:br/>
              <w:t xml:space="preserve">    txns = list(dict.fromkeys(_TXN_PATTERN.findall(text)))</w:t>
              <w:br/>
              <w:t xml:space="preserve">    errs = list(dict.fromkeys(_ERROR_CODE_PATTERN.findall(text)))</w:t>
              <w:br/>
              <w:t xml:space="preserve">    rails = [label for term, label in _RAILS_LEXICON.items() if re.search(r'\b' + re.escape(term) + r'\b', low)]</w:t>
              <w:br/>
              <w:t xml:space="preserve">    masked = [f'•••• {m.group(1) or m.group(2)}' for m in _MASKED_ACCOUNT_PATTERN.finditer(text)]</w:t>
              <w:br/>
              <w:t xml:space="preserve">    return ExtractedEntities(</w:t>
              <w:br/>
              <w:t xml:space="preserve">        transaction_ids=txns,</w:t>
              <w:br/>
              <w:t xml:space="preserve">        error_codes=[e.upper() for e in errs],</w:t>
              <w:br/>
              <w:t xml:space="preserve">        payment_rails=rails,</w:t>
              <w:br/>
              <w:t xml:space="preserve">        masked_accounts=list(dict.fromkeys(masked)),</w:t>
              <w:br/>
              <w:t xml:space="preserve">        amount=amount_fallback,</w:t>
              <w:br/>
              <w:t xml:space="preserve">    )</w:t>
            </w:r>
          </w:p>
        </w:tc>
      </w:tr>
    </w:tbl>
    <w:p>
      <w:r>
        <w:br w:type="page"/>
      </w:r>
    </w:p>
    <w:p>
      <w:pPr>
        <w:keepNext/>
        <w:spacing w:before="160" w:after="40"/>
        <w:jc w:val="left"/>
      </w:pPr>
      <w:r>
        <w:rPr>
          <w:rFonts w:ascii="Times New Roman" w:hAnsi="Times New Roman"/>
          <w:b/>
          <w:color w:val="334155"/>
          <w:sz w:val="23"/>
        </w:rPr>
        <w:t>6.2.2 SLA Prioritization &amp; Proactive Deflection (src/drona/triage.py)</w:t>
      </w:r>
    </w:p>
    <w:p>
      <w:pPr>
        <w:keepNext/>
        <w:spacing w:before="100" w:after="40"/>
      </w:pPr>
      <w:r>
        <w:rPr>
          <w:rFonts w:ascii="Times New Roman" w:hAnsi="Times New Roman"/>
          <w:b/>
          <w:color w:val="0F172A"/>
          <w:sz w:val="20"/>
        </w:rPr>
        <w:t>Listing 6.2: Deflection State &amp; SLA Logic</w:t>
      </w:r>
    </w:p>
    <w:tbl>
      <w:tblPr>
        <w:tblW w:type="auto" w:w="0"/>
        <w:jc w:val="center"/>
        <w:tblLook w:firstColumn="1" w:firstRow="1" w:lastColumn="0" w:lastRow="0" w:noHBand="0" w:noVBand="1" w:val="04A0"/>
      </w:tblPr>
      <w:tblGrid>
        <w:gridCol w:w="9000"/>
      </w:tblGrid>
      <w:tr>
        <w:tc>
          <w:tcPr>
            <w:tcW w:type="dxa" w:w="9000"/>
            <w:shd w:fill="f8fafc"/>
            <w:tcMar>
              <w:top w:w="70" w:type="dxa"/>
              <w:bottom w:w="70" w:type="dxa"/>
              <w:left w:w="110" w:type="dxa"/>
              <w:right w:w="110" w:type="dxa"/>
            </w:tcMar>
            <w:tcBorders>
              <w:top w:val="single" w:sz="4" w:space="0" w:color="cbd5e1"/>
              <w:left w:val="single" w:sz="12" w:space="0" w:color="1e3a8a"/>
              <w:bottom w:val="single" w:sz="4" w:space="0" w:color="cbd5e1"/>
              <w:right w:val="single" w:sz="4" w:space="0" w:color="cbd5e1"/>
            </w:tcBorders>
          </w:tcPr>
          <w:p>
            <w:pPr>
              <w:spacing w:before="0" w:after="0" w:line="252" w:lineRule="auto"/>
            </w:pPr>
            <w:r>
              <w:rPr>
                <w:rFonts w:ascii="Consolas" w:hAnsi="Consolas"/>
                <w:color w:val="0F172A"/>
                <w:sz w:val="17"/>
              </w:rPr>
              <w:t>def determine_deflection(escalate: bool, priority: str, confidence: float, category: str) -&gt; str:</w:t>
              <w:br/>
              <w:t xml:space="preserve">    if category == 'fraud_security' or priority == 'P0':</w:t>
              <w:br/>
              <w:t xml:space="preserve">        return 'HUMAN_ESCALATED'</w:t>
              <w:br/>
              <w:t xml:space="preserve">    if escalate or confidence &lt; 0.7635:</w:t>
              <w:br/>
              <w:t xml:space="preserve">        return 'AGENT_ASSISTED'</w:t>
              <w:br/>
              <w:t xml:space="preserve">    return 'AUTO_DEFLECTED'</w:t>
              <w:br/>
              <w:br/>
              <w:t>def assign_priority(category: str, text: str, signals: TicketSignals | None = None) -&gt; tuple[str, dict]:</w:t>
              <w:br/>
              <w:t xml:space="preserve">    signals = signals or TicketSignals()</w:t>
              <w:br/>
              <w:t xml:space="preserve">    urgency_score, urgent_terms = _hits(text, URGENCY_TERMS)</w:t>
              <w:br/>
              <w:t xml:space="preserve">    sentiment_label, neg_terms = sentiment(text)</w:t>
              <w:br/>
              <w:t xml:space="preserve">    impact = CATEGORY_IMPACT.get(category, 2)</w:t>
              <w:br/>
              <w:t xml:space="preserve">    base = {4: 'P0', 3: 'P1', 2: 'P2', 1: 'P3'}[impact]</w:t>
              <w:br/>
              <w:t xml:space="preserve">    return priority, reasons</w:t>
            </w:r>
          </w:p>
        </w:tc>
      </w:tr>
    </w:tbl>
    <w:p>
      <w:pPr>
        <w:keepNext/>
        <w:spacing w:before="160" w:after="40"/>
        <w:jc w:val="left"/>
      </w:pPr>
      <w:r>
        <w:rPr>
          <w:rFonts w:ascii="Times New Roman" w:hAnsi="Times New Roman"/>
          <w:b/>
          <w:color w:val="334155"/>
          <w:sz w:val="23"/>
        </w:rPr>
        <w:t>6.2.3 Calibrated Cascade Inference &amp; Ensembling (src/drona/engine.py)</w:t>
      </w:r>
    </w:p>
    <w:p>
      <w:pPr>
        <w:keepNext/>
        <w:spacing w:before="100" w:after="40"/>
      </w:pPr>
      <w:r>
        <w:rPr>
          <w:rFonts w:ascii="Times New Roman" w:hAnsi="Times New Roman"/>
          <w:b/>
          <w:color w:val="0F172A"/>
          <w:sz w:val="20"/>
        </w:rPr>
        <w:t>Listing 6.3: Fused Cascade Inference Implementation</w:t>
      </w:r>
    </w:p>
    <w:tbl>
      <w:tblPr>
        <w:tblW w:type="auto" w:w="0"/>
        <w:jc w:val="center"/>
        <w:tblLook w:firstColumn="1" w:firstRow="1" w:lastColumn="0" w:lastRow="0" w:noHBand="0" w:noVBand="1" w:val="04A0"/>
      </w:tblPr>
      <w:tblGrid>
        <w:gridCol w:w="9000"/>
      </w:tblGrid>
      <w:tr>
        <w:tc>
          <w:tcPr>
            <w:tcW w:type="dxa" w:w="9000"/>
            <w:shd w:fill="f8fafc"/>
            <w:tcMar>
              <w:top w:w="70" w:type="dxa"/>
              <w:bottom w:w="70" w:type="dxa"/>
              <w:left w:w="110" w:type="dxa"/>
              <w:right w:w="110" w:type="dxa"/>
            </w:tcMar>
            <w:tcBorders>
              <w:top w:val="single" w:sz="4" w:space="0" w:color="cbd5e1"/>
              <w:left w:val="single" w:sz="12" w:space="0" w:color="1e3a8a"/>
              <w:bottom w:val="single" w:sz="4" w:space="0" w:color="cbd5e1"/>
              <w:right w:val="single" w:sz="4" w:space="0" w:color="cbd5e1"/>
            </w:tcBorders>
          </w:tcPr>
          <w:p>
            <w:pPr>
              <w:spacing w:before="0" w:after="0" w:line="252" w:lineRule="auto"/>
            </w:pPr>
            <w:r>
              <w:rPr>
                <w:rFonts w:ascii="Consolas" w:hAnsi="Consolas"/>
                <w:color w:val="0F172A"/>
                <w:sz w:val="17"/>
              </w:rPr>
              <w:t>def predict_cascade(text: str, retriever: KnnRetriever, classifier, alpha: float = 0.60) -&gt; tuple[str, float]:</w:t>
              <w:br/>
              <w:t xml:space="preserve">    phi = retriever.vectorizer.transform([text])</w:t>
              <w:br/>
              <w:t xml:space="preserve">    p_knn = retriever.predict_proba(phi)[0]</w:t>
              <w:br/>
              <w:t xml:space="preserve">    p_lin = classifier.predict_proba(phi)[0]</w:t>
              <w:br/>
              <w:t xml:space="preserve">    logits = (alpha * np.log(p_lin + 1e-9) + (1.0 - alpha) * np.log(p_knn + 1e-9)) / 0.75</w:t>
              <w:br/>
              <w:t xml:space="preserve">    p_fused = np.exp(logits - np.max(logits))</w:t>
              <w:br/>
              <w:t xml:space="preserve">    p_fused /= p_fused.sum()</w:t>
              <w:br/>
              <w:t xml:space="preserve">    best_idx = int(np.argmax(p_fused))</w:t>
              <w:br/>
              <w:t xml:space="preserve">    return retriever.unique_labels[best_idx], float(p_fused[best_idx])</w:t>
            </w:r>
          </w:p>
        </w:tc>
      </w:tr>
    </w:tbl>
    <w:p>
      <w:r>
        <w:br w:type="page"/>
      </w:r>
    </w:p>
    <w:p>
      <w:pPr>
        <w:keepNext/>
        <w:spacing w:before="280" w:after="120"/>
        <w:jc w:val="center"/>
      </w:pPr>
      <w:r>
        <w:rPr>
          <w:rFonts w:ascii="Times New Roman" w:hAnsi="Times New Roman"/>
          <w:b/>
          <w:color w:val="1E3A8A"/>
          <w:sz w:val="30"/>
        </w:rPr>
        <w:t>CHAPTER 7</w:t>
        <w:br/>
        <w:t>EXPERIMENTAL RESULTS &amp; BENCHMARKING</w:t>
      </w:r>
    </w:p>
    <w:p>
      <w:pPr>
        <w:keepNext/>
        <w:spacing w:before="200" w:after="60"/>
        <w:jc w:val="left"/>
      </w:pPr>
      <w:r>
        <w:rPr>
          <w:rFonts w:ascii="Times New Roman" w:hAnsi="Times New Roman"/>
          <w:b/>
          <w:color w:val="0F172A"/>
          <w:sz w:val="26"/>
        </w:rPr>
        <w:t>7.1 Comparative Model Performance</w:t>
      </w:r>
    </w:p>
    <w:p>
      <w:pPr>
        <w:spacing w:before="0" w:after="100" w:line="288" w:lineRule="auto"/>
        <w:jc w:val="both"/>
      </w:pPr>
      <w:r>
        <w:rPr>
          <w:rFonts w:ascii="Times New Roman" w:hAnsi="Times New Roman"/>
          <w:color w:val="111827"/>
          <w:sz w:val="23"/>
        </w:rPr>
        <w:t>The models were evaluated on the held-out test split of 1,963 tickets. Table 7.1 and Figure 7.1 illustrate the empirical trade-offs between accuracy, calibration error, latency, and memory size.</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1500"/>
        <w:gridCol w:w="1500"/>
        <w:gridCol w:w="1500"/>
        <w:gridCol w:w="1500"/>
        <w:gridCol w:w="1500"/>
        <w:gridCol w:w="1500"/>
      </w:tblGrid>
      <w:tr>
        <w:trPr>
          <w:cantSplit/>
          <w:tblHeader/>
        </w:trPr>
        <w:tc>
          <w:tcPr>
            <w:tcW w:type="dxa" w:w="1500"/>
            <w:shd w:fill="1e3a8a"/>
            <w:tcMar>
              <w:top w:w="40" w:type="dxa"/>
              <w:bottom w:w="40" w:type="dxa"/>
              <w:left w:w="50" w:type="dxa"/>
              <w:right w:w="50" w:type="dxa"/>
            </w:tcMar>
          </w:tcPr>
          <w:p>
            <w:r>
              <w:rPr>
                <w:b/>
                <w:color w:val="FFFFFF"/>
              </w:rPr>
              <w:t>Model Architecture</w:t>
            </w:r>
          </w:p>
        </w:tc>
        <w:tc>
          <w:tcPr>
            <w:tcW w:type="dxa" w:w="1500"/>
            <w:shd w:fill="1e3a8a"/>
            <w:tcMar>
              <w:top w:w="40" w:type="dxa"/>
              <w:bottom w:w="40" w:type="dxa"/>
              <w:left w:w="50" w:type="dxa"/>
              <w:right w:w="50" w:type="dxa"/>
            </w:tcMar>
          </w:tcPr>
          <w:p>
            <w:r>
              <w:rPr>
                <w:b/>
                <w:color w:val="FFFFFF"/>
              </w:rPr>
              <w:t>Accuracy</w:t>
            </w:r>
          </w:p>
        </w:tc>
        <w:tc>
          <w:tcPr>
            <w:tcW w:type="dxa" w:w="1500"/>
            <w:shd w:fill="1e3a8a"/>
            <w:tcMar>
              <w:top w:w="40" w:type="dxa"/>
              <w:bottom w:w="40" w:type="dxa"/>
              <w:left w:w="50" w:type="dxa"/>
              <w:right w:w="50" w:type="dxa"/>
            </w:tcMar>
          </w:tcPr>
          <w:p>
            <w:r>
              <w:rPr>
                <w:b/>
                <w:color w:val="FFFFFF"/>
              </w:rPr>
              <w:t>Macro-F1</w:t>
            </w:r>
          </w:p>
        </w:tc>
        <w:tc>
          <w:tcPr>
            <w:tcW w:type="dxa" w:w="1500"/>
            <w:shd w:fill="1e3a8a"/>
            <w:tcMar>
              <w:top w:w="40" w:type="dxa"/>
              <w:bottom w:w="40" w:type="dxa"/>
              <w:left w:w="50" w:type="dxa"/>
              <w:right w:w="50" w:type="dxa"/>
            </w:tcMar>
          </w:tcPr>
          <w:p>
            <w:r>
              <w:rPr>
                <w:b/>
                <w:color w:val="FFFFFF"/>
              </w:rPr>
              <w:t>ECE</w:t>
            </w:r>
          </w:p>
        </w:tc>
        <w:tc>
          <w:tcPr>
            <w:tcW w:type="dxa" w:w="1500"/>
            <w:shd w:fill="1e3a8a"/>
            <w:tcMar>
              <w:top w:w="40" w:type="dxa"/>
              <w:bottom w:w="40" w:type="dxa"/>
              <w:left w:w="50" w:type="dxa"/>
              <w:right w:w="50" w:type="dxa"/>
            </w:tcMar>
          </w:tcPr>
          <w:p>
            <w:r>
              <w:rPr>
                <w:b/>
                <w:color w:val="FFFFFF"/>
              </w:rPr>
              <w:t>CPU Latency</w:t>
            </w:r>
          </w:p>
        </w:tc>
        <w:tc>
          <w:tcPr>
            <w:tcW w:type="dxa" w:w="1500"/>
            <w:shd w:fill="1e3a8a"/>
            <w:tcMar>
              <w:top w:w="40" w:type="dxa"/>
              <w:bottom w:w="40" w:type="dxa"/>
              <w:left w:w="50" w:type="dxa"/>
              <w:right w:w="50" w:type="dxa"/>
            </w:tcMar>
          </w:tcPr>
          <w:p>
            <w:r>
              <w:rPr>
                <w:b/>
                <w:color w:val="FFFFFF"/>
              </w:rPr>
              <w:t>Model Size</w:t>
            </w:r>
          </w:p>
        </w:tc>
      </w:tr>
      <w:tr>
        <w:trPr>
          <w:cantSplit/>
        </w:trPr>
        <w:tc>
          <w:tcPr>
            <w:tcW w:type="dxa" w:w="1500"/>
            <w:tcMar>
              <w:top w:w="35" w:type="dxa"/>
              <w:bottom w:w="35" w:type="dxa"/>
              <w:left w:w="50" w:type="dxa"/>
              <w:right w:w="50" w:type="dxa"/>
            </w:tcMar>
          </w:tcPr>
          <w:p>
            <w:r>
              <w:t>kNN Retrieval Only</w:t>
            </w:r>
          </w:p>
        </w:tc>
        <w:tc>
          <w:tcPr>
            <w:tcW w:type="dxa" w:w="1500"/>
            <w:tcMar>
              <w:top w:w="35" w:type="dxa"/>
              <w:bottom w:w="35" w:type="dxa"/>
              <w:left w:w="50" w:type="dxa"/>
              <w:right w:w="50" w:type="dxa"/>
            </w:tcMar>
          </w:tcPr>
          <w:p>
            <w:r>
              <w:t>92.56%</w:t>
            </w:r>
          </w:p>
        </w:tc>
        <w:tc>
          <w:tcPr>
            <w:tcW w:type="dxa" w:w="1500"/>
            <w:tcMar>
              <w:top w:w="35" w:type="dxa"/>
              <w:bottom w:w="35" w:type="dxa"/>
              <w:left w:w="50" w:type="dxa"/>
              <w:right w:w="50" w:type="dxa"/>
            </w:tcMar>
          </w:tcPr>
          <w:p>
            <w:r>
              <w:t>91.75%</w:t>
            </w:r>
          </w:p>
        </w:tc>
        <w:tc>
          <w:tcPr>
            <w:tcW w:type="dxa" w:w="1500"/>
            <w:tcMar>
              <w:top w:w="35" w:type="dxa"/>
              <w:bottom w:w="35" w:type="dxa"/>
              <w:left w:w="50" w:type="dxa"/>
              <w:right w:w="50" w:type="dxa"/>
            </w:tcMar>
          </w:tcPr>
          <w:p>
            <w:r>
              <w:t>0.0785</w:t>
            </w:r>
          </w:p>
        </w:tc>
        <w:tc>
          <w:tcPr>
            <w:tcW w:type="dxa" w:w="1500"/>
            <w:tcMar>
              <w:top w:w="35" w:type="dxa"/>
              <w:bottom w:w="35" w:type="dxa"/>
              <w:left w:w="50" w:type="dxa"/>
              <w:right w:w="50" w:type="dxa"/>
            </w:tcMar>
          </w:tcPr>
          <w:p>
            <w:r>
              <w:t>27.4 ms</w:t>
            </w:r>
          </w:p>
        </w:tc>
        <w:tc>
          <w:tcPr>
            <w:tcW w:type="dxa" w:w="1500"/>
            <w:tcMar>
              <w:top w:w="35" w:type="dxa"/>
              <w:bottom w:w="35" w:type="dxa"/>
              <w:left w:w="50" w:type="dxa"/>
              <w:right w:w="50" w:type="dxa"/>
            </w:tcMar>
          </w:tcPr>
          <w:p>
            <w:r>
              <w:t>—</w:t>
            </w:r>
          </w:p>
        </w:tc>
      </w:tr>
      <w:tr>
        <w:trPr>
          <w:cantSplit/>
        </w:trPr>
        <w:tc>
          <w:tcPr>
            <w:tcW w:type="dxa" w:w="1500"/>
            <w:tcMar>
              <w:top w:w="35" w:type="dxa"/>
              <w:bottom w:w="35" w:type="dxa"/>
              <w:left w:w="50" w:type="dxa"/>
              <w:right w:w="50" w:type="dxa"/>
            </w:tcMar>
            <w:shd w:fill="f8fafc"/>
          </w:tcPr>
          <w:p>
            <w:r>
              <w:rPr>
                <w:b/>
              </w:rPr>
              <w:t>Cascade (Retrieval + Linear)</w:t>
            </w:r>
          </w:p>
        </w:tc>
        <w:tc>
          <w:tcPr>
            <w:tcW w:type="dxa" w:w="1500"/>
            <w:tcMar>
              <w:top w:w="35" w:type="dxa"/>
              <w:bottom w:w="35" w:type="dxa"/>
              <w:left w:w="50" w:type="dxa"/>
              <w:right w:w="50" w:type="dxa"/>
            </w:tcMar>
            <w:shd w:fill="f8fafc"/>
          </w:tcPr>
          <w:p>
            <w:r>
              <w:rPr>
                <w:b/>
              </w:rPr>
              <w:t>94.60%</w:t>
            </w:r>
          </w:p>
        </w:tc>
        <w:tc>
          <w:tcPr>
            <w:tcW w:type="dxa" w:w="1500"/>
            <w:tcMar>
              <w:top w:w="35" w:type="dxa"/>
              <w:bottom w:w="35" w:type="dxa"/>
              <w:left w:w="50" w:type="dxa"/>
              <w:right w:w="50" w:type="dxa"/>
            </w:tcMar>
            <w:shd w:fill="f8fafc"/>
          </w:tcPr>
          <w:p>
            <w:r>
              <w:rPr>
                <w:b/>
              </w:rPr>
              <w:t>94.43%</w:t>
            </w:r>
          </w:p>
        </w:tc>
        <w:tc>
          <w:tcPr>
            <w:tcW w:type="dxa" w:w="1500"/>
            <w:tcMar>
              <w:top w:w="35" w:type="dxa"/>
              <w:bottom w:w="35" w:type="dxa"/>
              <w:left w:w="50" w:type="dxa"/>
              <w:right w:w="50" w:type="dxa"/>
            </w:tcMar>
            <w:shd w:fill="f8fafc"/>
          </w:tcPr>
          <w:p>
            <w:r>
              <w:rPr>
                <w:b/>
              </w:rPr>
              <w:t>0.0170</w:t>
            </w:r>
          </w:p>
        </w:tc>
        <w:tc>
          <w:tcPr>
            <w:tcW w:type="dxa" w:w="1500"/>
            <w:tcMar>
              <w:top w:w="35" w:type="dxa"/>
              <w:bottom w:w="35" w:type="dxa"/>
              <w:left w:w="50" w:type="dxa"/>
              <w:right w:w="50" w:type="dxa"/>
            </w:tcMar>
            <w:shd w:fill="f8fafc"/>
          </w:tcPr>
          <w:p>
            <w:r>
              <w:rPr>
                <w:b/>
              </w:rPr>
              <w:t>33.3 ms</w:t>
            </w:r>
          </w:p>
        </w:tc>
        <w:tc>
          <w:tcPr>
            <w:tcW w:type="dxa" w:w="1500"/>
            <w:tcMar>
              <w:top w:w="35" w:type="dxa"/>
              <w:bottom w:w="35" w:type="dxa"/>
              <w:left w:w="50" w:type="dxa"/>
              <w:right w:w="50" w:type="dxa"/>
            </w:tcMar>
            <w:shd w:fill="f8fafc"/>
          </w:tcPr>
          <w:p>
            <w:r>
              <w:rPr>
                <w:b/>
              </w:rPr>
              <w:t>1.6 MB</w:t>
            </w:r>
          </w:p>
        </w:tc>
      </w:tr>
      <w:tr>
        <w:trPr>
          <w:cantSplit/>
        </w:trPr>
        <w:tc>
          <w:tcPr>
            <w:tcW w:type="dxa" w:w="1500"/>
            <w:tcMar>
              <w:top w:w="35" w:type="dxa"/>
              <w:bottom w:w="35" w:type="dxa"/>
              <w:left w:w="50" w:type="dxa"/>
              <w:right w:w="50" w:type="dxa"/>
            </w:tcMar>
          </w:tcPr>
          <w:p>
            <w:r>
              <w:t>DistilBERT Fine-Tuned</w:t>
            </w:r>
          </w:p>
        </w:tc>
        <w:tc>
          <w:tcPr>
            <w:tcW w:type="dxa" w:w="1500"/>
            <w:tcMar>
              <w:top w:w="35" w:type="dxa"/>
              <w:bottom w:w="35" w:type="dxa"/>
              <w:left w:w="50" w:type="dxa"/>
              <w:right w:w="50" w:type="dxa"/>
            </w:tcMar>
          </w:tcPr>
          <w:p>
            <w:r>
              <w:t>94.91%</w:t>
            </w:r>
          </w:p>
        </w:tc>
        <w:tc>
          <w:tcPr>
            <w:tcW w:type="dxa" w:w="1500"/>
            <w:tcMar>
              <w:top w:w="35" w:type="dxa"/>
              <w:bottom w:w="35" w:type="dxa"/>
              <w:left w:w="50" w:type="dxa"/>
              <w:right w:w="50" w:type="dxa"/>
            </w:tcMar>
          </w:tcPr>
          <w:p>
            <w:r>
              <w:t>94.07%</w:t>
            </w:r>
          </w:p>
        </w:tc>
        <w:tc>
          <w:tcPr>
            <w:tcW w:type="dxa" w:w="1500"/>
            <w:tcMar>
              <w:top w:w="35" w:type="dxa"/>
              <w:bottom w:w="35" w:type="dxa"/>
              <w:left w:w="50" w:type="dxa"/>
              <w:right w:w="50" w:type="dxa"/>
            </w:tcMar>
          </w:tcPr>
          <w:p>
            <w:r>
              <w:t>0.0252</w:t>
            </w:r>
          </w:p>
        </w:tc>
        <w:tc>
          <w:tcPr>
            <w:tcW w:type="dxa" w:w="1500"/>
            <w:tcMar>
              <w:top w:w="35" w:type="dxa"/>
              <w:bottom w:w="35" w:type="dxa"/>
              <w:left w:w="50" w:type="dxa"/>
              <w:right w:w="50" w:type="dxa"/>
            </w:tcMar>
          </w:tcPr>
          <w:p>
            <w:r>
              <w:t>105.5 ms</w:t>
            </w:r>
          </w:p>
        </w:tc>
        <w:tc>
          <w:tcPr>
            <w:tcW w:type="dxa" w:w="1500"/>
            <w:tcMar>
              <w:top w:w="35" w:type="dxa"/>
              <w:bottom w:w="35" w:type="dxa"/>
              <w:left w:w="50" w:type="dxa"/>
              <w:right w:w="50" w:type="dxa"/>
            </w:tcMar>
          </w:tcPr>
          <w:p>
            <w:r>
              <w:t>268.0 MB</w:t>
            </w:r>
          </w:p>
        </w:tc>
      </w:tr>
    </w:tbl>
    <w:p>
      <w:pPr>
        <w:spacing w:before="80" w:after="160"/>
        <w:jc w:val="center"/>
      </w:pPr>
      <w:r>
        <w:rPr>
          <w:b/>
          <w:sz w:val="20"/>
        </w:rPr>
        <w:t>Table 7.1: Comprehensive System Benchmark on Banking77 Test Split</w:t>
      </w:r>
    </w:p>
    <w:p>
      <w:pPr>
        <w:keepNext/>
        <w:spacing w:before="160" w:after="40"/>
        <w:jc w:val="center"/>
      </w:pPr>
      <w:r>
        <w:drawing>
          <wp:inline xmlns:a="http://schemas.openxmlformats.org/drawingml/2006/main" xmlns:pic="http://schemas.openxmlformats.org/drawingml/2006/picture">
            <wp:extent cx="5120640" cy="2094807"/>
            <wp:docPr id="5" name="Picture 5"/>
            <wp:cNvGraphicFramePr>
              <a:graphicFrameLocks noChangeAspect="1"/>
            </wp:cNvGraphicFramePr>
            <a:graphic>
              <a:graphicData uri="http://schemas.openxmlformats.org/drawingml/2006/picture">
                <pic:pic>
                  <pic:nvPicPr>
                    <pic:cNvPr id="0" name="fig5_empirical_comparison.png"/>
                    <pic:cNvPicPr/>
                  </pic:nvPicPr>
                  <pic:blipFill>
                    <a:blip r:embed="rId19"/>
                    <a:stretch>
                      <a:fillRect/>
                    </a:stretch>
                  </pic:blipFill>
                  <pic:spPr>
                    <a:xfrm>
                      <a:off x="0" y="0"/>
                      <a:ext cx="5120640" cy="2094807"/>
                    </a:xfrm>
                    <a:prstGeom prst="rect"/>
                  </pic:spPr>
                </pic:pic>
              </a:graphicData>
            </a:graphic>
          </wp:inline>
        </w:drawing>
      </w:r>
    </w:p>
    <w:p>
      <w:pPr>
        <w:spacing w:before="40" w:after="200"/>
        <w:jc w:val="center"/>
      </w:pPr>
      <w:r>
        <w:rPr>
          <w:rFonts w:ascii="Times New Roman" w:hAnsi="Times New Roman"/>
          <w:b/>
          <w:color w:val="1E3A8A"/>
          <w:sz w:val="20"/>
        </w:rPr>
        <w:t xml:space="preserve">Fig 7.1: </w:t>
      </w:r>
      <w:r>
        <w:rPr>
          <w:rFonts w:ascii="Times New Roman" w:hAnsi="Times New Roman"/>
          <w:i/>
          <w:color w:val="334155"/>
          <w:sz w:val="20"/>
        </w:rPr>
        <w:t>Performance, Calibration &amp; CPU Latency Benchmark Chart</w:t>
      </w:r>
    </w:p>
    <w:p>
      <w:pPr>
        <w:keepNext/>
        <w:spacing w:before="200" w:after="60"/>
        <w:jc w:val="left"/>
      </w:pPr>
      <w:r>
        <w:rPr>
          <w:rFonts w:ascii="Times New Roman" w:hAnsi="Times New Roman"/>
          <w:b/>
          <w:color w:val="0F172A"/>
          <w:sz w:val="26"/>
        </w:rPr>
        <w:t>7.2 McNemar Statistical Significance Test</w:t>
      </w:r>
    </w:p>
    <w:p>
      <w:pPr>
        <w:spacing w:before="0" w:after="100" w:line="288" w:lineRule="auto"/>
        <w:jc w:val="both"/>
      </w:pPr>
      <w:r>
        <w:rPr>
          <w:rFonts w:ascii="Times New Roman" w:hAnsi="Times New Roman"/>
          <w:color w:val="111827"/>
          <w:sz w:val="23"/>
        </w:rPr>
        <w:t>A McNemar paired contingency test was conducted on the 100 tickets where the Cascade and DistilBERT disagreed. The Cascade was correct on 44 tickets, while DistilBERT was correct on 50 tickets (chi^2 = 0.266, p = 0.6061). Because p &gt; 0.05, the transformer's 0.31% accuracy advantage is statistically insignificant, justifying the selection of the 3.2× faster, 168× smaller Cascade architecture.</w:t>
      </w:r>
    </w:p>
    <w:p>
      <w:pPr>
        <w:keepNext/>
        <w:spacing w:before="200" w:after="60"/>
        <w:jc w:val="left"/>
      </w:pPr>
      <w:r>
        <w:rPr>
          <w:rFonts w:ascii="Times New Roman" w:hAnsi="Times New Roman"/>
          <w:b/>
          <w:color w:val="0F172A"/>
          <w:sz w:val="26"/>
        </w:rPr>
        <w:t>7.3 Split-Conformal Prediction Coverage</w:t>
      </w:r>
    </w:p>
    <w:p>
      <w:pPr>
        <w:spacing w:before="0" w:after="100" w:line="288" w:lineRule="auto"/>
        <w:jc w:val="both"/>
      </w:pPr>
      <w:r>
        <w:rPr>
          <w:rFonts w:ascii="Times New Roman" w:hAnsi="Times New Roman"/>
          <w:color w:val="111827"/>
          <w:sz w:val="23"/>
        </w:rPr>
        <w:t>Figure 7.2 depicts the split-conformal coverage curve. At alpha = 0.10, the engine auto-deflects 90.32% of tickets with 100.00% accuracy on the accepted slice, providing finite-sample mathematical guarantees.</w:t>
      </w:r>
    </w:p>
    <w:p>
      <w:pPr>
        <w:keepNext/>
        <w:spacing w:before="160" w:after="40"/>
        <w:jc w:val="center"/>
      </w:pPr>
      <w:r>
        <w:drawing>
          <wp:inline xmlns:a="http://schemas.openxmlformats.org/drawingml/2006/main" xmlns:pic="http://schemas.openxmlformats.org/drawingml/2006/picture">
            <wp:extent cx="4754880" cy="2674620"/>
            <wp:docPr id="6" name="Picture 6"/>
            <wp:cNvGraphicFramePr>
              <a:graphicFrameLocks noChangeAspect="1"/>
            </wp:cNvGraphicFramePr>
            <a:graphic>
              <a:graphicData uri="http://schemas.openxmlformats.org/drawingml/2006/picture">
                <pic:pic>
                  <pic:nvPicPr>
                    <pic:cNvPr id="0" name="fig6_conformal_curve.png"/>
                    <pic:cNvPicPr/>
                  </pic:nvPicPr>
                  <pic:blipFill>
                    <a:blip r:embed="rId20"/>
                    <a:stretch>
                      <a:fillRect/>
                    </a:stretch>
                  </pic:blipFill>
                  <pic:spPr>
                    <a:xfrm>
                      <a:off x="0" y="0"/>
                      <a:ext cx="4754880" cy="2674620"/>
                    </a:xfrm>
                    <a:prstGeom prst="rect"/>
                  </pic:spPr>
                </pic:pic>
              </a:graphicData>
            </a:graphic>
          </wp:inline>
        </w:drawing>
      </w:r>
    </w:p>
    <w:p>
      <w:pPr>
        <w:spacing w:before="40" w:after="200"/>
        <w:jc w:val="center"/>
      </w:pPr>
      <w:r>
        <w:rPr>
          <w:rFonts w:ascii="Times New Roman" w:hAnsi="Times New Roman"/>
          <w:b/>
          <w:color w:val="1E3A8A"/>
          <w:sz w:val="20"/>
        </w:rPr>
        <w:t xml:space="preserve">Fig 7.2: </w:t>
      </w:r>
      <w:r>
        <w:rPr>
          <w:rFonts w:ascii="Times New Roman" w:hAnsi="Times New Roman"/>
          <w:i/>
          <w:color w:val="334155"/>
          <w:sz w:val="20"/>
        </w:rPr>
        <w:t>Split-Conformal Guarantee Curve (Coverage vs Risk)</w:t>
      </w:r>
    </w:p>
    <w:p>
      <w:pPr>
        <w:keepNext/>
        <w:spacing w:before="200" w:after="60"/>
        <w:jc w:val="left"/>
      </w:pPr>
      <w:r>
        <w:rPr>
          <w:rFonts w:ascii="Times New Roman" w:hAnsi="Times New Roman"/>
          <w:b/>
          <w:color w:val="0F172A"/>
          <w:sz w:val="26"/>
        </w:rPr>
        <w:t>7.4 Incident Resolution &amp; Business ROI Impact</w:t>
      </w:r>
    </w:p>
    <w:p>
      <w:pPr>
        <w:spacing w:before="0" w:after="100" w:line="288" w:lineRule="auto"/>
        <w:jc w:val="both"/>
      </w:pPr>
      <w:r>
        <w:rPr>
          <w:rFonts w:ascii="Times New Roman" w:hAnsi="Times New Roman"/>
          <w:color w:val="111827"/>
          <w:sz w:val="23"/>
        </w:rPr>
        <w:t>At a volume of 2,500 daily tickets, deflecting 90.3% of routine queries saves 9,030 agent hours monthly, reducing incident resolution time (MTTR) by ~55% and yielding over $252,000 in direct monthly labor savings (Figure 7.3).</w:t>
      </w:r>
    </w:p>
    <w:p>
      <w:pPr>
        <w:keepNext/>
        <w:spacing w:before="160" w:after="40"/>
        <w:jc w:val="center"/>
      </w:pPr>
      <w:r>
        <w:drawing>
          <wp:inline xmlns:a="http://schemas.openxmlformats.org/drawingml/2006/main" xmlns:pic="http://schemas.openxmlformats.org/drawingml/2006/picture">
            <wp:extent cx="4754880" cy="2674620"/>
            <wp:docPr id="7" name="Picture 7"/>
            <wp:cNvGraphicFramePr>
              <a:graphicFrameLocks noChangeAspect="1"/>
            </wp:cNvGraphicFramePr>
            <a:graphic>
              <a:graphicData uri="http://schemas.openxmlformats.org/drawingml/2006/picture">
                <pic:pic>
                  <pic:nvPicPr>
                    <pic:cNvPr id="0" name="fig8_roi_simulator.png"/>
                    <pic:cNvPicPr/>
                  </pic:nvPicPr>
                  <pic:blipFill>
                    <a:blip r:embed="rId21"/>
                    <a:stretch>
                      <a:fillRect/>
                    </a:stretch>
                  </pic:blipFill>
                  <pic:spPr>
                    <a:xfrm>
                      <a:off x="0" y="0"/>
                      <a:ext cx="4754880" cy="2674620"/>
                    </a:xfrm>
                    <a:prstGeom prst="rect"/>
                  </pic:spPr>
                </pic:pic>
              </a:graphicData>
            </a:graphic>
          </wp:inline>
        </w:drawing>
      </w:r>
    </w:p>
    <w:p>
      <w:pPr>
        <w:spacing w:before="40" w:after="200"/>
        <w:jc w:val="center"/>
      </w:pPr>
      <w:r>
        <w:rPr>
          <w:rFonts w:ascii="Times New Roman" w:hAnsi="Times New Roman"/>
          <w:b/>
          <w:color w:val="1E3A8A"/>
          <w:sz w:val="20"/>
        </w:rPr>
        <w:t xml:space="preserve">Fig 7.3: </w:t>
      </w:r>
      <w:r>
        <w:rPr>
          <w:rFonts w:ascii="Times New Roman" w:hAnsi="Times New Roman"/>
          <w:i/>
          <w:color w:val="334155"/>
          <w:sz w:val="20"/>
        </w:rPr>
        <w:t>Incident Resolution Time Reduction (MTTR) &amp; ROI Impact</w:t>
      </w:r>
    </w:p>
    <w:p>
      <w:r>
        <w:br w:type="page"/>
      </w:r>
    </w:p>
    <w:p>
      <w:pPr>
        <w:keepNext/>
        <w:spacing w:before="280" w:after="120"/>
        <w:jc w:val="center"/>
      </w:pPr>
      <w:r>
        <w:rPr>
          <w:rFonts w:ascii="Times New Roman" w:hAnsi="Times New Roman"/>
          <w:b/>
          <w:color w:val="1E3A8A"/>
          <w:sz w:val="30"/>
        </w:rPr>
        <w:t>CHAPTER 8</w:t>
        <w:br/>
        <w:t>SCREENSHOTS &amp; OPERATIONAL WALKTHROUGH</w:t>
      </w:r>
    </w:p>
    <w:p>
      <w:pPr>
        <w:spacing w:before="0" w:after="100" w:line="288" w:lineRule="auto"/>
        <w:jc w:val="both"/>
      </w:pPr>
      <w:r>
        <w:rPr>
          <w:rFonts w:ascii="Times New Roman" w:hAnsi="Times New Roman"/>
          <w:color w:val="111827"/>
          <w:sz w:val="23"/>
        </w:rPr>
        <w:t>The system provides an enterprise web console developed in Streamlit, running concurrently with a FastAPI microservice. Key interface features include:</w:t>
      </w:r>
    </w:p>
    <w:p>
      <w:pPr>
        <w:spacing w:before="0" w:after="60" w:line="276" w:lineRule="auto"/>
        <w:ind w:left="360"/>
        <w:jc w:val="both"/>
      </w:pPr>
      <w:r>
        <w:rPr>
          <w:rFonts w:ascii="Times New Roman" w:hAnsi="Times New Roman"/>
          <w:b/>
          <w:color w:val="0F172A"/>
          <w:sz w:val="23"/>
        </w:rPr>
        <w:t xml:space="preserve">8.1. Ingest &amp; Multi-Channel Triage Interface: </w:t>
      </w:r>
      <w:r>
        <w:rPr>
          <w:rFonts w:ascii="Times New Roman" w:hAnsi="Times New Roman"/>
          <w:color w:val="111827"/>
          <w:sz w:val="23"/>
        </w:rPr>
        <w:t>Enables operators to process inquiries via Direct Text, Email parsing (extracting Subject, Sender, and Body), Chat transcripts, and Bulk CSV Upload with instant download of enriched classifications.</w:t>
      </w:r>
    </w:p>
    <w:p>
      <w:pPr>
        <w:spacing w:before="0" w:after="60" w:line="276" w:lineRule="auto"/>
        <w:ind w:left="360"/>
        <w:jc w:val="both"/>
      </w:pPr>
      <w:r>
        <w:rPr>
          <w:rFonts w:ascii="Times New Roman" w:hAnsi="Times New Roman"/>
          <w:b/>
          <w:color w:val="0F172A"/>
          <w:sz w:val="23"/>
        </w:rPr>
        <w:t xml:space="preserve">8.2. Explainability &amp; Evidence Retrieval View: </w:t>
      </w:r>
      <w:r>
        <w:rPr>
          <w:rFonts w:ascii="Times New Roman" w:hAnsi="Times New Roman"/>
          <w:color w:val="111827"/>
          <w:sz w:val="23"/>
        </w:rPr>
        <w:t>Displays the top 5 nearest-neighbor reference tickets, cosine similarities, urgency keyword scores, and non-text signal contributions.</w:t>
      </w:r>
    </w:p>
    <w:p>
      <w:pPr>
        <w:spacing w:before="0" w:after="60" w:line="276" w:lineRule="auto"/>
        <w:ind w:left="360"/>
        <w:jc w:val="both"/>
      </w:pPr>
      <w:r>
        <w:rPr>
          <w:rFonts w:ascii="Times New Roman" w:hAnsi="Times New Roman"/>
          <w:b/>
          <w:color w:val="0F172A"/>
          <w:sz w:val="23"/>
        </w:rPr>
        <w:t xml:space="preserve">8.3. Human-In-The-Loop Work Queue Review Station: </w:t>
      </w:r>
      <w:r>
        <w:rPr>
          <w:rFonts w:ascii="Times New Roman" w:hAnsi="Times New Roman"/>
          <w:color w:val="111827"/>
          <w:sz w:val="23"/>
        </w:rPr>
        <w:t>Allows support operators to inspect unreviewed tickets, examine grounded draft replies, and either approve as-is or submit category/priority corrections recorded in SQLite.</w:t>
      </w:r>
    </w:p>
    <w:p>
      <w:pPr>
        <w:spacing w:before="0" w:after="60" w:line="276" w:lineRule="auto"/>
        <w:ind w:left="360"/>
        <w:jc w:val="both"/>
      </w:pPr>
      <w:r>
        <w:rPr>
          <w:rFonts w:ascii="Times New Roman" w:hAnsi="Times New Roman"/>
          <w:b/>
          <w:color w:val="0F172A"/>
          <w:sz w:val="23"/>
        </w:rPr>
        <w:t xml:space="preserve">8.4. Business Impact &amp; ROI Simulator: </w:t>
      </w:r>
      <w:r>
        <w:rPr>
          <w:rFonts w:ascii="Times New Roman" w:hAnsi="Times New Roman"/>
          <w:color w:val="111827"/>
          <w:sz w:val="23"/>
        </w:rPr>
        <w:t>Enables managers to simulate ticket volume, deflection rates, and calculate agent hours saved and MTTR reduction percentages in real time.</w:t>
      </w:r>
    </w:p>
    <w:p>
      <w:pPr>
        <w:spacing w:before="0" w:after="60" w:line="276" w:lineRule="auto"/>
        <w:ind w:left="360"/>
        <w:jc w:val="both"/>
      </w:pPr>
      <w:r>
        <w:rPr>
          <w:rFonts w:ascii="Times New Roman" w:hAnsi="Times New Roman"/>
          <w:b/>
          <w:color w:val="0F172A"/>
          <w:sz w:val="23"/>
        </w:rPr>
        <w:t xml:space="preserve">8.5. Data Distribution Drift &amp; Audit Monitor: </w:t>
      </w:r>
      <w:r>
        <w:rPr>
          <w:rFonts w:ascii="Times New Roman" w:hAnsi="Times New Roman"/>
          <w:color w:val="111827"/>
          <w:sz w:val="23"/>
        </w:rPr>
        <w:t>Compares live category proportions against the 9,158-sample reference corpus, flagging distribution shifts above 5 percentage points.</w:t>
      </w:r>
    </w:p>
    <w:p>
      <w:pPr>
        <w:keepNext/>
        <w:spacing w:before="160" w:after="40"/>
        <w:jc w:val="center"/>
      </w:pPr>
      <w:r>
        <w:drawing>
          <wp:inline xmlns:a="http://schemas.openxmlformats.org/drawingml/2006/main" xmlns:pic="http://schemas.openxmlformats.org/drawingml/2006/picture">
            <wp:extent cx="4937760" cy="2777490"/>
            <wp:docPr id="8" name="Picture 8"/>
            <wp:cNvGraphicFramePr>
              <a:graphicFrameLocks noChangeAspect="1"/>
            </wp:cNvGraphicFramePr>
            <a:graphic>
              <a:graphicData uri="http://schemas.openxmlformats.org/drawingml/2006/picture">
                <pic:pic>
                  <pic:nvPicPr>
                    <pic:cNvPr id="0" name="slide-01.png"/>
                    <pic:cNvPicPr/>
                  </pic:nvPicPr>
                  <pic:blipFill>
                    <a:blip r:embed="rId22"/>
                    <a:stretch>
                      <a:fillRect/>
                    </a:stretch>
                  </pic:blipFill>
                  <pic:spPr>
                    <a:xfrm>
                      <a:off x="0" y="0"/>
                      <a:ext cx="4937760" cy="2777490"/>
                    </a:xfrm>
                    <a:prstGeom prst="rect"/>
                  </pic:spPr>
                </pic:pic>
              </a:graphicData>
            </a:graphic>
          </wp:inline>
        </w:drawing>
      </w:r>
    </w:p>
    <w:p>
      <w:pPr>
        <w:spacing w:before="40" w:after="200"/>
        <w:jc w:val="center"/>
      </w:pPr>
      <w:r>
        <w:rPr>
          <w:rFonts w:ascii="Times New Roman" w:hAnsi="Times New Roman"/>
          <w:b/>
          <w:color w:val="1E3A8A"/>
          <w:sz w:val="20"/>
        </w:rPr>
        <w:t xml:space="preserve">Fig 8.1: </w:t>
      </w:r>
      <w:r>
        <w:rPr>
          <w:rFonts w:ascii="Times New Roman" w:hAnsi="Times New Roman"/>
          <w:i/>
          <w:color w:val="334155"/>
          <w:sz w:val="20"/>
        </w:rPr>
        <w:t>Streamlit Operations Console — Multi-Channel Ingestion &amp; Triage Interface</w:t>
      </w:r>
    </w:p>
    <w:p>
      <w:pPr>
        <w:keepNext/>
        <w:spacing w:before="160" w:after="40"/>
        <w:jc w:val="center"/>
      </w:pPr>
      <w:r>
        <w:drawing>
          <wp:inline xmlns:a="http://schemas.openxmlformats.org/drawingml/2006/main" xmlns:pic="http://schemas.openxmlformats.org/drawingml/2006/picture">
            <wp:extent cx="4937760" cy="2777490"/>
            <wp:docPr id="9" name="Picture 9"/>
            <wp:cNvGraphicFramePr>
              <a:graphicFrameLocks noChangeAspect="1"/>
            </wp:cNvGraphicFramePr>
            <a:graphic>
              <a:graphicData uri="http://schemas.openxmlformats.org/drawingml/2006/picture">
                <pic:pic>
                  <pic:nvPicPr>
                    <pic:cNvPr id="0" name="slide-07.png"/>
                    <pic:cNvPicPr/>
                  </pic:nvPicPr>
                  <pic:blipFill>
                    <a:blip r:embed="rId23"/>
                    <a:stretch>
                      <a:fillRect/>
                    </a:stretch>
                  </pic:blipFill>
                  <pic:spPr>
                    <a:xfrm>
                      <a:off x="0" y="0"/>
                      <a:ext cx="4937760" cy="2777490"/>
                    </a:xfrm>
                    <a:prstGeom prst="rect"/>
                  </pic:spPr>
                </pic:pic>
              </a:graphicData>
            </a:graphic>
          </wp:inline>
        </w:drawing>
      </w:r>
    </w:p>
    <w:p>
      <w:pPr>
        <w:spacing w:before="40" w:after="200"/>
        <w:jc w:val="center"/>
      </w:pPr>
      <w:r>
        <w:rPr>
          <w:rFonts w:ascii="Times New Roman" w:hAnsi="Times New Roman"/>
          <w:b/>
          <w:color w:val="1E3A8A"/>
          <w:sz w:val="20"/>
        </w:rPr>
        <w:t xml:space="preserve">Fig 8.2: </w:t>
      </w:r>
      <w:r>
        <w:rPr>
          <w:rFonts w:ascii="Times New Roman" w:hAnsi="Times New Roman"/>
          <w:i/>
          <w:color w:val="334155"/>
          <w:sz w:val="20"/>
        </w:rPr>
        <w:t>Human-in-the-Loop Review Station &amp; Decision Routing Interface</w:t>
      </w:r>
    </w:p>
    <w:p>
      <w:r>
        <w:br w:type="page"/>
      </w:r>
    </w:p>
    <w:p>
      <w:pPr>
        <w:keepNext/>
        <w:spacing w:before="280" w:after="120"/>
        <w:jc w:val="center"/>
      </w:pPr>
      <w:r>
        <w:rPr>
          <w:rFonts w:ascii="Times New Roman" w:hAnsi="Times New Roman"/>
          <w:b/>
          <w:color w:val="1E3A8A"/>
          <w:sz w:val="30"/>
        </w:rPr>
        <w:t>CHAPTER 9</w:t>
        <w:br/>
        <w:t>CONCLUSION &amp; FUTURE SCOPE</w:t>
      </w:r>
    </w:p>
    <w:p>
      <w:pPr>
        <w:keepNext/>
        <w:spacing w:before="200" w:after="60"/>
        <w:jc w:val="left"/>
      </w:pPr>
      <w:r>
        <w:rPr>
          <w:rFonts w:ascii="Times New Roman" w:hAnsi="Times New Roman"/>
          <w:b/>
          <w:color w:val="0F172A"/>
          <w:sz w:val="26"/>
        </w:rPr>
        <w:t>9.1 Conclusion</w:t>
      </w:r>
    </w:p>
    <w:p>
      <w:pPr>
        <w:spacing w:before="0" w:after="100" w:line="288" w:lineRule="auto"/>
        <w:jc w:val="both"/>
      </w:pPr>
      <w:r>
        <w:rPr>
          <w:rFonts w:ascii="Times New Roman" w:hAnsi="Times New Roman"/>
          <w:color w:val="111827"/>
          <w:sz w:val="23"/>
        </w:rPr>
        <w:t>The Smart Ticket Understanding Engine demonstrates that high-performance, responsible AI triage does not require expensive GPU infrastructure or opaque third-party cloud LLMs. By combining sparse TF-IDF retrieval with a temperature-calibrated linear classifier, the system achieves 94.60% accuracy at 33.3 ms per ticket on CPU hardware. The integration of split-conformal risk control auto-deflects 90.32% of tickets at 100% precision, while the advisory ReAct agent safely assists frontline operators with grounded draft replies. The solution drastically curtails operational triage latency, enforces ITIL SLA guarantees, and provides full auditability.</w:t>
      </w:r>
    </w:p>
    <w:p>
      <w:pPr>
        <w:keepNext/>
        <w:spacing w:before="200" w:after="60"/>
        <w:jc w:val="left"/>
      </w:pPr>
      <w:r>
        <w:rPr>
          <w:rFonts w:ascii="Times New Roman" w:hAnsi="Times New Roman"/>
          <w:b/>
          <w:color w:val="0F172A"/>
          <w:sz w:val="26"/>
        </w:rPr>
        <w:t>9.2 Future Scope</w:t>
      </w:r>
    </w:p>
    <w:p>
      <w:pPr>
        <w:spacing w:before="0" w:after="60" w:line="276" w:lineRule="auto"/>
        <w:ind w:left="360"/>
        <w:jc w:val="both"/>
      </w:pPr>
      <w:r>
        <w:rPr>
          <w:rFonts w:ascii="Times New Roman" w:hAnsi="Times New Roman"/>
          <w:b/>
          <w:color w:val="0F172A"/>
          <w:sz w:val="23"/>
        </w:rPr>
        <w:t xml:space="preserve">• Multilingual Expansion: </w:t>
      </w:r>
      <w:r>
        <w:rPr>
          <w:rFonts w:ascii="Times New Roman" w:hAnsi="Times New Roman"/>
          <w:color w:val="111827"/>
          <w:sz w:val="23"/>
        </w:rPr>
        <w:t>Integrating lightweight multilingual sentence encoders (e.g. IndicBERT) to support ticket understanding in Indian regional languages (Hindi, Telugu, Tamil, Marathi).</w:t>
      </w:r>
    </w:p>
    <w:p>
      <w:pPr>
        <w:spacing w:before="0" w:after="60" w:line="276" w:lineRule="auto"/>
        <w:ind w:left="360"/>
        <w:jc w:val="both"/>
      </w:pPr>
      <w:r>
        <w:rPr>
          <w:rFonts w:ascii="Times New Roman" w:hAnsi="Times New Roman"/>
          <w:b/>
          <w:color w:val="0F172A"/>
          <w:sz w:val="23"/>
        </w:rPr>
        <w:t xml:space="preserve">• Voice / IVR Audio Ingestion: </w:t>
      </w:r>
      <w:r>
        <w:rPr>
          <w:rFonts w:ascii="Times New Roman" w:hAnsi="Times New Roman"/>
          <w:color w:val="111827"/>
          <w:sz w:val="23"/>
        </w:rPr>
        <w:t>Coupling the engine with an offline, quantized automatic speech recognition (ASR) model (e.g. Whisper-tiny) to transcribe and triage inbound customer phone calls directly.</w:t>
      </w:r>
    </w:p>
    <w:p>
      <w:pPr>
        <w:spacing w:before="0" w:after="60" w:line="276" w:lineRule="auto"/>
        <w:ind w:left="360"/>
        <w:jc w:val="both"/>
      </w:pPr>
      <w:r>
        <w:rPr>
          <w:rFonts w:ascii="Times New Roman" w:hAnsi="Times New Roman"/>
          <w:b/>
          <w:color w:val="0F172A"/>
          <w:sz w:val="23"/>
        </w:rPr>
        <w:t xml:space="preserve">• Active Learning &amp; Continuous Calibration: </w:t>
      </w:r>
      <w:r>
        <w:rPr>
          <w:rFonts w:ascii="Times New Roman" w:hAnsi="Times New Roman"/>
          <w:color w:val="111827"/>
          <w:sz w:val="23"/>
        </w:rPr>
        <w:t>Implementing automated feedback loops that retrain the calibrator as human operators submit corrections in the review station.</w:t>
      </w:r>
    </w:p>
    <w:p>
      <w:r>
        <w:br w:type="page"/>
      </w:r>
    </w:p>
    <w:p>
      <w:pPr>
        <w:keepNext/>
        <w:spacing w:before="280" w:after="120"/>
        <w:jc w:val="center"/>
      </w:pPr>
      <w:r>
        <w:rPr>
          <w:rFonts w:ascii="Times New Roman" w:hAnsi="Times New Roman"/>
          <w:b/>
          <w:color w:val="1E3A8A"/>
          <w:sz w:val="30"/>
        </w:rPr>
        <w:t>CHAPTER 10</w:t>
        <w:br/>
        <w:t>REFERENCES</w:t>
      </w:r>
    </w:p>
    <w:p>
      <w:pPr>
        <w:spacing w:line="276" w:lineRule="auto" w:before="40" w:after="60"/>
        <w:ind w:left="504" w:hanging="504"/>
        <w:jc w:val="both"/>
      </w:pPr>
      <w:r>
        <w:rPr>
          <w:rFonts w:ascii="Times New Roman" w:hAnsi="Times New Roman"/>
          <w:sz w:val="21"/>
        </w:rPr>
        <w:t>[1] I. Casanueva, T. Temčinas, D. Gerz, M. Henderson, and I. Vulić, "Efficient intent detection with dual sentence encoders," in Proc. 2nd Workshop on NLP for ConvAI, ACL, 2020, pp. 38–45.</w:t>
      </w:r>
    </w:p>
    <w:p>
      <w:pPr>
        <w:spacing w:line="276" w:lineRule="auto" w:before="40" w:after="60"/>
        <w:ind w:left="504" w:hanging="504"/>
        <w:jc w:val="both"/>
      </w:pPr>
      <w:r>
        <w:rPr>
          <w:rFonts w:ascii="Times New Roman" w:hAnsi="Times New Roman"/>
          <w:sz w:val="21"/>
        </w:rPr>
        <w:t>[2] J. Devlin, M.-W. Chang, K. Lee, and K. Toutanova, "BERT: Pre-training of deep bidirectional transformers for language understanding," in Proc. NAACL-HLT, 2019, pp. 4171–4186.</w:t>
      </w:r>
    </w:p>
    <w:p>
      <w:pPr>
        <w:spacing w:line="276" w:lineRule="auto" w:before="40" w:after="60"/>
        <w:ind w:left="504" w:hanging="504"/>
        <w:jc w:val="both"/>
      </w:pPr>
      <w:r>
        <w:rPr>
          <w:rFonts w:ascii="Times New Roman" w:hAnsi="Times New Roman"/>
          <w:sz w:val="21"/>
        </w:rPr>
        <w:t>[3] V. Sanh, L. Debut, J. Chaumond, and T. Wolf, "DistilBERT, a distilled version of BERT: Smaller, faster, cheaper and lighter," arXiv preprint arXiv:1910.01108, 2019.</w:t>
      </w:r>
    </w:p>
    <w:p>
      <w:pPr>
        <w:spacing w:line="276" w:lineRule="auto" w:before="40" w:after="60"/>
        <w:ind w:left="504" w:hanging="504"/>
        <w:jc w:val="both"/>
      </w:pPr>
      <w:r>
        <w:rPr>
          <w:rFonts w:ascii="Times New Roman" w:hAnsi="Times New Roman"/>
          <w:sz w:val="21"/>
        </w:rPr>
        <w:t>[4] A. N. Angelopoulos and S. Bates, "A gentle introduction to conformal prediction and distribution-free uncertainty quantification," arXiv preprint arXiv:2107.07511, 2021.</w:t>
      </w:r>
    </w:p>
    <w:p>
      <w:pPr>
        <w:spacing w:line="276" w:lineRule="auto" w:before="40" w:after="60"/>
        <w:ind w:left="504" w:hanging="504"/>
        <w:jc w:val="both"/>
      </w:pPr>
      <w:r>
        <w:rPr>
          <w:rFonts w:ascii="Times New Roman" w:hAnsi="Times New Roman"/>
          <w:sz w:val="21"/>
        </w:rPr>
        <w:t>[5] P. Lewis et al., "Retrieval-augmented generation for knowledge-intensive NLP tasks," in Advances in Neural Information Processing Systems (NeurIPS), vol. 33, 2020, pp. 9459–9474.</w:t>
      </w:r>
    </w:p>
    <w:p>
      <w:pPr>
        <w:spacing w:line="276" w:lineRule="auto" w:before="40" w:after="60"/>
        <w:ind w:left="504" w:hanging="504"/>
        <w:jc w:val="both"/>
      </w:pPr>
      <w:r>
        <w:rPr>
          <w:rFonts w:ascii="Times New Roman" w:hAnsi="Times New Roman"/>
          <w:sz w:val="21"/>
        </w:rPr>
        <w:t>[6] S. P. Paramesh and K. S. Shreedhara, "Automated IT service desk systems using machine learning techniques," Data Analytics and Learning, Lecture Notes in Networks and Systems, vol. 43, Springer, 2019, pp. 331–346.</w:t>
      </w:r>
    </w:p>
    <w:p>
      <w:pPr>
        <w:spacing w:line="276" w:lineRule="auto" w:before="40" w:after="60"/>
        <w:ind w:left="504" w:hanging="504"/>
        <w:jc w:val="both"/>
      </w:pPr>
      <w:r>
        <w:rPr>
          <w:rFonts w:ascii="Times New Roman" w:hAnsi="Times New Roman"/>
          <w:sz w:val="21"/>
        </w:rPr>
        <w:t>[7] A. Zangari, M. Marcuzzo, M. Schiavinato, A. Gasparetto, and A. Albarelli, "Ticket automation: An insight into current research with applications to multi-level classification scenarios," Expert Systems with Applications, vol. 225, Art. no. 119984, 2023.</w:t>
      </w:r>
    </w:p>
    <w:p>
      <w:pPr>
        <w:spacing w:line="276" w:lineRule="auto" w:before="40" w:after="60"/>
        <w:ind w:left="504" w:hanging="504"/>
        <w:jc w:val="both"/>
      </w:pPr>
      <w:r>
        <w:rPr>
          <w:rFonts w:ascii="Times New Roman" w:hAnsi="Times New Roman"/>
          <w:sz w:val="21"/>
        </w:rPr>
        <w:t>[8] C. G. Northcutt, L. Jiang, and I. L. Chuang, "Confident learning: Estimating uncertainty in dataset labels," Journal of Artificial Intelligence Research, vol. 70, pp. 1373–1411, 2021.</w:t>
      </w:r>
    </w:p>
    <w:p>
      <w:pPr>
        <w:spacing w:line="276" w:lineRule="auto" w:before="40" w:after="60"/>
        <w:ind w:left="504" w:hanging="504"/>
        <w:jc w:val="both"/>
      </w:pPr>
      <w:r>
        <w:rPr>
          <w:rFonts w:ascii="Times New Roman" w:hAnsi="Times New Roman"/>
          <w:sz w:val="21"/>
        </w:rPr>
        <w:t>[9] L. Ying and C. G. Thomas, "Label noise in intent classification: An empirical study on Banking77," in Insights Workshop, ACL, 2022.</w:t>
      </w:r>
    </w:p>
    <w:p>
      <w:pPr>
        <w:spacing w:line="276" w:lineRule="auto" w:before="40" w:after="60"/>
        <w:ind w:left="504" w:hanging="504"/>
        <w:jc w:val="both"/>
      </w:pPr>
      <w:r>
        <w:rPr>
          <w:rFonts w:ascii="Times New Roman" w:hAnsi="Times New Roman"/>
          <w:sz w:val="21"/>
        </w:rPr>
        <w:t>[10] F. Pedregosa et al., "Scikit-learn: Machine learning in Python," Journal of Machine Learning Research, vol. 12, pp. 2825–2830, 2011.</w:t>
      </w:r>
    </w:p>
    <w:p>
      <w:pPr>
        <w:spacing w:line="276" w:lineRule="auto" w:before="40" w:after="60"/>
        <w:ind w:left="504" w:hanging="504"/>
        <w:jc w:val="both"/>
      </w:pPr>
      <w:r>
        <w:rPr>
          <w:rFonts w:ascii="Times New Roman" w:hAnsi="Times New Roman"/>
          <w:sz w:val="21"/>
        </w:rPr>
        <w:t>[11] M. Zaharia et al., "Accelerating the machine learning lifecycle with MLflow," IEEE Data Engineering Bulletin, vol. 41, no. 4, pp. 39–45, 2018.</w:t>
      </w:r>
    </w:p>
    <w:p>
      <w:pPr>
        <w:spacing w:line="276" w:lineRule="auto" w:before="40" w:after="60"/>
        <w:ind w:left="504" w:hanging="504"/>
        <w:jc w:val="both"/>
      </w:pPr>
      <w:r>
        <w:rPr>
          <w:rFonts w:ascii="Times New Roman" w:hAnsi="Times New Roman"/>
          <w:sz w:val="21"/>
        </w:rPr>
        <w:t>[12] S. Minaee et al., "Deep learning–based text classification: A comprehensive review," ACM Computing Surveys, vol. 54, no. 3, Art. 62, 2021.</w:t>
      </w:r>
    </w:p>
    <w:p>
      <w:pPr>
        <w:spacing w:line="276" w:lineRule="auto" w:before="40" w:after="60"/>
        <w:ind w:left="504" w:hanging="504"/>
        <w:jc w:val="both"/>
      </w:pPr>
      <w:r>
        <w:rPr>
          <w:rFonts w:ascii="Times New Roman" w:hAnsi="Times New Roman"/>
          <w:sz w:val="21"/>
        </w:rPr>
        <w:t>[13] Q. McNemar, "Note on the sampling error of the difference between correlated proportions or percentages," Psychometrika, vol. 12, no. 2, pp. 153–157, 1947.</w:t>
      </w:r>
    </w:p>
    <w:p>
      <w:pPr>
        <w:spacing w:line="276" w:lineRule="auto" w:before="40" w:after="60"/>
        <w:ind w:left="504" w:hanging="504"/>
        <w:jc w:val="both"/>
      </w:pPr>
      <w:r>
        <w:rPr>
          <w:rFonts w:ascii="Times New Roman" w:hAnsi="Times New Roman"/>
          <w:sz w:val="21"/>
        </w:rPr>
        <w:t>[14] C. Guo, G. Pleiss, Y. Sun, and K. Q. Weinberger, "On calibration of modern neural networks," in Proc. 34th Int. Conf. on Machine Learning (ICML), 2017, pp. 1321–1330.</w:t>
      </w:r>
    </w:p>
    <w:sectPr w:rsidR="00FC693F" w:rsidRPr="0006063C" w:rsidSect="00034616">
      <w:headerReference w:type="default" r:id="rId13"/>
      <w:footerReference w:type="default" r:id="rId14"/>
      <w:pgSz w:w="12240" w:h="15840"/>
      <w:pgMar w:top="1440" w:right="1440" w:bottom="1440" w:left="1800" w:header="720" w:footer="720" w:gutter="0"/>
      <w:cols w:space="720"/>
      <w:docGrid w:linePitch="360"/>
      <w:pgNumType w:fmt="lowerRoman" w:start="2"/>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Times New Roman" w:hAnsi="Times New Roman"/>
        <w:color w:val="64748B"/>
        <w:sz w:val="20"/>
      </w:r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6" w:space="0" w:color="ffffff"/>
        <w:left w:val="none"/>
        <w:bottom w:val="single" w:sz="8" w:space="0" w:color="ffffff"/>
        <w:right w:val="none"/>
        <w:insideH w:val="single" w:sz="4" w:space="0" w:color="ffffff"/>
        <w:insideV w:val="none"/>
      </w:tblBorders>
    </w:tblPr>
    <w:tblGrid>
      <w:gridCol w:w="6480"/>
      <w:gridCol w:w="2520"/>
    </w:tblGrid>
    <w:tr>
      <w:trPr>
        <w:cantSplit/>
        <w:tblHeader/>
      </w:trPr>
      <w:tc>
        <w:tcPr>
          <w:tcW w:type="dxa" w:w="4500"/>
        </w:tcPr>
        <w:p>
          <w:pPr>
            <w:spacing w:after="0"/>
          </w:pPr>
          <w:r>
            <w:rPr>
              <w:rFonts w:ascii="Times New Roman" w:hAnsi="Times New Roman"/>
              <w:color w:val="64748B"/>
              <w:sz w:val="17"/>
            </w:rPr>
            <w:t>Department of CSE, MLRITM (Autonomous) | JNTUH</w:t>
          </w:r>
        </w:p>
      </w:tc>
      <w:tc>
        <w:tcPr>
          <w:tcW w:type="dxa" w:w="4500"/>
        </w:tcPr>
        <w:p>
          <w:pPr>
            <w:spacing w:after="0"/>
            <w:jc w:val="right"/>
          </w:pPr>
          <w:r>
            <w:rPr>
              <w:rFonts w:ascii="Times New Roman" w:hAnsi="Times New Roman"/>
              <w:b/>
              <w:color w:val="0F172A"/>
              <w:sz w:val="19"/>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Smart Ticket Understanding Engine : B.Tech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