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Company Event Impact Analyzer (CEIA 9.0)</w:t>
      </w:r>
    </w:p>
    <w:p>
      <w:pPr>
        <w:jc w:val="center"/>
      </w:pPr>
      <w:r>
        <w:rPr>
          <w:i/>
          <w:color w:val="555555"/>
          <w:sz w:val="22"/>
        </w:rPr>
        <w:t>Institutional Architecture, Econometric &amp; Machine Learning Breakthroughs, Dual-Market Coverage, Multi-Horizon Conformal Forecasting, Bank Residual Income Valuation &amp; Complete Operational Manual</w:t>
      </w:r>
    </w:p>
    <w:p>
      <w:pPr>
        <w:spacing w:after="240"/>
      </w:pPr>
    </w:p>
    <w:p>
      <w:pPr>
        <w:pStyle w:val="Heading1"/>
        <w:spacing w:before="280" w:after="120"/>
      </w:pPr>
      <w:r>
        <w:t>1. Executive Overview &amp; System Identity</w:t>
      </w:r>
    </w:p>
    <w:p>
      <w:r>
        <w:t>The Company Event Impact Analyzer (CEIA) is an institutional-grade econometric, machine learning (ML), natural language processing (NLP), and market microstructure intelligence platform engineered specifically for Indian capital markets. CEIA spans both publicly listed equities (NSE / BSE) and the unlisted / pre-IPO private equity space. Its primary objective is solving the fundamental challenge in empirical corporate finance: isolating genuine corporate event price and volatility impacts from systematic market noise, sector contagion, and media sensationalism.</w:t>
      </w:r>
    </w:p>
    <w:p>
      <w:r>
        <w:t>With Version 9.0, CEIA incorporates 8 cutting-edge academic and quantitative finance breakthroughs, including Gibbs &amp; Candès (2021) Adaptive Conformal Inference with dynamic 60 FPS multi-vertex Brownian diffusion polygons, Corsi (2009) HAR-RV volatility decomposition, Lundberg &amp; Lee (2017) SHAP Factor Attribution, López de Prado (2016) Hierarchical Risk Parity (HRP), Black-Litterman Bayesian Portfolio Allocation, Easley et al. (2012) VPIN Order Flow Toxicity, Arkhangelsky et al. (2021) Synthetic Difference-in-Differences (SDID), Diebold-Yılmaz (2012, 2014) Volatility Connectedness, Hamilton (1989) Markov-Switching Regimes, and the Edwards-Bell-Ohlson (1995) Residual Income Model (RIM) tailored for banking and financial institutions.</w:t>
      </w:r>
    </w:p>
    <w:p>
      <w:pPr>
        <w:pStyle w:val="Heading1"/>
        <w:spacing w:before="280" w:after="120"/>
      </w:pPr>
      <w:r>
        <w:t>2. Dual-Market Data Source Architecture</w:t>
      </w:r>
    </w:p>
    <w:p>
      <w:r>
        <w:t>CEIA incorporates a robust, resilient dual-market web scraping, API, and document ingestion pipeline covering mainstream financial news, startup venture capital rounds, unlisted price bulletin boards, and statutory regulatory feeds: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003366"/>
          </w:tcPr>
          <w:p>
            <w:r>
              <w:rPr>
                <w:b/>
                <w:color w:val="FFFFFF"/>
              </w:rPr>
              <w:t>Source Category</w:t>
            </w:r>
          </w:p>
        </w:tc>
        <w:tc>
          <w:tcPr>
            <w:tcW w:type="dxa" w:w="3360"/>
            <w:shd w:val="clear" w:color="auto" w:fill="003366"/>
          </w:tcPr>
          <w:p>
            <w:r>
              <w:rPr>
                <w:b/>
                <w:color w:val="FFFFFF"/>
              </w:rPr>
              <w:t>Coverage Outlets &amp; Providers</w:t>
            </w:r>
          </w:p>
        </w:tc>
        <w:tc>
          <w:tcPr>
            <w:tcW w:type="dxa" w:w="3360"/>
            <w:shd w:val="clear" w:color="auto" w:fill="003366"/>
          </w:tcPr>
          <w:p>
            <w:r>
              <w:rPr>
                <w:b/>
                <w:color w:val="FFFFFF"/>
              </w:rPr>
              <w:t>Scraping &amp; Ingestion Mechanism</w:t>
            </w:r>
          </w:p>
        </w:tc>
      </w:tr>
      <w:tr>
        <w:tc>
          <w:tcPr>
            <w:tcW w:type="dxa" w:w="3360"/>
          </w:tcPr>
          <w:p>
            <w:pPr>
              <w:spacing w:after="40" w:before="40"/>
            </w:pPr>
            <w:r>
              <w:t>1. Mainstream Financial Press</w:t>
            </w:r>
          </w:p>
        </w:tc>
        <w:tc>
          <w:tcPr>
            <w:tcW w:type="dxa" w:w="3360"/>
          </w:tcPr>
          <w:p>
            <w:pPr>
              <w:spacing w:after="40" w:before="40"/>
            </w:pPr>
            <w:r>
              <w:t>Economic Times, Financial Express, Hindu Business Line, Moneycontrol, Business Today, Livemint</w:t>
            </w:r>
          </w:p>
        </w:tc>
        <w:tc>
          <w:tcPr>
            <w:tcW w:type="dxa" w:w="3360"/>
          </w:tcPr>
          <w:p>
            <w:pPr>
              <w:spacing w:after="40" w:before="40"/>
            </w:pPr>
            <w:r>
              <w:t>Month/day-partitioned XML news sitemaps, RSS feeds, and article body JSON-LD extraction with date filtering.</w:t>
            </w:r>
          </w:p>
        </w:tc>
      </w:tr>
      <w:tr>
        <w:tc>
          <w:tcPr>
            <w:tcW w:type="dxa" w:w="3360"/>
          </w:tcPr>
          <w:p>
            <w:pPr>
              <w:spacing w:after="40" w:before="40"/>
            </w:pPr>
            <w:r>
              <w:t>2. Private Equity &amp; Pre-IPO Outlets</w:t>
            </w:r>
          </w:p>
        </w:tc>
        <w:tc>
          <w:tcPr>
            <w:tcW w:type="dxa" w:w="3360"/>
          </w:tcPr>
          <w:p>
            <w:pPr>
              <w:spacing w:after="40" w:before="40"/>
            </w:pPr>
            <w:r>
              <w:t>Entrackr, VCCircle, Inc42</w:t>
            </w:r>
          </w:p>
        </w:tc>
        <w:tc>
          <w:tcPr>
            <w:tcW w:type="dxa" w:w="3360"/>
          </w:tcPr>
          <w:p>
            <w:pPr>
              <w:spacing w:after="40" w:before="40"/>
            </w:pPr>
            <w:r>
              <w:t>Reverse-chronological sitemaps capturing funding rounds, ROC filings, secondary share sales, and cap table changes.</w:t>
            </w:r>
          </w:p>
        </w:tc>
      </w:tr>
      <w:tr>
        <w:tc>
          <w:tcPr>
            <w:tcW w:type="dxa" w:w="3360"/>
          </w:tcPr>
          <w:p>
            <w:pPr>
              <w:spacing w:after="40" w:before="40"/>
            </w:pPr>
            <w:r>
              <w:t>3. Unlisted &amp; Grey Market Platforms</w:t>
            </w:r>
          </w:p>
        </w:tc>
        <w:tc>
          <w:tcPr>
            <w:tcW w:type="dxa" w:w="3360"/>
          </w:tcPr>
          <w:p>
            <w:pPr>
              <w:spacing w:after="40" w:before="40"/>
            </w:pPr>
            <w:r>
              <w:t>UnlistedZone (unlistedzone.com/shares)</w:t>
            </w:r>
          </w:p>
        </w:tc>
        <w:tc>
          <w:tcPr>
            <w:tcW w:type="dxa" w:w="3360"/>
          </w:tcPr>
          <w:p>
            <w:pPr>
              <w:spacing w:after="40" w:before="40"/>
            </w:pPr>
            <w:r>
              <w:t>Next.js streaming React Server Components (RSC) JSON parser extracting 5-year indicative price revision step-functions.</w:t>
            </w:r>
          </w:p>
        </w:tc>
      </w:tr>
      <w:tr>
        <w:tc>
          <w:tcPr>
            <w:tcW w:type="dxa" w:w="3360"/>
          </w:tcPr>
          <w:p>
            <w:pPr>
              <w:spacing w:after="40" w:before="40"/>
            </w:pPr>
            <w:r>
              <w:t>4. Statutory &amp; Regulatory Feeds</w:t>
            </w:r>
          </w:p>
        </w:tc>
        <w:tc>
          <w:tcPr>
            <w:tcW w:type="dxa" w:w="3360"/>
          </w:tcPr>
          <w:p>
            <w:pPr>
              <w:spacing w:after="40" w:before="40"/>
            </w:pPr>
            <w:r>
              <w:t>BSE Corporate Announcements, SEBI Regulatory Disclosures</w:t>
            </w:r>
          </w:p>
        </w:tc>
        <w:tc>
          <w:tcPr>
            <w:tcW w:type="dxa" w:w="3360"/>
          </w:tcPr>
          <w:p>
            <w:pPr>
              <w:spacing w:after="40" w:before="40"/>
            </w:pPr>
            <w:r>
              <w:t>Official exchange announcements and SEBI LODR Regulation 30 statutory urgency classifications (Tier 1/2/3).</w:t>
            </w:r>
          </w:p>
        </w:tc>
      </w:tr>
      <w:tr>
        <w:tc>
          <w:tcPr>
            <w:tcW w:type="dxa" w:w="3360"/>
          </w:tcPr>
          <w:p>
            <w:pPr>
              <w:spacing w:after="40" w:before="40"/>
            </w:pPr>
            <w:r>
              <w:t>5. Corporate Document Parser</w:t>
            </w:r>
          </w:p>
        </w:tc>
        <w:tc>
          <w:tcPr>
            <w:tcW w:type="dxa" w:w="3360"/>
          </w:tcPr>
          <w:p>
            <w:pPr>
              <w:spacing w:after="40" w:before="40"/>
            </w:pPr>
            <w:r>
              <w:t>PDF Annual Reports, Investor Presentations, Concall Transcripts</w:t>
            </w:r>
          </w:p>
        </w:tc>
        <w:tc>
          <w:tcPr>
            <w:tcW w:type="dxa" w:w="3360"/>
          </w:tcPr>
          <w:p>
            <w:pPr>
              <w:spacing w:after="40" w:before="40"/>
            </w:pPr>
            <w:r>
              <w:t>Local PDF extractor parsing financial notes, Q&amp;A sections, Gunning Fog complexity, and managerial evasion scores.</w:t>
            </w:r>
          </w:p>
        </w:tc>
      </w:tr>
      <w:tr>
        <w:tc>
          <w:tcPr>
            <w:tcW w:type="dxa" w:w="3360"/>
          </w:tcPr>
          <w:p>
            <w:pPr>
              <w:spacing w:after="40" w:before="40"/>
            </w:pPr>
            <w:r>
              <w:t>6. Historical Archive Fallback</w:t>
            </w:r>
          </w:p>
        </w:tc>
        <w:tc>
          <w:tcPr>
            <w:tcW w:type="dxa" w:w="3360"/>
          </w:tcPr>
          <w:p>
            <w:pPr>
              <w:spacing w:after="40" w:before="40"/>
            </w:pPr>
            <w:r>
              <w:t>Internet Archive Wayback Machine CDX API</w:t>
            </w:r>
          </w:p>
        </w:tc>
        <w:tc>
          <w:tcPr>
            <w:tcW w:type="dxa" w:w="3360"/>
          </w:tcPr>
          <w:p>
            <w:pPr>
              <w:spacing w:after="40" w:before="40"/>
            </w:pPr>
            <w:r>
              <w:t>Deterministic fallback scraping historical snapshots when publisher archive sitemaps are restricted.</w:t>
            </w:r>
          </w:p>
        </w:tc>
      </w:tr>
    </w:tbl>
    <w:p>
      <w:pPr>
        <w:pStyle w:val="Heading1"/>
        <w:spacing w:before="280" w:after="120"/>
      </w:pPr>
      <w:r>
        <w:t>3. Multi-Horizon Conformal Forecasting &amp; Dynamic Diffusion Cones</w:t>
      </w:r>
    </w:p>
    <w:p>
      <w:r>
        <w:t>CEIA 9.0 delivers a distribution-free, finite-sample valid predictive forecasting suite spanning tactical, swing, and fundamental investment horizons:</w:t>
      </w:r>
    </w:p>
    <w:p>
      <w:r>
        <w:t>A. Distribution-Free Conformal Prediction (Gibbs &amp; Candès 2021):</w:t>
        <w:br/>
        <w:t>Standard Gaussian Value-at-Risk assumes symmetric bell curves and consistently understates heavy-tail financial crashes. CEIA deploys Adaptive Conformal Inference (ACI) calculating non-conformity scores over historical residuals to establish mathematically guaranteed 1 - alpha empirical prediction bands without parametric normality assumptions.</w:t>
      </w:r>
    </w:p>
    <w:p>
      <w:r>
        <w:t>B. Heterogeneous Autoregressive Realized Volatility (HAR-RV - Corsi 2009):</w:t>
        <w:br/>
        <w:t>Decomposes price volatility across three participant frequencies:</w:t>
        <w:br/>
        <w:t>RV_{t+1d} = c + beta_d RV_t^d + beta_w RV_t^w + beta_m RV_t^m + beta_{lev} (r_t^-)^2 + beta_J Jump_t + epsilon_t</w:t>
        <w:br/>
        <w:t>Incorporates Leverage Asymmetry (negative returns trigger 1.25x-1.75x higher forward volatility than positive gains) and non-continuous jump intensity.</w:t>
      </w:r>
    </w:p>
    <w:p>
      <w:r>
        <w:t>C. 14-Vertex Non-Linear Brownian Diffusion Envelope Polygon:</w:t>
        <w:br/>
        <w:t>Replaces static trapezoids with a 14-vertex smooth diffusion polygon sampled across t in [0, 1, 2, 3.5, 5, 8, 12, 16, 21, 28, 35, 44, 53, 63] trading days:</w:t>
        <w:br/>
        <w:t>Spread_{up}(t) = z_{conf} * sigma_{HAR} * sqrt(t / 252) * P_0 * (1 + VolStress)</w:t>
        <w:br/>
        <w:t>Spread_{dn}(t) = z_{conf} * sigma_{HAR} * sqrt(t / 252) * AsymmetryRatio * P_0 * (1 + VolStress)</w:t>
        <w:br/>
        <w:t>The polygon recalculates in JavaScript at 60 FPS as the user adjusts the 240px Bloomberg-styled Vol Stress Slider (-50% to +100%).</w:t>
      </w:r>
    </w:p>
    <w:p>
      <w:r>
        <w:t>D. Multi-Horizon Target Synthesis:</w:t>
        <w:br/>
        <w:t>- 5-Day Tactical Horizon: Driven by event PEAD sentiment drift and intraday order flow momentum.</w:t>
        <w:br/>
        <w:t>- 21-Day Monthly Swing Horizon: Blended multi-factor regression, Macro Ridge yield signals, and HAR-RV volatility bounds.</w:t>
        <w:br/>
        <w:t>- 63-Day Fundamental Horizon: Anchored to intrinsic valuation models (DCF / RIM) and structural distance-to-default solvency.</w:t>
      </w:r>
    </w:p>
    <w:p>
      <w:pPr>
        <w:pStyle w:val="Heading1"/>
        <w:spacing w:before="280" w:after="120"/>
      </w:pPr>
      <w:r>
        <w:t>4. Dual Corporate Valuation Architecture: Firms vs Banks</w:t>
      </w:r>
    </w:p>
    <w:p>
      <w:r>
        <w:t>Per foundational corporate finance theory (Damodaran, Penman, Ohlson 1995), a unified valuation methodology cannot be applied to all corporate entities. CEIA dynamically detects financial institutions and deploys the methodologically appropriate valuation engine:</w:t>
      </w:r>
    </w:p>
    <w:p>
      <w:r>
        <w:t>A. Non-Financial Firms: 2-Stage FCFF / WACC DCF Model (`ceia/valuation_model.py`):</w:t>
        <w:br/>
        <w:t>- Free Cash Flow to Firm: FCFF_t = NOPAT_t + D&amp;A_t - CapEx_t - Delta NWC_t</w:t>
        <w:br/>
        <w:t>- Cost of Capital (WACC): WACC = (E / (D+E)) * K_e + (D / (D+E)) * K_d * (1 - t)</w:t>
        <w:br/>
        <w:t>- Enterprise Value: EV = Sum_{t=1}^5 (FCFF_t / (1+WACC)^t) + (TV_5 / (1+WACC)^5)</w:t>
        <w:br/>
        <w:t>- Equity Value: Equity = EV - Total Debt + Cash &amp; Liquid Equivalents</w:t>
        <w:br/>
        <w:t>- Bayesian Monte Carlo DCF: 1,000 iterations sampling normal posterior distributions for NOPAT growth and WACC.</w:t>
      </w:r>
    </w:p>
    <w:p>
      <w:r>
        <w:t>B. Banks &amp; Financial Institutions: Edwards-Bell-Ohlson (1995) Residual Income Model (RIM):</w:t>
        <w:br/>
        <w:t>- Academic Methodology Rationale: Standard FCFF and WACC are invalid for banks and NBFCs because deposits and debt constitute operational raw materials/inventory rather than financial leverage, and physical CapEx is negligible compared to balance-sheet loan book credit growth.</w:t>
        <w:br/>
        <w:t>- Valuation Formula:</w:t>
        <w:br/>
        <w:t>V_0 = Book Value of Equity_0 + Sum_{t=1}^5 ((ROE_t - K_e) * B_{t-1}) / (1 + K_e)^t + Terminal Residual Income / ((K_e - g_{term}) * (1 + K_e)^5)</w:t>
        <w:br/>
        <w:t>- Clean Surplus Accounting: Ending Book Value B_t = B_{t-1} + Net Income_t - Dividends_t</w:t>
        <w:br/>
        <w:t>- Bayesian Probabilistic RIM: 1,000 iterations sampling sustainable ROE distributions ~ N(mu_ROE, 0.02^2) and CAPM Cost of Equity K_e to establish P10, P50, P90 intrinsic valuation floors.</w:t>
      </w:r>
    </w:p>
    <w:p>
      <w:pPr>
        <w:pStyle w:val="Heading1"/>
        <w:spacing w:before="280" w:after="120"/>
      </w:pPr>
      <w:r>
        <w:t>5. Frontier Institutional Econometric &amp; ML Suite (CEIA 9.0)</w:t>
      </w:r>
    </w:p>
    <w:p>
      <w:r>
        <w:t>Pillar 1: SHAP Factor Attribution (`ceia/xai.py`):</w:t>
        <w:br/>
        <w:t>Cooperative game-theoretic Shapley value decomposition (Lundberg &amp; Lee 2017) isolating the exact percentage-point contribution of news tone, regulatory severity, realized volatility, macro yields, and solvency cushions to the forecast return. Strictly satisfies the Additivity / Efficiency Axiom.</w:t>
      </w:r>
    </w:p>
    <w:p>
      <w:r>
        <w:t>Pillar 2: Hierarchical Risk Parity (HRP) &amp; Black-Litterman (`ceia/portfolio.py`):</w:t>
        <w:br/>
        <w:t>Graph-theoretic tree clustering, quasi-diagonalization, and recursive bisection inverse-variance allocation (López de Prado 2016) eliminating Markowitz covariance inversion singularity, blended with Fischer Black &amp; Robert Litterman (1990/2023) Bayesian active view tilts.</w:t>
      </w:r>
    </w:p>
    <w:p>
      <w:r>
        <w:t>Pillar 3: Market Microstructure &amp; VPIN Toxicity (`ceia/microstructure.py`):</w:t>
        <w:br/>
        <w:t>Volume-Synchronized Probability of Toxicity (VPIN - Easley et al. 2012) via Bulk Volume Classification across constant-volume buckets, Albert S. Kyle (1985) Lambda price impact per ₹10M volume, Amihud illiquidity, and Barndorff-Nielsen jump tests.</w:t>
      </w:r>
    </w:p>
    <w:p>
      <w:r>
        <w:t>Pillar 4: Diebold-Yılmaz Volatility Spillover Index (`ceia/spillover.py`):</w:t>
        <w:br/>
        <w:t>Generalized Forecast Error Variance Decomposition (GVD) in Vector Autoregression (VAR) quantifying Total Connectedness Index (TCI), directional spillovers ('TO', 'FROM'), and classifying target firms as Net Systemic Transmitters or Receivers.</w:t>
      </w:r>
    </w:p>
    <w:p>
      <w:r>
        <w:t>Pillar 5: Hamilton Markov-Switching Market Regimes (`ceia/regime.py`):</w:t>
        <w:br/>
        <w:t>James D. Hamilton (1989) 3-State Gaussian Markov Switching model tracking real-time transition probabilities between Tranquil, Elevated Volatility, and Acute Crisis market regimes with expected durations.</w:t>
      </w:r>
    </w:p>
    <w:p>
      <w:r>
        <w:t>Pillar 6: Synthetic Difference-in-Differences (SDID - `ceia/sdid.py`):</w:t>
        <w:br/>
        <w:t>Arkhangelsky et al. (2021 AER) doubly robust causal estimator computing regularized unit weights and DID time weights to estimate unconfounded Average Treatment Effect on the Treated (ATT) while eliminating parallel trend bias.</w:t>
      </w:r>
    </w:p>
    <w:p>
      <w:r>
        <w:t>Pillar 7: Comprehensive Solvency &amp; Distress Ensemble (`ceia/solvency_ensemble.py`):</w:t>
        <w:br/>
        <w:t>Multi-model distress synthesis: Altman Z"-Score (Emerging Markets), Beneish M-Score (Earnings Manipulation), Piotroski F-Score (Fundamental Health), KMV Merton Distance to Default, Ohlson (1980) O-Score, and Cox Proportional Hazards 5-year survival curves.</w:t>
      </w:r>
    </w:p>
    <w:p>
      <w:r>
        <w:t>Pillar 8: Dupont 5-Factor ROE Decomposition (`ceia/valuation_model.py`):</w:t>
        <w:br/>
        <w:t>Deconstructs Return on Equity: Tax Burden (NI/EBT) * Interest Burden (EBT/EBIT) * EBIT Margin (EBIT/Sales) * Asset Turnover (Sales/Assets) * Financial Leverage Multiplier (Assets/Equity).</w:t>
      </w:r>
    </w:p>
    <w:p>
      <w:pPr>
        <w:pStyle w:val="Heading1"/>
        <w:spacing w:before="280" w:after="120"/>
      </w:pPr>
      <w:r>
        <w:t>6. Output Deliverable Ecosystem &amp; 20-Tab Excel Suite</w:t>
      </w:r>
    </w:p>
    <w:p>
      <w:r>
        <w:t>Every CEIA run automatically generates deliverables partitioned across structured directories (`out/`, `Excel/`, `json/`, `PDF/`):</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003366"/>
          </w:tcPr>
          <w:p>
            <w:r>
              <w:rPr>
                <w:b/>
                <w:color w:val="FFFFFF"/>
              </w:rPr>
              <w:t>Tab #</w:t>
            </w:r>
          </w:p>
        </w:tc>
        <w:tc>
          <w:tcPr>
            <w:tcW w:type="dxa" w:w="3360"/>
            <w:shd w:val="clear" w:color="auto" w:fill="003366"/>
          </w:tcPr>
          <w:p>
            <w:r>
              <w:rPr>
                <w:b/>
                <w:color w:val="FFFFFF"/>
              </w:rPr>
              <w:t>Sheet Title</w:t>
            </w:r>
          </w:p>
        </w:tc>
        <w:tc>
          <w:tcPr>
            <w:tcW w:type="dxa" w:w="3360"/>
            <w:shd w:val="clear" w:color="auto" w:fill="003366"/>
          </w:tcPr>
          <w:p>
            <w:r>
              <w:rPr>
                <w:b/>
                <w:color w:val="FFFFFF"/>
              </w:rPr>
              <w:t>Core Quantitative &amp; Econometric Contents</w:t>
            </w:r>
          </w:p>
        </w:tc>
      </w:tr>
      <w:tr>
        <w:tc>
          <w:tcPr>
            <w:tcW w:type="dxa" w:w="3360"/>
          </w:tcPr>
          <w:p>
            <w:pPr>
              <w:spacing w:after="40" w:before="40"/>
            </w:pPr>
            <w:r>
              <w:t>Tab 01</w:t>
            </w:r>
          </w:p>
        </w:tc>
        <w:tc>
          <w:tcPr>
            <w:tcW w:type="dxa" w:w="3360"/>
          </w:tcPr>
          <w:p>
            <w:pPr>
              <w:spacing w:after="40" w:before="40"/>
            </w:pPr>
            <w:r>
              <w:t>Executive Summary</w:t>
            </w:r>
          </w:p>
        </w:tc>
        <w:tc>
          <w:tcPr>
            <w:tcW w:type="dxa" w:w="3360"/>
          </w:tcPr>
          <w:p>
            <w:pPr>
              <w:spacing w:after="40" w:before="40"/>
            </w:pPr>
            <w:r>
              <w:t>Key company metadata, beta, WACC/Ke, target price, margin of safety, Fama-French alpha, credit rating.</w:t>
            </w:r>
          </w:p>
        </w:tc>
      </w:tr>
      <w:tr>
        <w:tc>
          <w:tcPr>
            <w:tcW w:type="dxa" w:w="3360"/>
          </w:tcPr>
          <w:p>
            <w:pPr>
              <w:spacing w:after="40" w:before="40"/>
            </w:pPr>
            <w:r>
              <w:t>Tab 02</w:t>
            </w:r>
          </w:p>
        </w:tc>
        <w:tc>
          <w:tcPr>
            <w:tcW w:type="dxa" w:w="3360"/>
          </w:tcPr>
          <w:p>
            <w:pPr>
              <w:spacing w:after="40" w:before="40"/>
            </w:pPr>
            <w:r>
              <w:t>Daily Detail</w:t>
            </w:r>
          </w:p>
        </w:tc>
        <w:tc>
          <w:tcPr>
            <w:tcW w:type="dxa" w:w="3360"/>
          </w:tcPr>
          <w:p>
            <w:pPr>
              <w:spacing w:after="40" w:before="40"/>
            </w:pPr>
            <w:r>
              <w:t>Full time series with returns, benchmark comovement, and LIVE formulas (=AVERAGE, =STDEV.S, =SLOPE, =INTERCEPT, =CORREL, =PERCENTILE.INC).</w:t>
            </w:r>
          </w:p>
        </w:tc>
      </w:tr>
      <w:tr>
        <w:tc>
          <w:tcPr>
            <w:tcW w:type="dxa" w:w="3360"/>
          </w:tcPr>
          <w:p>
            <w:pPr>
              <w:spacing w:after="40" w:before="40"/>
            </w:pPr>
            <w:r>
              <w:t>Tab 03</w:t>
            </w:r>
          </w:p>
        </w:tc>
        <w:tc>
          <w:tcPr>
            <w:tcW w:type="dxa" w:w="3360"/>
          </w:tcPr>
          <w:p>
            <w:pPr>
              <w:spacing w:after="40" w:before="40"/>
            </w:pPr>
            <w:r>
              <w:t>Candidate Incidents</w:t>
            </w:r>
          </w:p>
        </w:tc>
        <w:tc>
          <w:tcPr>
            <w:tcW w:type="dxa" w:w="3360"/>
          </w:tcPr>
          <w:p>
            <w:pPr>
              <w:spacing w:after="40" w:before="40"/>
            </w:pPr>
            <w:r>
              <w:t>Ranked event days, abnormal returns, CAR statistics, FinBERT tone, LODR severity, information half-life.</w:t>
            </w:r>
          </w:p>
        </w:tc>
      </w:tr>
      <w:tr>
        <w:tc>
          <w:tcPr>
            <w:tcW w:type="dxa" w:w="3360"/>
          </w:tcPr>
          <w:p>
            <w:pPr>
              <w:spacing w:after="40" w:before="40"/>
            </w:pPr>
            <w:r>
              <w:t>Tab 04</w:t>
            </w:r>
          </w:p>
        </w:tc>
        <w:tc>
          <w:tcPr>
            <w:tcW w:type="dxa" w:w="3360"/>
          </w:tcPr>
          <w:p>
            <w:pPr>
              <w:spacing w:after="40" w:before="40"/>
            </w:pPr>
            <w:r>
              <w:t>Event CAR Attribution</w:t>
            </w:r>
          </w:p>
        </w:tc>
        <w:tc>
          <w:tcPr>
            <w:tcW w:type="dxa" w:w="3360"/>
          </w:tcPr>
          <w:p>
            <w:pPr>
              <w:spacing w:after="40" w:before="40"/>
            </w:pPr>
            <w:r>
              <w:t>Category-level excess return attribution waterfall breakdown.</w:t>
            </w:r>
          </w:p>
        </w:tc>
      </w:tr>
      <w:tr>
        <w:tc>
          <w:tcPr>
            <w:tcW w:type="dxa" w:w="3360"/>
          </w:tcPr>
          <w:p>
            <w:pPr>
              <w:spacing w:after="40" w:before="40"/>
            </w:pPr>
            <w:r>
              <w:t>Tab 05</w:t>
            </w:r>
          </w:p>
        </w:tc>
        <w:tc>
          <w:tcPr>
            <w:tcW w:type="dxa" w:w="3360"/>
          </w:tcPr>
          <w:p>
            <w:pPr>
              <w:spacing w:after="40" w:before="40"/>
            </w:pPr>
            <w:r>
              <w:t>DCF Valuation / RIM (Banks)</w:t>
            </w:r>
          </w:p>
        </w:tc>
        <w:tc>
          <w:tcPr>
            <w:tcW w:type="dxa" w:w="3360"/>
          </w:tcPr>
          <w:p>
            <w:pPr>
              <w:spacing w:after="40" w:before="40"/>
            </w:pPr>
            <w:r>
              <w:t>Firms: 2-stage FCFF schedule, WACC, 5x5 sensitivity matrix. Banks: Residual Income schedule, Book Value, ROE spreads.</w:t>
            </w:r>
          </w:p>
        </w:tc>
      </w:tr>
      <w:tr>
        <w:tc>
          <w:tcPr>
            <w:tcW w:type="dxa" w:w="3360"/>
          </w:tcPr>
          <w:p>
            <w:pPr>
              <w:spacing w:after="40" w:before="40"/>
            </w:pPr>
            <w:r>
              <w:t>Tab 06</w:t>
            </w:r>
          </w:p>
        </w:tc>
        <w:tc>
          <w:tcPr>
            <w:tcW w:type="dxa" w:w="3360"/>
          </w:tcPr>
          <w:p>
            <w:pPr>
              <w:spacing w:after="40" w:before="40"/>
            </w:pPr>
            <w:r>
              <w:t>Dupont 5-Factor ROE</w:t>
            </w:r>
          </w:p>
        </w:tc>
        <w:tc>
          <w:tcPr>
            <w:tcW w:type="dxa" w:w="3360"/>
          </w:tcPr>
          <w:p>
            <w:pPr>
              <w:spacing w:after="40" w:before="40"/>
            </w:pPr>
            <w:r>
              <w:t>5-stage ratio breakdown (Tax, Interest, EBIT Margin, Asset Turnover, Financial Leverage).</w:t>
            </w:r>
          </w:p>
        </w:tc>
      </w:tr>
      <w:tr>
        <w:tc>
          <w:tcPr>
            <w:tcW w:type="dxa" w:w="3360"/>
          </w:tcPr>
          <w:p>
            <w:pPr>
              <w:spacing w:after="40" w:before="40"/>
            </w:pPr>
            <w:r>
              <w:t>Tab 07</w:t>
            </w:r>
          </w:p>
        </w:tc>
        <w:tc>
          <w:tcPr>
            <w:tcW w:type="dxa" w:w="3360"/>
          </w:tcPr>
          <w:p>
            <w:pPr>
              <w:spacing w:after="40" w:before="40"/>
            </w:pPr>
            <w:r>
              <w:t>Factor Attribution</w:t>
            </w:r>
          </w:p>
        </w:tc>
        <w:tc>
          <w:tcPr>
            <w:tcW w:type="dxa" w:w="3360"/>
          </w:tcPr>
          <w:p>
            <w:pPr>
              <w:spacing w:after="40" w:before="40"/>
            </w:pPr>
            <w:r>
              <w:t>Fama-French &amp; Carhart 4-factor beta coefficients, t-statistics, p-values, and pure annualized alpha.</w:t>
            </w:r>
          </w:p>
        </w:tc>
      </w:tr>
      <w:tr>
        <w:tc>
          <w:tcPr>
            <w:tcW w:type="dxa" w:w="3360"/>
          </w:tcPr>
          <w:p>
            <w:pPr>
              <w:spacing w:after="40" w:before="40"/>
            </w:pPr>
            <w:r>
              <w:t>Tab 08</w:t>
            </w:r>
          </w:p>
        </w:tc>
        <w:tc>
          <w:tcPr>
            <w:tcW w:type="dxa" w:w="3360"/>
          </w:tcPr>
          <w:p>
            <w:pPr>
              <w:spacing w:after="40" w:before="40"/>
            </w:pPr>
            <w:r>
              <w:t>VaR Term Structure</w:t>
            </w:r>
          </w:p>
        </w:tc>
        <w:tc>
          <w:tcPr>
            <w:tcW w:type="dxa" w:w="3360"/>
          </w:tcPr>
          <w:p>
            <w:pPr>
              <w:spacing w:after="40" w:before="40"/>
            </w:pPr>
            <w:r>
              <w:t>Parametric, Historical, and Cornish-Fisher CVaR surface across 1D, 5D, 10D, 21D horizons.</w:t>
            </w:r>
          </w:p>
        </w:tc>
      </w:tr>
      <w:tr>
        <w:tc>
          <w:tcPr>
            <w:tcW w:type="dxa" w:w="3360"/>
          </w:tcPr>
          <w:p>
            <w:pPr>
              <w:spacing w:after="40" w:before="40"/>
            </w:pPr>
            <w:r>
              <w:t>Tab 09</w:t>
            </w:r>
          </w:p>
        </w:tc>
        <w:tc>
          <w:tcPr>
            <w:tcW w:type="dxa" w:w="3360"/>
          </w:tcPr>
          <w:p>
            <w:pPr>
              <w:spacing w:after="40" w:before="40"/>
            </w:pPr>
            <w:r>
              <w:t>Governance &amp; Forensics</w:t>
            </w:r>
          </w:p>
        </w:tc>
        <w:tc>
          <w:tcPr>
            <w:tcW w:type="dxa" w:w="3360"/>
          </w:tcPr>
          <w:p>
            <w:pPr>
              <w:spacing w:after="40" w:before="40"/>
            </w:pPr>
            <w:r>
              <w:t>GRI 4-pillar governance index, Altman Z"-Score, Beneish M-Score, Piotroski F-Score.</w:t>
            </w:r>
          </w:p>
        </w:tc>
      </w:tr>
      <w:tr>
        <w:tc>
          <w:tcPr>
            <w:tcW w:type="dxa" w:w="3360"/>
          </w:tcPr>
          <w:p>
            <w:pPr>
              <w:spacing w:after="40" w:before="40"/>
            </w:pPr>
            <w:r>
              <w:t>Tab 10</w:t>
            </w:r>
          </w:p>
        </w:tc>
        <w:tc>
          <w:tcPr>
            <w:tcW w:type="dxa" w:w="3360"/>
          </w:tcPr>
          <w:p>
            <w:pPr>
              <w:spacing w:after="40" w:before="40"/>
            </w:pPr>
            <w:r>
              <w:t>Microstructure &amp; Slippage</w:t>
            </w:r>
          </w:p>
        </w:tc>
        <w:tc>
          <w:tcPr>
            <w:tcW w:type="dxa" w:w="3360"/>
          </w:tcPr>
          <w:p>
            <w:pPr>
              <w:spacing w:after="40" w:before="40"/>
            </w:pPr>
            <w:r>
              <w:t>Roll effective spread, Kyle's Lambda price impact, Amihud illiquidity, Almgren-Chriss liquidation schedules.</w:t>
            </w:r>
          </w:p>
        </w:tc>
      </w:tr>
      <w:tr>
        <w:tc>
          <w:tcPr>
            <w:tcW w:type="dxa" w:w="3360"/>
          </w:tcPr>
          <w:p>
            <w:pPr>
              <w:spacing w:after="40" w:before="40"/>
            </w:pPr>
            <w:r>
              <w:t>Tab 11</w:t>
            </w:r>
          </w:p>
        </w:tc>
        <w:tc>
          <w:tcPr>
            <w:tcW w:type="dxa" w:w="3360"/>
          </w:tcPr>
          <w:p>
            <w:pPr>
              <w:spacing w:after="40" w:before="40"/>
            </w:pPr>
            <w:r>
              <w:t>Peer Contagion &amp; Spillover</w:t>
            </w:r>
          </w:p>
        </w:tc>
        <w:tc>
          <w:tcPr>
            <w:tcW w:type="dxa" w:w="3360"/>
          </w:tcPr>
          <w:p>
            <w:pPr>
              <w:spacing w:after="40" w:before="40"/>
            </w:pPr>
            <w:r>
              <w:t>Pairwise cross-asset return correlation, sector absorption ratios, and comovement metrics.</w:t>
            </w:r>
          </w:p>
        </w:tc>
      </w:tr>
      <w:tr>
        <w:tc>
          <w:tcPr>
            <w:tcW w:type="dxa" w:w="3360"/>
          </w:tcPr>
          <w:p>
            <w:pPr>
              <w:spacing w:after="40" w:before="40"/>
            </w:pPr>
            <w:r>
              <w:t>Tab 12</w:t>
            </w:r>
          </w:p>
        </w:tc>
        <w:tc>
          <w:tcPr>
            <w:tcW w:type="dxa" w:w="3360"/>
          </w:tcPr>
          <w:p>
            <w:pPr>
              <w:spacing w:after="40" w:before="40"/>
            </w:pPr>
            <w:r>
              <w:t>Forecasting Cones</w:t>
            </w:r>
          </w:p>
        </w:tc>
        <w:tc>
          <w:tcPr>
            <w:tcW w:type="dxa" w:w="3360"/>
          </w:tcPr>
          <w:p>
            <w:pPr>
              <w:spacing w:after="40" w:before="40"/>
            </w:pPr>
            <w:r>
              <w:t>5D, 21D, 63D expected targets, P10 Bear floor, P90 Bull ceiling, Conformal VaR 95%, P(Up).</w:t>
            </w:r>
          </w:p>
        </w:tc>
      </w:tr>
      <w:tr>
        <w:tc>
          <w:tcPr>
            <w:tcW w:type="dxa" w:w="3360"/>
          </w:tcPr>
          <w:p>
            <w:pPr>
              <w:spacing w:after="40" w:before="40"/>
            </w:pPr>
            <w:r>
              <w:t>Tab 13</w:t>
            </w:r>
          </w:p>
        </w:tc>
        <w:tc>
          <w:tcPr>
            <w:tcW w:type="dxa" w:w="3360"/>
          </w:tcPr>
          <w:p>
            <w:pPr>
              <w:spacing w:after="40" w:before="40"/>
            </w:pPr>
            <w:r>
              <w:t>HAR Volatility</w:t>
            </w:r>
          </w:p>
        </w:tc>
        <w:tc>
          <w:tcPr>
            <w:tcW w:type="dxa" w:w="3360"/>
          </w:tcPr>
          <w:p>
            <w:pPr>
              <w:spacing w:after="40" w:before="40"/>
            </w:pPr>
            <w:r>
              <w:t>Corsi (2009) daily/weekly/monthly RV betas, leverage asymmetry ratio, jump intensity, volatility regime.</w:t>
            </w:r>
          </w:p>
        </w:tc>
      </w:tr>
      <w:tr>
        <w:tc>
          <w:tcPr>
            <w:tcW w:type="dxa" w:w="3360"/>
          </w:tcPr>
          <w:p>
            <w:pPr>
              <w:spacing w:after="40" w:before="40"/>
            </w:pPr>
            <w:r>
              <w:t>Tab 14</w:t>
            </w:r>
          </w:p>
        </w:tc>
        <w:tc>
          <w:tcPr>
            <w:tcW w:type="dxa" w:w="3360"/>
          </w:tcPr>
          <w:p>
            <w:pPr>
              <w:spacing w:after="40" w:before="40"/>
            </w:pPr>
            <w:r>
              <w:t>PEAD Event Drift</w:t>
            </w:r>
          </w:p>
        </w:tc>
        <w:tc>
          <w:tcPr>
            <w:tcW w:type="dxa" w:w="3360"/>
          </w:tcPr>
          <w:p>
            <w:pPr>
              <w:spacing w:after="40" w:before="40"/>
            </w:pPr>
            <w:r>
              <w:t>Post-Earnings Announcement Drift parameters, information decay rate, sentiment momentum states.</w:t>
            </w:r>
          </w:p>
        </w:tc>
      </w:tr>
      <w:tr>
        <w:tc>
          <w:tcPr>
            <w:tcW w:type="dxa" w:w="3360"/>
          </w:tcPr>
          <w:p>
            <w:pPr>
              <w:spacing w:after="40" w:before="40"/>
            </w:pPr>
            <w:r>
              <w:t>Tab 15</w:t>
            </w:r>
          </w:p>
        </w:tc>
        <w:tc>
          <w:tcPr>
            <w:tcW w:type="dxa" w:w="3360"/>
          </w:tcPr>
          <w:p>
            <w:pPr>
              <w:spacing w:after="40" w:before="40"/>
            </w:pPr>
            <w:r>
              <w:t>Macro Ridge Forecast</w:t>
            </w:r>
          </w:p>
        </w:tc>
        <w:tc>
          <w:tcPr>
            <w:tcW w:type="dxa" w:w="3360"/>
          </w:tcPr>
          <w:p>
            <w:pPr>
              <w:spacing w:after="40" w:before="40"/>
            </w:pPr>
            <w:r>
              <w:t>Macro sovereign yield sensitivity, crude oil pass-through betas, microstructure liquidity bias.</w:t>
            </w:r>
          </w:p>
        </w:tc>
      </w:tr>
      <w:tr>
        <w:tc>
          <w:tcPr>
            <w:tcW w:type="dxa" w:w="3360"/>
          </w:tcPr>
          <w:p>
            <w:pPr>
              <w:spacing w:after="40" w:before="40"/>
            </w:pPr>
            <w:r>
              <w:t>Tab 16</w:t>
            </w:r>
          </w:p>
        </w:tc>
        <w:tc>
          <w:tcPr>
            <w:tcW w:type="dxa" w:w="3360"/>
          </w:tcPr>
          <w:p>
            <w:pPr>
              <w:spacing w:after="40" w:before="40"/>
            </w:pPr>
            <w:r>
              <w:t>Portfolio Optimization</w:t>
            </w:r>
          </w:p>
        </w:tc>
        <w:tc>
          <w:tcPr>
            <w:tcW w:type="dxa" w:w="3360"/>
          </w:tcPr>
          <w:p>
            <w:pPr>
              <w:spacing w:after="40" w:before="40"/>
            </w:pPr>
            <w:r>
              <w:t>Hierarchical Risk Parity (HRP) optimal weights, Black-Litterman posterior returns, active view tilts.</w:t>
            </w:r>
          </w:p>
        </w:tc>
      </w:tr>
      <w:tr>
        <w:tc>
          <w:tcPr>
            <w:tcW w:type="dxa" w:w="3360"/>
          </w:tcPr>
          <w:p>
            <w:pPr>
              <w:spacing w:after="40" w:before="40"/>
            </w:pPr>
            <w:r>
              <w:t>Tab 17</w:t>
            </w:r>
          </w:p>
        </w:tc>
        <w:tc>
          <w:tcPr>
            <w:tcW w:type="dxa" w:w="3360"/>
          </w:tcPr>
          <w:p>
            <w:pPr>
              <w:spacing w:after="40" w:before="40"/>
            </w:pPr>
            <w:r>
              <w:t>Market Microstructure</w:t>
            </w:r>
          </w:p>
        </w:tc>
        <w:tc>
          <w:tcPr>
            <w:tcW w:type="dxa" w:w="3360"/>
          </w:tcPr>
          <w:p>
            <w:pPr>
              <w:spacing w:after="40" w:before="40"/>
            </w:pPr>
            <w:r>
              <w:t>Volume-Synchronized Probability of Toxicity (VPIN), BVC order flow classification, Bipower Variation jump tests.</w:t>
            </w:r>
          </w:p>
        </w:tc>
      </w:tr>
      <w:tr>
        <w:tc>
          <w:tcPr>
            <w:tcW w:type="dxa" w:w="3360"/>
          </w:tcPr>
          <w:p>
            <w:pPr>
              <w:spacing w:after="40" w:before="40"/>
            </w:pPr>
            <w:r>
              <w:t>Tab 18</w:t>
            </w:r>
          </w:p>
        </w:tc>
        <w:tc>
          <w:tcPr>
            <w:tcW w:type="dxa" w:w="3360"/>
          </w:tcPr>
          <w:p>
            <w:pPr>
              <w:spacing w:after="40" w:before="40"/>
            </w:pPr>
            <w:r>
              <w:t>Causal SDID</w:t>
            </w:r>
          </w:p>
        </w:tc>
        <w:tc>
          <w:tcPr>
            <w:tcW w:type="dxa" w:w="3360"/>
          </w:tcPr>
          <w:p>
            <w:pPr>
              <w:spacing w:after="40" w:before="40"/>
            </w:pPr>
            <w:r>
              <w:t>Synthetic Difference-in-Differences doubly robust treatment effects, unit weights, placebo inference.</w:t>
            </w:r>
          </w:p>
        </w:tc>
      </w:tr>
      <w:tr>
        <w:tc>
          <w:tcPr>
            <w:tcW w:type="dxa" w:w="3360"/>
          </w:tcPr>
          <w:p>
            <w:pPr>
              <w:spacing w:after="40" w:before="40"/>
            </w:pPr>
            <w:r>
              <w:t>Tab 19</w:t>
            </w:r>
          </w:p>
        </w:tc>
        <w:tc>
          <w:tcPr>
            <w:tcW w:type="dxa" w:w="3360"/>
          </w:tcPr>
          <w:p>
            <w:pPr>
              <w:spacing w:after="40" w:before="40"/>
            </w:pPr>
            <w:r>
              <w:t>Systemic Connectedness</w:t>
            </w:r>
          </w:p>
        </w:tc>
        <w:tc>
          <w:tcPr>
            <w:tcW w:type="dxa" w:w="3360"/>
          </w:tcPr>
          <w:p>
            <w:pPr>
              <w:spacing w:after="40" w:before="40"/>
            </w:pPr>
            <w:r>
              <w:t>Diebold-Yılmaz Total Connectedness Index (TCI), directional spillovers, net transmitter/receiver ranking.</w:t>
            </w:r>
          </w:p>
        </w:tc>
      </w:tr>
      <w:tr>
        <w:tc>
          <w:tcPr>
            <w:tcW w:type="dxa" w:w="3360"/>
          </w:tcPr>
          <w:p>
            <w:pPr>
              <w:spacing w:after="40" w:before="40"/>
            </w:pPr>
            <w:r>
              <w:t>Tab 20</w:t>
            </w:r>
          </w:p>
        </w:tc>
        <w:tc>
          <w:tcPr>
            <w:tcW w:type="dxa" w:w="3360"/>
          </w:tcPr>
          <w:p>
            <w:pPr>
              <w:spacing w:after="40" w:before="40"/>
            </w:pPr>
            <w:r>
              <w:t>XAI &amp; Regime Risk</w:t>
            </w:r>
          </w:p>
        </w:tc>
        <w:tc>
          <w:tcPr>
            <w:tcW w:type="dxa" w:w="3360"/>
          </w:tcPr>
          <w:p>
            <w:pPr>
              <w:spacing w:after="40" w:before="40"/>
            </w:pPr>
            <w:r>
              <w:t>Lundberg &amp; Lee SHAP factor contributions, Hamilton 3-state Markov regime probabilities and transition matrix.</w:t>
            </w:r>
          </w:p>
        </w:tc>
      </w:tr>
    </w:tbl>
    <w:p>
      <w:pPr>
        <w:pStyle w:val="Heading1"/>
        <w:spacing w:before="280" w:after="120"/>
      </w:pPr>
      <w:r>
        <w:t>7. Complete Evolutionary Version Timeline (CEIA 1.0 to 9.0)</w:t>
      </w:r>
    </w:p>
    <w:p>
      <w:r>
        <w:t>• CEIA 1.0 Foundation:</w:t>
        <w:br/>
        <w:t xml:space="preserve">  Market Model OLS event study, basic scraper feeds, candidate day ranking, standard text reporting.</w:t>
      </w:r>
    </w:p>
    <w:p>
      <w:r>
        <w:t>• CEIA 2.0 Resilience:</w:t>
        <w:br/>
        <w:t xml:space="preserve">  Wayback Machine web archive historical fallbacks, unified date alignment, Republic Day exchange calendar.</w:t>
      </w:r>
    </w:p>
    <w:p>
      <w:r>
        <w:t>• CEIA 3.0 Multimodal NLP:</w:t>
        <w:br/>
        <w:t xml:space="preserve">  FinBERT financial polarity, GoEmotions 28-emotion radar, SEBI LODR Regulation 30 statutory urgency tiers.</w:t>
      </w:r>
    </w:p>
    <w:p>
      <w:r>
        <w:t>• CEIA 4.0 Private Markets:</w:t>
        <w:br/>
        <w:t xml:space="preserve">  Dedicated unlisted &amp; pre-IPO engine (`ceia.unlisted`), UnlistedZone streaming RSC JSON, step-function collapse.</w:t>
      </w:r>
    </w:p>
    <w:p>
      <w:r>
        <w:t>• CEIA 5.0 Solvency &amp; Forensics:</w:t>
        <w:br/>
        <w:t xml:space="preserve">  KMV Merton Distance to Default, Altman Z"-Score, Beneish M-Score, Piotroski F-Score, GRI 4-Pillar governance.</w:t>
      </w:r>
    </w:p>
    <w:p>
      <w:r>
        <w:t>• CEIA 6.0 Institutional Models:</w:t>
        <w:br/>
        <w:t xml:space="preserve">  2-Stage DCF, WACC, Fama-French 4-Factor alpha, Almgren-Chriss execution, Synthetic Control Method (SCM).</w:t>
      </w:r>
    </w:p>
    <w:p>
      <w:r>
        <w:t>• CEIA 7.0 Dynamic Reporting:</w:t>
        <w:br/>
        <w:t xml:space="preserve">  11-Tab live Excel models with active formulas, standalone responsive dark-theme HTML dashboards, JSON APIs.</w:t>
      </w:r>
    </w:p>
    <w:p>
      <w:r>
        <w:t>• CEIA 8.0 Predictive Cones:</w:t>
        <w:br/>
        <w:t xml:space="preserve">  Multi-horizon conformal forecasting (5D/21D/63D), HAR-RV volatility decomposition, PEAD drift, Macro Ridge.</w:t>
      </w:r>
    </w:p>
    <w:p>
      <w:r>
        <w:t>• CEIA 9.0 Frontier Suite:</w:t>
        <w:br/>
        <w:t xml:space="preserve">  14-vertex dynamic 60 FPS diffusion SVG polygons, Bloomberg-styled Vol Stress slider, Bank Residual Income Model (RIM / Edwards-Bell-Ohlson 1995), SHAP factor attribution, Hierarchical Risk Parity (HRP), Black-Litterman allocation, VPIN order toxicity, Diebold-Yılmaz spillover, Hamilton Markov regimes, Synthetic Diff-in-Diff (SDID), and 20-Tab Excel models across 17 companies.</w:t>
      </w:r>
    </w:p>
    <w:p>
      <w:pPr>
        <w:pStyle w:val="Heading1"/>
        <w:spacing w:before="280" w:after="120"/>
      </w:pPr>
      <w:r>
        <w:t>8. CLI Execution Manual &amp; Operational Commands</w:t>
      </w:r>
    </w:p>
    <w:p>
      <w:r>
        <w:t>1. Standard Listed Equities Analysis (TCS - Firm 2-Stage FCFF / WACC):</w:t>
      </w:r>
    </w:p>
    <w:p>
      <w:pPr>
        <w:spacing w:after="120"/>
        <w:ind w:left="360"/>
      </w:pPr>
      <w:r>
        <w:rPr>
          <w:rFonts w:ascii="Consolas" w:hAnsi="Consolas"/>
          <w:color w:val="005599"/>
          <w:sz w:val="19"/>
        </w:rPr>
        <w:t>python -m ceia.analyze --company "Tata Consultancy Services Ltd" --ticker TCS.NS --start 2026-01-01 --end 2026-08-22 --alias TCS</w:t>
      </w:r>
    </w:p>
    <w:p>
      <w:r>
        <w:t>2. Banking &amp; Financial Institutions Analysis (IndusInd Bank - Bank Residual Income Model):</w:t>
      </w:r>
    </w:p>
    <w:p>
      <w:pPr>
        <w:spacing w:after="120"/>
        <w:ind w:left="360"/>
      </w:pPr>
      <w:r>
        <w:rPr>
          <w:rFonts w:ascii="Consolas" w:hAnsi="Consolas"/>
          <w:color w:val="005599"/>
          <w:sz w:val="19"/>
        </w:rPr>
        <w:t>python -m ceia.analyze --company "IndusInd Bank Ltd" --ticker INDUSINDBK.NS --start 2026-01-01 --end 2026-08-22 --alias IndusInd</w:t>
      </w:r>
    </w:p>
    <w:p>
      <w:r>
        <w:t>3. Pre-IPO &amp; Unlisted Market Analysis (UnlistedZone &amp; Private Equity):</w:t>
      </w:r>
    </w:p>
    <w:p>
      <w:pPr>
        <w:spacing w:after="120"/>
        <w:ind w:left="360"/>
      </w:pPr>
      <w:r>
        <w:rPr>
          <w:rFonts w:ascii="Consolas" w:hAnsi="Consolas"/>
          <w:color w:val="005599"/>
          <w:sz w:val="19"/>
        </w:rPr>
        <w:t>python -m ceia.unlisted --company "Goa Shipyard Limited" --sources entrackr,vccircle,inc42,unlistedzone --start 2025-01-01 --end 2025-12-31</w:t>
      </w:r>
    </w:p>
    <w:p>
      <w:r>
        <w:t>4. Parallel Batch Universe Run (All 17 Listed &amp; Unlisted Companies):</w:t>
      </w:r>
    </w:p>
    <w:p>
      <w:pPr>
        <w:spacing w:after="120"/>
        <w:ind w:left="360"/>
      </w:pPr>
      <w:r>
        <w:rPr>
          <w:rFonts w:ascii="Consolas" w:hAnsi="Consolas"/>
          <w:color w:val="005599"/>
          <w:sz w:val="19"/>
        </w:rPr>
        <w:t>python scratch/batch_run_17_updated.py</w:t>
      </w:r>
    </w:p>
    <w:p>
      <w:r>
        <w:t>5. Automated Unit &amp; Integration Test Suite Verification (180 Tests):</w:t>
      </w:r>
    </w:p>
    <w:p>
      <w:pPr>
        <w:spacing w:after="120"/>
        <w:ind w:left="360"/>
      </w:pPr>
      <w:r>
        <w:rPr>
          <w:rFonts w:ascii="Consolas" w:hAnsi="Consolas"/>
          <w:color w:val="005599"/>
          <w:sz w:val="19"/>
        </w:rPr>
        <w:t>python -m pytest tests/test_scenario_and_bayesian_dcf.py tests/test_forecasting.py tests/test_institutional_suite.py tests/test_financials.py tests/test_report.py tests/test_integration.py -v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