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CISCO VIP INTERNSHIP PROJECT</w:t>
      </w:r>
    </w:p>
    <w:p>
      <w:pPr>
        <w:jc w:val="center"/>
      </w:pPr>
      <w:r>
        <w:rPr>
          <w:rFonts w:ascii="Aptos Display" w:hAnsi="Aptos Display"/>
          <w:b/>
          <w:sz w:val="48"/>
        </w:rPr>
        <w:t>NetSage AI</w:t>
      </w:r>
    </w:p>
    <w:p>
      <w:pPr>
        <w:jc w:val="center"/>
      </w:pPr>
      <w:r>
        <w:rPr>
          <w:b/>
          <w:sz w:val="30"/>
        </w:rPr>
        <w:t>Individual Contribution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2A43"/>
            <w:vAlign w:val="center"/>
          </w:tcPr>
          <w:p>
            <w:r>
              <w:rPr>
                <w:color w:val="FFFFFF"/>
              </w:rPr>
              <w:t>Student</w:t>
            </w:r>
          </w:p>
        </w:tc>
        <w:tc>
          <w:tcPr>
            <w:tcW w:type="dxa" w:w="5040"/>
            <w:vAlign w:val="center"/>
          </w:tcPr>
          <w:p>
            <w:r>
              <w:t>Shushant Tiwari</w:t>
            </w:r>
          </w:p>
        </w:tc>
      </w:tr>
      <w:tr>
        <w:tc>
          <w:tcPr>
            <w:tcW w:type="dxa" w:w="5040"/>
            <w:shd w:fill="0F2A43"/>
            <w:vAlign w:val="center"/>
          </w:tcPr>
          <w:p>
            <w:r>
              <w:rPr>
                <w:color w:val="FFFFFF"/>
              </w:rPr>
              <w:t>Section</w:t>
            </w:r>
          </w:p>
        </w:tc>
        <w:tc>
          <w:tcPr>
            <w:tcW w:type="dxa" w:w="5040"/>
            <w:vAlign w:val="center"/>
          </w:tcPr>
          <w:p>
            <w:r>
              <w:t>3CSE24</w:t>
            </w:r>
          </w:p>
        </w:tc>
      </w:tr>
      <w:tr>
        <w:tc>
          <w:tcPr>
            <w:tcW w:type="dxa" w:w="5040"/>
            <w:shd w:fill="0F2A43"/>
            <w:vAlign w:val="center"/>
          </w:tcPr>
          <w:p>
            <w:r>
              <w:rPr>
                <w:color w:val="FFFFFF"/>
              </w:rPr>
              <w:t>Registration ID</w:t>
            </w:r>
          </w:p>
        </w:tc>
        <w:tc>
          <w:tcPr>
            <w:tcW w:type="dxa" w:w="5040"/>
            <w:vAlign w:val="center"/>
          </w:tcPr>
          <w:p>
            <w:r>
              <w:t>2410031232</w:t>
            </w:r>
          </w:p>
        </w:tc>
      </w:tr>
      <w:tr>
        <w:tc>
          <w:tcPr>
            <w:tcW w:type="dxa" w:w="5040"/>
            <w:shd w:fill="0F2A43"/>
            <w:vAlign w:val="center"/>
          </w:tcPr>
          <w:p>
            <w:r>
              <w:rPr>
                <w:color w:val="FFFFFF"/>
              </w:rPr>
              <w:t>Individual Role</w:t>
            </w:r>
          </w:p>
        </w:tc>
        <w:tc>
          <w:tcPr>
            <w:tcW w:type="dxa" w:w="5040"/>
            <w:vAlign w:val="center"/>
          </w:tcPr>
          <w:p>
            <w:r>
              <w:t>AI Architecture &amp; Prompt Engineering</w:t>
            </w:r>
          </w:p>
        </w:tc>
      </w:tr>
    </w:tbl>
    <w:p/>
    <w:p>
      <w:r>
        <w:rPr>
          <w:b/>
          <w:sz w:val="32"/>
        </w:rPr>
        <w:t>Individual Work Completed</w:t>
      </w:r>
    </w:p>
    <w:p>
      <w:r>
        <w:t>This document records my primary technical contribution area within the four-member NetSage AI team. The four role areas were treated as equal contribution areas and were integrated into one final system.</w:t>
      </w:r>
    </w:p>
    <w:p>
      <w:pPr>
        <w:pStyle w:val="ListBullet"/>
        <w:spacing w:after="100"/>
      </w:pPr>
      <w:r>
        <w:t>Defined the AI-assisted troubleshooting workflow and mapped the relationships among case data, evidence validation, deterministic rules, AI diagnosis, human review, verification, and dashboard presentation.</w:t>
      </w:r>
    </w:p>
    <w:p>
      <w:pPr>
        <w:pStyle w:val="ListBullet"/>
        <w:spacing w:after="100"/>
      </w:pPr>
      <w:r>
        <w:t>Designed the structured diagnosis contract covering root cause, confidence, OSI layer, evidence, next diagnostic command, and fix/verification steps.</w:t>
      </w:r>
    </w:p>
    <w:p>
      <w:pPr>
        <w:pStyle w:val="ListBullet"/>
        <w:spacing w:after="100"/>
      </w:pPr>
      <w:r>
        <w:t>Developed and refined the diagnosis prompt so responses remain grounded in supplied symptom, topology, and Cisco show-command evidence and avoid unsupported conclusions.</w:t>
      </w:r>
    </w:p>
    <w:p>
      <w:pPr>
        <w:pStyle w:val="ListBullet"/>
        <w:spacing w:after="100"/>
      </w:pPr>
      <w:r>
        <w:t>Worked through representative diagnosis cases to improve evidence-to-diagnosis alignment, including cases where the correct conclusion is that the supplied evidence is insufficient.</w:t>
      </w:r>
    </w:p>
    <w:p>
      <w:pPr>
        <w:pStyle w:val="ListBullet"/>
        <w:spacing w:after="100"/>
      </w:pPr>
      <w:r>
        <w:t>Contributed to the system architecture and integration decisions that keep the AI component separate from deterministic validation and human approval.</w:t>
      </w:r>
    </w:p>
    <w:p>
      <w:pPr>
        <w:pStyle w:val="ListBullet"/>
        <w:spacing w:after="100"/>
      </w:pPr>
      <w:r>
        <w:t>Participated in end-to-end integration, troubleshooting, final UI/demo review, and preparation of the project for submission.</w:t>
      </w:r>
    </w:p>
    <w:p>
      <w:r>
        <w:rPr>
          <w:b/>
          <w:sz w:val="32"/>
        </w:rPr>
        <w:t>Project Artifacts Directly Related to My Work</w:t>
      </w:r>
    </w:p>
    <w:p>
      <w:pPr>
        <w:pStyle w:val="ListBullet"/>
        <w:spacing w:after="60"/>
      </w:pPr>
      <w:r>
        <w:t>02_Prompts/diagnose_prompt.md</w:t>
      </w:r>
    </w:p>
    <w:p>
      <w:pPr>
        <w:pStyle w:val="ListBullet"/>
        <w:spacing w:after="60"/>
      </w:pPr>
      <w:r>
        <w:t>07_Architecture/SYSTEM_ARCHITECTURE.md</w:t>
      </w:r>
    </w:p>
    <w:p>
      <w:pPr>
        <w:pStyle w:val="ListBullet"/>
        <w:spacing w:after="60"/>
      </w:pPr>
      <w:r>
        <w:t>04_AI_Results/AI_ENGINE_SPEC.md</w:t>
      </w:r>
    </w:p>
    <w:p>
      <w:pPr>
        <w:pStyle w:val="ListBullet"/>
        <w:spacing w:after="60"/>
      </w:pPr>
      <w:r>
        <w:t>04_AI_Results/diagnosis_results_actual_ai.csv</w:t>
      </w:r>
    </w:p>
    <w:p>
      <w:pPr>
        <w:pStyle w:val="ListBullet"/>
        <w:spacing w:after="60"/>
      </w:pPr>
      <w:r>
        <w:t>09_Integrated_App/netsage_app.py</w:t>
      </w:r>
    </w:p>
    <w:p>
      <w:r>
        <w:rPr>
          <w:b/>
          <w:sz w:val="32"/>
        </w:rPr>
        <w:t>Contribution Outcome</w:t>
      </w:r>
    </w:p>
    <w:p>
      <w:r>
        <w:t>The AI reasoning layer was structured around evidence-grounded, reviewable diagnostic outputs and integrated with the deterministic and human-review stages.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