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9589C" w14:textId="77777777" w:rsidR="0042488A" w:rsidRDefault="00000000">
      <w:pPr>
        <w:pStyle w:val="Heading1"/>
      </w:pPr>
      <w:bookmarkStart w:id="0" w:name="header"/>
      <w:bookmarkStart w:id="1" w:name="X14b34246085493c92e966862310ebe21895aeb6"/>
      <w:bookmarkStart w:id="2" w:name="content"/>
      <w:bookmarkEnd w:id="0"/>
      <w:r>
        <w:t>Detecting Non‑IID Masquerade Attacks in Federated IoT Intrusion Detection using D̂ᵢ‑Conditioned Client‑Specific Thresholds</w:t>
      </w:r>
    </w:p>
    <w:p w14:paraId="61C95341" w14:textId="77777777" w:rsidR="0042488A" w:rsidRDefault="00000000">
      <w:pPr>
        <w:pStyle w:val="Heading2"/>
      </w:pPr>
      <w:bookmarkStart w:id="3" w:name="executive-summary"/>
      <w:r>
        <w:t>Executive summary</w:t>
      </w:r>
    </w:p>
    <w:p w14:paraId="038BC4C0" w14:textId="77777777" w:rsidR="0042488A" w:rsidRDefault="00000000">
      <w:pPr>
        <w:pStyle w:val="FirstParagraph"/>
      </w:pPr>
      <w:r>
        <w:t xml:space="preserve">Heterogeneous (non‑IID) data is the norm in </w:t>
      </w:r>
      <w:r>
        <w:rPr>
          <w:b/>
          <w:bCs/>
        </w:rPr>
        <w:t>federated IoT intrusion detection systems (FL‑IDS)</w:t>
      </w:r>
      <w:r>
        <w:t xml:space="preserve">: different sites, gateways, or device populations observe different baselines and different mixes of benign and malicious traffic. Foundational FL work already highlights that non‑IID distributions are defining and can materially affect convergence and update behavior. </w:t>
      </w:r>
      <w:hyperlink r:id="rId5">
        <w:r>
          <w:rPr>
            <w:rStyle w:val="Hyperlink"/>
          </w:rPr>
          <w:t>[1]</w:t>
        </w:r>
      </w:hyperlink>
      <w:r>
        <w:t xml:space="preserve"> In this setting, </w:t>
      </w:r>
      <w:r>
        <w:rPr>
          <w:b/>
          <w:bCs/>
        </w:rPr>
        <w:t>global-threshold defenses</w:t>
      </w:r>
      <w:r>
        <w:t xml:space="preserve"> (“discard any client update that is too far from the mean/centroid”) are brittle: they can (i) falsely flag legitimate minority/non‑IID clients and (ii) be bypassed by </w:t>
      </w:r>
      <w:r>
        <w:rPr>
          <w:b/>
          <w:bCs/>
        </w:rPr>
        <w:t>stealthy/masquerade model poisoning</w:t>
      </w:r>
      <w:r>
        <w:t xml:space="preserve"> where the attacker crafts poisoned updates that remain inside global acceptance bands. </w:t>
      </w:r>
      <w:hyperlink r:id="rId6">
        <w:r>
          <w:rPr>
            <w:rStyle w:val="Hyperlink"/>
          </w:rPr>
          <w:t>[2]</w:t>
        </w:r>
      </w:hyperlink>
    </w:p>
    <w:p w14:paraId="2407AEF3" w14:textId="77777777" w:rsidR="0042488A" w:rsidRDefault="00000000">
      <w:pPr>
        <w:pStyle w:val="BodyText"/>
      </w:pPr>
      <w:r>
        <w:t xml:space="preserve">This report formally frames the problem the user described: </w:t>
      </w:r>
      <w:r>
        <w:rPr>
          <w:b/>
          <w:bCs/>
        </w:rPr>
        <w:t>masquerade attacks</w:t>
      </w:r>
      <w:r>
        <w:t xml:space="preserve"> in FL‑IDS where adversarial clients (or Sybils) generate poisoned model updates that </w:t>
      </w:r>
      <w:r>
        <w:rPr>
          <w:b/>
          <w:bCs/>
        </w:rPr>
        <w:t>imitate</w:t>
      </w:r>
      <w:r>
        <w:t xml:space="preserve"> the distributional characteristics of legitimate non‑IID clients to evade global distance/cosine/clustering thresholds. This is directly aligned with empirical findings that (a) stealthy model poisoning can optimize for attack success while maintaining “benign‑looking” updates, and (b) adaptive attacks can satisfy multiple defensive constraints simultaneously. </w:t>
      </w:r>
      <w:hyperlink r:id="rId7">
        <w:r>
          <w:rPr>
            <w:rStyle w:val="Hyperlink"/>
          </w:rPr>
          <w:t>[3]</w:t>
        </w:r>
      </w:hyperlink>
    </w:p>
    <w:p w14:paraId="55CF78C4" w14:textId="77777777" w:rsidR="0042488A" w:rsidRDefault="00000000">
      <w:pPr>
        <w:pStyle w:val="BodyText"/>
      </w:pPr>
      <w:r>
        <w:t xml:space="preserve">We then develop a rigorous detection framework using </w:t>
      </w:r>
      <w:r>
        <w:rPr>
          <w:b/>
          <w:bCs/>
        </w:rPr>
        <w:t>D̂ᵢ‑conditioned client‑specific thresholds</w:t>
      </w:r>
      <w:r>
        <w:t xml:space="preserve">: instead of a single global acceptance band, the server maintains a per‑client “expected update band” keyed by an estimated per‑client distributional statistic </w:t>
      </w:r>
      <w:r>
        <w:rPr>
          <w:b/>
          <w:bCs/>
        </w:rPr>
        <w:t>D̂ᵢ</w:t>
      </w:r>
      <w:r>
        <w:t xml:space="preserve"> (e.g., gradient drift relative to global, stable update direction, norm/shape statistics, or local class‑mix surrogates). This is motivated by (i) the “fair attack detection” line of work showing that naïvely rejecting outliers is both inaccurate and unfair under non‑IID, and (ii) recent federated anomaly-detection thresholding methods that leverage aggregate statistics to calibrate thresholds under heterogeneity. </w:t>
      </w:r>
      <w:hyperlink r:id="rId8">
        <w:r>
          <w:rPr>
            <w:rStyle w:val="Hyperlink"/>
          </w:rPr>
          <w:t>[4]</w:t>
        </w:r>
      </w:hyperlink>
    </w:p>
    <w:p w14:paraId="1358E4E7" w14:textId="77777777" w:rsidR="0042488A" w:rsidRDefault="00000000">
      <w:pPr>
        <w:pStyle w:val="BodyText"/>
      </w:pPr>
      <w:r>
        <w:t>Key takeaways:</w:t>
      </w:r>
    </w:p>
    <w:p w14:paraId="54522265" w14:textId="2B175F41" w:rsidR="0042488A" w:rsidRDefault="00000000">
      <w:pPr>
        <w:pStyle w:val="Compact"/>
        <w:numPr>
          <w:ilvl w:val="0"/>
          <w:numId w:val="2"/>
        </w:numPr>
      </w:pPr>
      <w:r>
        <w:rPr>
          <w:b/>
          <w:bCs/>
        </w:rPr>
        <w:t>Core hypothesis (formalized):</w:t>
      </w:r>
      <w:r>
        <w:t xml:space="preserve"> If benign clients’ update distributions differ systematically by client (non‑IID), then global thresholds either over‑reject benign minorities or must be loosened so much that stealthy attacks pass. Per‑client thresholding conditioned on D̂ᵢ can control per‑client false positive rates while increasing sensitivity to “in‑band globally, out‑of‑band for this client” masquerade updates. </w:t>
      </w:r>
      <w:hyperlink r:id="rId9">
        <w:r>
          <w:rPr>
            <w:rStyle w:val="Hyperlink"/>
          </w:rPr>
          <w:t>[5]</w:t>
        </w:r>
      </w:hyperlink>
    </w:p>
    <w:p w14:paraId="6DFE6A89" w14:textId="77777777" w:rsidR="0042488A" w:rsidRDefault="00000000">
      <w:pPr>
        <w:pStyle w:val="Compact"/>
        <w:numPr>
          <w:ilvl w:val="0"/>
          <w:numId w:val="2"/>
        </w:numPr>
      </w:pPr>
      <w:r>
        <w:rPr>
          <w:b/>
          <w:bCs/>
        </w:rPr>
        <w:lastRenderedPageBreak/>
        <w:t>Design choice:</w:t>
      </w:r>
      <w:r>
        <w:t xml:space="preserve"> Client‑specific thresholds should not be a single static number; they should be (a) </w:t>
      </w:r>
      <w:r>
        <w:rPr>
          <w:b/>
          <w:bCs/>
        </w:rPr>
        <w:t>calibrated</w:t>
      </w:r>
      <w:r>
        <w:t xml:space="preserve"> with explicit statistical guarantees (per‑client FPR targets; multiple testing control per round) and (b) </w:t>
      </w:r>
      <w:r>
        <w:rPr>
          <w:b/>
          <w:bCs/>
        </w:rPr>
        <w:t>time‑adaptive</w:t>
      </w:r>
      <w:r>
        <w:t xml:space="preserve"> (training dynamics and concept drift). </w:t>
      </w:r>
      <w:hyperlink r:id="rId10">
        <w:r>
          <w:rPr>
            <w:rStyle w:val="Hyperlink"/>
          </w:rPr>
          <w:t>[6]</w:t>
        </w:r>
      </w:hyperlink>
    </w:p>
    <w:p w14:paraId="5449EE8C" w14:textId="77777777" w:rsidR="0042488A" w:rsidRDefault="00000000">
      <w:pPr>
        <w:pStyle w:val="Compact"/>
        <w:numPr>
          <w:ilvl w:val="0"/>
          <w:numId w:val="2"/>
        </w:numPr>
      </w:pPr>
      <w:r>
        <w:rPr>
          <w:b/>
          <w:bCs/>
        </w:rPr>
        <w:t>Threat sensitivity:</w:t>
      </w:r>
      <w:r>
        <w:t xml:space="preserve"> Some stateful defenses fail against multi‑round consistent attacks (e.g., PoisonedFL explicitly breaks defenses that assume inconsistency), so a D̂ᵢ‑conditioned approach must incorporate features beyond “cross‑round inconsistency,” such as distribution‑conditioned directions, norms, and residual structure. </w:t>
      </w:r>
      <w:hyperlink r:id="rId11">
        <w:r>
          <w:rPr>
            <w:rStyle w:val="Hyperlink"/>
          </w:rPr>
          <w:t>[7]</w:t>
        </w:r>
      </w:hyperlink>
    </w:p>
    <w:p w14:paraId="3351568A" w14:textId="77777777" w:rsidR="0042488A" w:rsidRDefault="00000000">
      <w:pPr>
        <w:pStyle w:val="Compact"/>
        <w:numPr>
          <w:ilvl w:val="0"/>
          <w:numId w:val="2"/>
        </w:numPr>
      </w:pPr>
      <w:r>
        <w:rPr>
          <w:b/>
          <w:bCs/>
        </w:rPr>
        <w:t>Operational constraint:</w:t>
      </w:r>
      <w:r>
        <w:t xml:space="preserve"> If the server does not observe per‑client updates (secure aggregation), detection must move to clients, to trusted enclaves, or be implemented via verifiable/cryptographic mechanisms. Recent work proposes server‑side anomaly detection with verification via zero‑knowledge proofs to make server actions auditable. </w:t>
      </w:r>
      <w:hyperlink r:id="rId12">
        <w:r>
          <w:rPr>
            <w:rStyle w:val="Hyperlink"/>
          </w:rPr>
          <w:t>[8]</w:t>
        </w:r>
      </w:hyperlink>
    </w:p>
    <w:p w14:paraId="5271B244" w14:textId="77777777" w:rsidR="0042488A" w:rsidRDefault="00000000">
      <w:pPr>
        <w:pStyle w:val="Heading2"/>
      </w:pPr>
      <w:bookmarkStart w:id="4" w:name="X0db94ebced77b87ef3d3e871f1f7385f26c0ddc"/>
      <w:bookmarkEnd w:id="3"/>
      <w:r>
        <w:t>Precise problem statement and definitions</w:t>
      </w:r>
    </w:p>
    <w:p w14:paraId="6ED0B524" w14:textId="77777777" w:rsidR="0042488A" w:rsidRDefault="00000000">
      <w:pPr>
        <w:pStyle w:val="Heading3"/>
      </w:pPr>
      <w:bookmarkStart w:id="5" w:name="X24276eb0788e5d743c2095cbe6bd52097e74ff5"/>
      <w:r>
        <w:t>Federated IoT intrusion detection context</w:t>
      </w:r>
    </w:p>
    <w:p w14:paraId="57C20922" w14:textId="77777777" w:rsidR="0042488A" w:rsidRDefault="00000000">
      <w:pPr>
        <w:pStyle w:val="FirstParagraph"/>
      </w:pPr>
      <w:r>
        <w:t xml:space="preserve">In FL‑IDS, each client </w:t>
      </w:r>
      <m:oMath>
        <m:r>
          <w:rPr>
            <w:rFonts w:ascii="Cambria Math" w:hAnsi="Cambria Math"/>
          </w:rPr>
          <m:t>i</m:t>
        </m:r>
      </m:oMath>
      <w:r>
        <w:t xml:space="preserve"> (IoT edge gateway, site, or organization) performs local training on private IoT telemetry and sends model updates to an aggregation server (often FedAvg-style). </w:t>
      </w:r>
      <w:hyperlink r:id="rId13">
        <w:r>
          <w:rPr>
            <w:rStyle w:val="Hyperlink"/>
          </w:rPr>
          <w:t>[9]</w:t>
        </w:r>
      </w:hyperlink>
      <w:r>
        <w:t xml:space="preserve"> Realistic IoT FL‑IDS studies show that client heterogeneity is severe and can degrade both performance and the reliability of server-side defenses that assume benign updates cluster tightly. </w:t>
      </w:r>
      <w:hyperlink r:id="rId14">
        <w:r>
          <w:rPr>
            <w:rStyle w:val="Hyperlink"/>
          </w:rPr>
          <w:t>[10]</w:t>
        </w:r>
      </w:hyperlink>
    </w:p>
    <w:p w14:paraId="49E53C23" w14:textId="77777777" w:rsidR="0042488A" w:rsidRDefault="00000000">
      <w:pPr>
        <w:pStyle w:val="Heading3"/>
      </w:pPr>
      <w:bookmarkStart w:id="6" w:name="noniid-client-distributions"/>
      <w:bookmarkEnd w:id="5"/>
      <w:r>
        <w:t>Non‑IID client distributions</w:t>
      </w:r>
    </w:p>
    <w:p w14:paraId="7A40DBEF" w14:textId="77777777" w:rsidR="0042488A" w:rsidRDefault="00000000">
      <w:pPr>
        <w:pStyle w:val="FirstParagraph"/>
      </w:pPr>
      <w:r>
        <w:t xml:space="preserve">“Non‑IID” here means that the distribution of a client’s local data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not representative of the pooled/global distribution; equivalently, the gradients/updates produced locally can differ systematically from the global gradient. A formalization used in FL security/fairness work measures non‑IID‑ness via bounded difference between client gradients and global gradients. </w:t>
      </w:r>
      <w:hyperlink r:id="rId15">
        <w:r>
          <w:rPr>
            <w:rStyle w:val="Hyperlink"/>
          </w:rPr>
          <w:t>[11]</w:t>
        </w:r>
      </w:hyperlink>
    </w:p>
    <w:p w14:paraId="25425C22" w14:textId="77777777" w:rsidR="0042488A" w:rsidRDefault="00000000">
      <w:pPr>
        <w:pStyle w:val="Heading3"/>
      </w:pPr>
      <w:bookmarkStart w:id="7" w:name="Xc75d4ae752a4ab38f181e0df4b4dc402da9e6b1"/>
      <w:bookmarkEnd w:id="6"/>
      <w:r>
        <w:t>Masquerade attacks: reconciling the term across IDS and FL</w:t>
      </w:r>
    </w:p>
    <w:p w14:paraId="7DD54503" w14:textId="77777777" w:rsidR="0042488A" w:rsidRDefault="00000000">
      <w:pPr>
        <w:pStyle w:val="FirstParagraph"/>
      </w:pPr>
      <w:r>
        <w:t xml:space="preserve">In classical intrusion detection, a </w:t>
      </w:r>
      <w:r>
        <w:rPr>
          <w:b/>
          <w:bCs/>
        </w:rPr>
        <w:t>masquerade attack</w:t>
      </w:r>
      <w:r>
        <w:t xml:space="preserve"> is an attacker posing as a legitimate user and producing behavior that resembles the victim’s profile. </w:t>
      </w:r>
      <w:hyperlink r:id="rId16">
        <w:r>
          <w:rPr>
            <w:rStyle w:val="Hyperlink"/>
          </w:rPr>
          <w:t>[12]</w:t>
        </w:r>
      </w:hyperlink>
      <w:r>
        <w:br/>
        <w:t xml:space="preserve">In this report (consistent with the user’s problem statement), a </w:t>
      </w:r>
      <w:r>
        <w:rPr>
          <w:b/>
          <w:bCs/>
        </w:rPr>
        <w:t>non‑IID masquerade attack in FL‑IDS</w:t>
      </w:r>
      <w:r>
        <w:t xml:space="preserve"> is:</w:t>
      </w:r>
    </w:p>
    <w:p w14:paraId="79C57AEC" w14:textId="77777777" w:rsidR="0042488A" w:rsidRDefault="00000000">
      <w:pPr>
        <w:pStyle w:val="BlockText"/>
      </w:pPr>
      <w:r>
        <w:t xml:space="preserve">A poisoning/model‑poisoning attack where a malicious client (or Sybil) crafts update(s) that </w:t>
      </w:r>
      <w:r>
        <w:rPr>
          <w:i/>
          <w:iCs/>
        </w:rPr>
        <w:t>appear statistically consistent with legitimate client heterogeneity</w:t>
      </w:r>
      <w:r>
        <w:t>—i.e., they “look like” benign non‑IID client behavior from the server’s perspective—so that global threshold defenses (distance/cosine/clustering) do not flag them.</w:t>
      </w:r>
    </w:p>
    <w:p w14:paraId="2809B316" w14:textId="77777777" w:rsidR="0042488A" w:rsidRDefault="00000000">
      <w:pPr>
        <w:pStyle w:val="FirstParagraph"/>
      </w:pPr>
      <w:r>
        <w:lastRenderedPageBreak/>
        <w:t xml:space="preserve">This is closely related to stealthy model poisoning attacks that explicitly optimize for attack success while maintaining stealth, including attacks that use small but well‑crafted changes to evade defenses (“a little is enough”), alternating optimization to maintain stealth, and adaptive multi‑constraint attacks. </w:t>
      </w:r>
      <w:hyperlink r:id="rId17">
        <w:r>
          <w:rPr>
            <w:rStyle w:val="Hyperlink"/>
          </w:rPr>
          <w:t>[13]</w:t>
        </w:r>
      </w:hyperlink>
    </w:p>
    <w:p w14:paraId="17281681" w14:textId="77777777" w:rsidR="0042488A" w:rsidRDefault="00000000">
      <w:pPr>
        <w:pStyle w:val="Heading3"/>
      </w:pPr>
      <w:bookmarkStart w:id="8" w:name="meaning-of-dᵢ-explicit-assumption"/>
      <w:bookmarkEnd w:id="7"/>
      <w:r>
        <w:t>Meaning of D̂ᵢ (explicit assumption)</w:t>
      </w:r>
    </w:p>
    <w:p w14:paraId="77F41F96" w14:textId="77777777" w:rsidR="0042488A" w:rsidRDefault="00000000">
      <w:pPr>
        <w:pStyle w:val="FirstParagraph"/>
      </w:pPr>
      <w:r>
        <w:t xml:space="preserve">Because D̂ᵢ is unspecified, we treat it as an </w:t>
      </w:r>
      <w:r>
        <w:rPr>
          <w:b/>
          <w:bCs/>
        </w:rPr>
        <w:t>estimated per‑client distributional statistic</w:t>
      </w:r>
      <w:r>
        <w:t xml:space="preserve"> that summarizes “what benign looks like for client </w:t>
      </w:r>
      <m:oMath>
        <m:r>
          <w:rPr>
            <w:rFonts w:ascii="Cambria Math" w:hAnsi="Cambria Math"/>
          </w:rPr>
          <m:t>i</m:t>
        </m:r>
      </m:oMath>
      <w:r>
        <w:t>.” Concretely, D̂ᵢ can be any (or a combination) of the following, depending on visibility and privacy constraints:</w:t>
      </w:r>
    </w:p>
    <w:p w14:paraId="6B6CBDB1" w14:textId="77777777" w:rsidR="0042488A" w:rsidRDefault="00000000">
      <w:pPr>
        <w:pStyle w:val="Compact"/>
        <w:numPr>
          <w:ilvl w:val="0"/>
          <w:numId w:val="3"/>
        </w:numPr>
      </w:pPr>
      <w:r>
        <w:rPr>
          <w:b/>
          <w:bCs/>
        </w:rPr>
        <w:t>Update‑space statistics</w:t>
      </w:r>
      <w:r>
        <w:t xml:space="preserve"> computed from client </w:t>
      </w:r>
      <m:oMath>
        <m:r>
          <w:rPr>
            <w:rFonts w:ascii="Cambria Math" w:hAnsi="Cambria Math"/>
          </w:rPr>
          <m:t>i</m:t>
        </m:r>
      </m:oMath>
      <w:r>
        <w:t xml:space="preserve">’s past updates: mean direction, covariance/low‑rank structure, per‑layer norm profile, sign‑pattern stability, or residual distributions. </w:t>
      </w:r>
      <w:hyperlink r:id="rId18">
        <w:r>
          <w:rPr>
            <w:rStyle w:val="Hyperlink"/>
          </w:rPr>
          <w:t>[14]</w:t>
        </w:r>
      </w:hyperlink>
    </w:p>
    <w:p w14:paraId="45B62769" w14:textId="77777777" w:rsidR="0042488A" w:rsidRDefault="00000000">
      <w:pPr>
        <w:pStyle w:val="Compact"/>
        <w:numPr>
          <w:ilvl w:val="0"/>
          <w:numId w:val="3"/>
        </w:numPr>
      </w:pPr>
      <w:r>
        <w:rPr>
          <w:b/>
          <w:bCs/>
        </w:rPr>
        <w:t>Non‑IIDness measures</w:t>
      </w:r>
      <w:r>
        <w:t xml:space="preserve"> based on deviation of client gradients from global gradients (as used in the fair poisoning-detection literature). </w:t>
      </w:r>
      <w:hyperlink r:id="rId19">
        <w:r>
          <w:rPr>
            <w:rStyle w:val="Hyperlink"/>
          </w:rPr>
          <w:t>[11]</w:t>
        </w:r>
      </w:hyperlink>
    </w:p>
    <w:p w14:paraId="7812C793" w14:textId="77777777" w:rsidR="0042488A" w:rsidRDefault="00000000">
      <w:pPr>
        <w:pStyle w:val="Compact"/>
        <w:numPr>
          <w:ilvl w:val="0"/>
          <w:numId w:val="3"/>
        </w:numPr>
      </w:pPr>
      <w:r>
        <w:rPr>
          <w:b/>
          <w:bCs/>
        </w:rPr>
        <w:t>Validation‑signal statistics</w:t>
      </w:r>
      <w:r>
        <w:t xml:space="preserve">: if each client has a small local validation set, D̂ᵢ can include typical loss/accuracy trajectories or reconstruction‑error summary statistics (mean/variance/skew/kurtosis) as in federated anomaly detection thresholding. </w:t>
      </w:r>
      <w:hyperlink r:id="rId20">
        <w:r>
          <w:rPr>
            <w:rStyle w:val="Hyperlink"/>
          </w:rPr>
          <w:t>[15]</w:t>
        </w:r>
      </w:hyperlink>
    </w:p>
    <w:p w14:paraId="037F49D8" w14:textId="77777777" w:rsidR="0042488A" w:rsidRDefault="00000000">
      <w:pPr>
        <w:pStyle w:val="Compact"/>
        <w:numPr>
          <w:ilvl w:val="0"/>
          <w:numId w:val="3"/>
        </w:numPr>
      </w:pPr>
      <w:r>
        <w:rPr>
          <w:b/>
          <w:bCs/>
        </w:rPr>
        <w:t>Traffic‑mix surrogates</w:t>
      </w:r>
      <w:r>
        <w:t xml:space="preserve">: local class‑mix/attack‑mix estimates derived from weak labels or self‑supervised cluster IDs (when available), rather than raw packet/flow sharing. </w:t>
      </w:r>
      <w:hyperlink r:id="rId21">
        <w:r>
          <w:rPr>
            <w:rStyle w:val="Hyperlink"/>
          </w:rPr>
          <w:t>[16]</w:t>
        </w:r>
      </w:hyperlink>
    </w:p>
    <w:p w14:paraId="4540851D" w14:textId="77777777" w:rsidR="0042488A" w:rsidRDefault="00000000">
      <w:pPr>
        <w:pStyle w:val="FirstParagraph"/>
      </w:pPr>
      <w:r>
        <w:t xml:space="preserve">We explicitly assume D̂ᵢ is computed from </w:t>
      </w:r>
      <w:r>
        <w:rPr>
          <w:i/>
          <w:iCs/>
        </w:rPr>
        <w:t>benign history</w:t>
      </w:r>
      <w:r>
        <w:t xml:space="preserve"> (or robustly estimated in the presence of some contamination), because otherwise D̂ᵢ can itself be poisoned. </w:t>
      </w:r>
      <w:hyperlink r:id="rId22">
        <w:r>
          <w:rPr>
            <w:rStyle w:val="Hyperlink"/>
          </w:rPr>
          <w:t>[17]</w:t>
        </w:r>
      </w:hyperlink>
    </w:p>
    <w:p w14:paraId="573F725D" w14:textId="77777777" w:rsidR="0042488A" w:rsidRDefault="00000000">
      <w:pPr>
        <w:pStyle w:val="Heading2"/>
      </w:pPr>
      <w:bookmarkStart w:id="9" w:name="X70498fff202d3ee584024cede7670f77490cd2b"/>
      <w:bookmarkEnd w:id="4"/>
      <w:bookmarkEnd w:id="8"/>
      <w:r>
        <w:t>Threat models and formal detection hypotheses</w:t>
      </w:r>
    </w:p>
    <w:p w14:paraId="381348E8" w14:textId="77777777" w:rsidR="0042488A" w:rsidRDefault="00000000">
      <w:pPr>
        <w:pStyle w:val="Heading3"/>
      </w:pPr>
      <w:bookmarkStart w:id="10" w:name="threat-models-and-attacker-capabilities"/>
      <w:r>
        <w:t>Threat models and attacker capabilities</w:t>
      </w:r>
    </w:p>
    <w:p w14:paraId="56E0AE11" w14:textId="77777777" w:rsidR="0042488A" w:rsidRDefault="00000000">
      <w:pPr>
        <w:pStyle w:val="FirstParagraph"/>
      </w:pPr>
      <w:r>
        <w:t>We consider a spectrum of attacker capabilities relevant to FL‑IDS:</w:t>
      </w:r>
    </w:p>
    <w:p w14:paraId="0482AE73" w14:textId="77777777" w:rsidR="0042488A" w:rsidRDefault="00000000">
      <w:pPr>
        <w:pStyle w:val="Compact"/>
        <w:numPr>
          <w:ilvl w:val="0"/>
          <w:numId w:val="4"/>
        </w:numPr>
      </w:pPr>
      <w:r>
        <w:rPr>
          <w:b/>
          <w:bCs/>
        </w:rPr>
        <w:t>Client compromise:</w:t>
      </w:r>
      <w:r>
        <w:t xml:space="preserve"> the attacker controls one or more clients and can arbitrarily manipulate local data and/or model updates (model poisoning). </w:t>
      </w:r>
      <w:hyperlink r:id="rId23">
        <w:r>
          <w:rPr>
            <w:rStyle w:val="Hyperlink"/>
          </w:rPr>
          <w:t>[18]</w:t>
        </w:r>
      </w:hyperlink>
    </w:p>
    <w:p w14:paraId="246B3750" w14:textId="77777777" w:rsidR="0042488A" w:rsidRDefault="00000000">
      <w:pPr>
        <w:pStyle w:val="Compact"/>
        <w:numPr>
          <w:ilvl w:val="0"/>
          <w:numId w:val="4"/>
        </w:numPr>
      </w:pPr>
      <w:r>
        <w:rPr>
          <w:b/>
          <w:bCs/>
        </w:rPr>
        <w:t>Sybil injection:</w:t>
      </w:r>
      <w:r>
        <w:t xml:space="preserve"> the attacker can add fabricated clients to increase influence without needing access to honest client data (a key assumption in several recent model poisoning attacks). </w:t>
      </w:r>
      <w:hyperlink r:id="rId24">
        <w:r>
          <w:rPr>
            <w:rStyle w:val="Hyperlink"/>
          </w:rPr>
          <w:t>[19]</w:t>
        </w:r>
      </w:hyperlink>
    </w:p>
    <w:p w14:paraId="4035C11E" w14:textId="77777777" w:rsidR="0042488A" w:rsidRDefault="00000000">
      <w:pPr>
        <w:pStyle w:val="Compact"/>
        <w:numPr>
          <w:ilvl w:val="0"/>
          <w:numId w:val="4"/>
        </w:numPr>
      </w:pPr>
      <w:r>
        <w:rPr>
          <w:b/>
          <w:bCs/>
        </w:rPr>
        <w:t>Stealthy distribution shifts / non‑IID mimicry:</w:t>
      </w:r>
      <w:r>
        <w:t xml:space="preserve"> the attacker designs updates that match global‑level norms/directions/distances used by defenses, potentially across multiple rounds, to prevent filtering and accumulate effect. This includes attacks that are multi‑round consistent and dynamically adjust magnitude to avoid being filtered. </w:t>
      </w:r>
      <w:hyperlink r:id="rId25">
        <w:r>
          <w:rPr>
            <w:rStyle w:val="Hyperlink"/>
          </w:rPr>
          <w:t>[20]</w:t>
        </w:r>
      </w:hyperlink>
    </w:p>
    <w:p w14:paraId="693E798E" w14:textId="77777777" w:rsidR="0042488A" w:rsidRDefault="00000000">
      <w:pPr>
        <w:pStyle w:val="Compact"/>
        <w:numPr>
          <w:ilvl w:val="0"/>
          <w:numId w:val="4"/>
        </w:numPr>
      </w:pPr>
      <w:r>
        <w:rPr>
          <w:b/>
          <w:bCs/>
        </w:rPr>
        <w:lastRenderedPageBreak/>
        <w:t>Adaptive adversaries:</w:t>
      </w:r>
      <w:r>
        <w:t xml:space="preserve"> the attacker observes (or reverse engineers) the defense metrics and solves constrained optimization so their updates stay within acceptable ranges of multiple defensive indicators simultaneously. </w:t>
      </w:r>
      <w:hyperlink r:id="rId26">
        <w:r>
          <w:rPr>
            <w:rStyle w:val="Hyperlink"/>
          </w:rPr>
          <w:t>[21]</w:t>
        </w:r>
      </w:hyperlink>
    </w:p>
    <w:p w14:paraId="1CCA3EBD" w14:textId="77777777" w:rsidR="0042488A" w:rsidRDefault="00000000">
      <w:pPr>
        <w:pStyle w:val="Compact"/>
        <w:numPr>
          <w:ilvl w:val="0"/>
          <w:numId w:val="4"/>
        </w:numPr>
      </w:pPr>
      <w:r>
        <w:rPr>
          <w:b/>
          <w:bCs/>
        </w:rPr>
        <w:t>Server trust model:</w:t>
      </w:r>
      <w:r>
        <w:t xml:space="preserve"> baseline assumption in most FL-IDS is an honest-but-curious server; however, recent work considers partially untrusted servers and adds verification mechanisms for server-side detection. </w:t>
      </w:r>
      <w:hyperlink r:id="rId27">
        <w:r>
          <w:rPr>
            <w:rStyle w:val="Hyperlink"/>
          </w:rPr>
          <w:t>[8]</w:t>
        </w:r>
      </w:hyperlink>
    </w:p>
    <w:p w14:paraId="15D59FB2" w14:textId="77777777" w:rsidR="0042488A" w:rsidRDefault="00000000">
      <w:pPr>
        <w:pStyle w:val="Heading3"/>
      </w:pPr>
      <w:bookmarkStart w:id="11" w:name="X1311c3c6138990417bddf46d03d70bc4d3e3798"/>
      <w:bookmarkEnd w:id="10"/>
      <w:r>
        <w:t>Formal detection objective (per-client hypothesis testing)</w:t>
      </w:r>
    </w:p>
    <w:p w14:paraId="3F5C2AA2" w14:textId="77777777" w:rsidR="0042488A" w:rsidRDefault="00000000">
      <w:pPr>
        <w:pStyle w:val="FirstParagraph"/>
      </w:pPr>
      <w:r>
        <w:t xml:space="preserve">Let </w:t>
      </w:r>
      <m:oMath>
        <m:sSub>
          <m:sSubPr>
            <m:ctrlPr>
              <w:rPr>
                <w:rFonts w:ascii="Cambria Math" w:hAnsi="Cambria Math"/>
              </w:rPr>
            </m:ctrlPr>
          </m:sSubPr>
          <m:e>
            <m:r>
              <w:rPr>
                <w:rFonts w:ascii="Cambria Math" w:hAnsi="Cambria Math"/>
              </w:rPr>
              <m:t>Δ</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be client </w:t>
      </w:r>
      <m:oMath>
        <m:r>
          <w:rPr>
            <w:rFonts w:ascii="Cambria Math" w:hAnsi="Cambria Math"/>
          </w:rPr>
          <m:t>i</m:t>
        </m:r>
      </m:oMath>
      <w:r>
        <w:t xml:space="preserve">’s submitted update at round </w:t>
      </w:r>
      <m:oMath>
        <m:r>
          <w:rPr>
            <w:rFonts w:ascii="Cambria Math" w:hAnsi="Cambria Math"/>
          </w:rPr>
          <m:t>t</m:t>
        </m:r>
      </m:oMath>
      <w:r>
        <w:t xml:space="preserve"> (e.g., weight delta or gradient-like vector). The server computes an anomaly score:</w:t>
      </w:r>
    </w:p>
    <w:p w14:paraId="4DDC60D1" w14:textId="77777777" w:rsidR="0042488A"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t</m:t>
                  </m:r>
                </m:sub>
              </m:sSub>
            </m:e>
          </m:d>
          <m:r>
            <m:rPr>
              <m:sty m:val="p"/>
            </m:rPr>
            <w:rPr>
              <w:rFonts w:ascii="Cambria Math" w:hAnsi="Cambria Math"/>
            </w:rPr>
            <m:t>,</m:t>
          </m:r>
        </m:oMath>
      </m:oMathPara>
    </w:p>
    <w:p w14:paraId="1A7B1535" w14:textId="77777777" w:rsidR="0042488A" w:rsidRDefault="00000000">
      <w:pPr>
        <w:pStyle w:val="FirstParagraph"/>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t</m:t>
            </m:r>
          </m:sub>
        </m:sSub>
      </m:oMath>
      <w:r>
        <w:t xml:space="preserve"> includes global state (current global model, round index, etc.). The detection task is to decide whether to accept/aggregate </w:t>
      </w:r>
      <m:oMath>
        <m:sSub>
          <m:sSubPr>
            <m:ctrlPr>
              <w:rPr>
                <w:rFonts w:ascii="Cambria Math" w:hAnsi="Cambria Math"/>
              </w:rPr>
            </m:ctrlPr>
          </m:sSubPr>
          <m:e>
            <m:r>
              <w:rPr>
                <w:rFonts w:ascii="Cambria Math" w:hAnsi="Cambria Math"/>
              </w:rPr>
              <m:t>Δ</m:t>
            </m:r>
          </m:e>
          <m:sub>
            <m:r>
              <w:rPr>
                <w:rFonts w:ascii="Cambria Math" w:hAnsi="Cambria Math"/>
              </w:rPr>
              <m:t>i</m:t>
            </m:r>
            <m:r>
              <m:rPr>
                <m:sty m:val="p"/>
              </m:rPr>
              <w:rPr>
                <w:rFonts w:ascii="Cambria Math" w:hAnsi="Cambria Math"/>
              </w:rPr>
              <m:t>,</m:t>
            </m:r>
            <m:r>
              <w:rPr>
                <w:rFonts w:ascii="Cambria Math" w:hAnsi="Cambria Math"/>
              </w:rPr>
              <m:t>t</m:t>
            </m:r>
          </m:sub>
        </m:sSub>
      </m:oMath>
      <w:r>
        <w:t>.</w:t>
      </w:r>
    </w:p>
    <w:p w14:paraId="7EE95F94" w14:textId="77777777" w:rsidR="0042488A" w:rsidRDefault="00000000">
      <w:pPr>
        <w:pStyle w:val="BodyText"/>
      </w:pPr>
      <w:r>
        <w:t>We define hypotheses per client per round:</w:t>
      </w:r>
    </w:p>
    <w:p w14:paraId="5A049BFD" w14:textId="77777777" w:rsidR="0042488A" w:rsidRDefault="00000000">
      <w:pPr>
        <w:pStyle w:val="Compact"/>
        <w:numPr>
          <w:ilvl w:val="0"/>
          <w:numId w:val="5"/>
        </w:numPr>
      </w:pPr>
      <m:oMath>
        <m:sSub>
          <m:sSubPr>
            <m:ctrlPr>
              <w:rPr>
                <w:rFonts w:ascii="Cambria Math" w:hAnsi="Cambria Math"/>
              </w:rPr>
            </m:ctrlPr>
          </m:sSubPr>
          <m:e>
            <m:r>
              <w:rPr>
                <w:rFonts w:ascii="Cambria Math" w:hAnsi="Cambria Math"/>
              </w:rPr>
              <m:t>H</m:t>
            </m:r>
          </m:e>
          <m:sub>
            <m:r>
              <w:rPr>
                <w:rFonts w:ascii="Cambria Math" w:hAnsi="Cambria Math"/>
              </w:rPr>
              <m:t>0</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t</m:t>
            </m:r>
          </m:e>
        </m:d>
      </m:oMath>
      <w:r>
        <w:t xml:space="preserve">: client </w:t>
      </w:r>
      <m:oMath>
        <m:r>
          <w:rPr>
            <w:rFonts w:ascii="Cambria Math" w:hAnsi="Cambria Math"/>
          </w:rPr>
          <m:t>i</m:t>
        </m:r>
      </m:oMath>
      <w:r>
        <w:t xml:space="preserve"> is benign at round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benign</m:t>
            </m:r>
          </m:sup>
        </m:sSubSup>
        <m:d>
          <m:dPr>
            <m:ctrlPr>
              <w:rPr>
                <w:rFonts w:ascii="Cambria Math" w:hAnsi="Cambria Math"/>
              </w:rPr>
            </m:ctrlPr>
          </m:dPr>
          <m:e>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e>
        </m:d>
      </m:oMath>
      <w:r>
        <w:t>.</w:t>
      </w:r>
    </w:p>
    <w:p w14:paraId="7DE1100C" w14:textId="77777777" w:rsidR="0042488A" w:rsidRDefault="00000000">
      <w:pPr>
        <w:pStyle w:val="Compact"/>
        <w:numPr>
          <w:ilvl w:val="0"/>
          <w:numId w:val="5"/>
        </w:numPr>
      </w:pPr>
      <m:oMath>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t</m:t>
            </m:r>
          </m:e>
        </m:d>
      </m:oMath>
      <w:r>
        <w:t xml:space="preserve">: client </w:t>
      </w:r>
      <m:oMath>
        <m:r>
          <w:rPr>
            <w:rFonts w:ascii="Cambria Math" w:hAnsi="Cambria Math"/>
          </w:rPr>
          <m:t>i</m:t>
        </m:r>
      </m:oMath>
      <w:r>
        <w:t xml:space="preserve">’s update is poisoned/masquerading at round </w:t>
      </w:r>
      <m:oMath>
        <m:r>
          <w:rPr>
            <w:rFonts w:ascii="Cambria Math" w:hAnsi="Cambria Math"/>
          </w:rPr>
          <m:t>t</m:t>
        </m:r>
      </m:oMath>
      <w:r>
        <w:t xml:space="preserve">, i.e., </w:t>
      </w:r>
      <m:oMath>
        <m:sSub>
          <m:sSubPr>
            <m:ctrlPr>
              <w:rPr>
                <w:rFonts w:ascii="Cambria Math" w:hAnsi="Cambria Math"/>
              </w:rPr>
            </m:ctrlPr>
          </m:sSubPr>
          <m:e>
            <m:r>
              <w:rPr>
                <w:rFonts w:ascii="Cambria Math" w:hAnsi="Cambria Math"/>
              </w:rPr>
              <m:t>Δ</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attack</m:t>
            </m:r>
          </m:sup>
        </m:sSubSup>
        <m:d>
          <m:dPr>
            <m:ctrlPr>
              <w:rPr>
                <w:rFonts w:ascii="Cambria Math" w:hAnsi="Cambria Math"/>
              </w:rPr>
            </m:ctrlPr>
          </m:dPr>
          <m:e>
            <m:r>
              <m:rPr>
                <m:sty m:val="p"/>
              </m:rPr>
              <w:rPr>
                <w:rFonts w:ascii="Cambria Math" w:hAnsi="Cambria Math"/>
              </w:rPr>
              <m:t>⋅</m:t>
            </m:r>
          </m:e>
        </m:d>
      </m:oMath>
      <w:r>
        <w:t>, designed to evade global thresholds.</w:t>
      </w:r>
    </w:p>
    <w:p w14:paraId="3E31A614" w14:textId="77777777" w:rsidR="0042488A" w:rsidRDefault="00000000">
      <w:pPr>
        <w:pStyle w:val="FirstParagraph"/>
      </w:pPr>
      <w:r>
        <w:rPr>
          <w:b/>
          <w:bCs/>
        </w:rPr>
        <w:t>Detection objective:</w:t>
      </w:r>
      <w:r>
        <w:t xml:space="preserve"> choose a decision rule </w:t>
      </w:r>
      <m:oMath>
        <m:sSub>
          <m:sSubPr>
            <m:ctrlPr>
              <w:rPr>
                <w:rFonts w:ascii="Cambria Math" w:hAnsi="Cambria Math"/>
              </w:rPr>
            </m:ctrlPr>
          </m:sSubPr>
          <m:e>
            <m:r>
              <w:rPr>
                <w:rFonts w:ascii="Cambria Math" w:hAnsi="Cambria Math"/>
              </w:rPr>
              <m:t>ϕ</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(0 = accept, 1 = flag/reject/quarantine) such that:</w:t>
      </w:r>
    </w:p>
    <w:p w14:paraId="11BD2190" w14:textId="77777777" w:rsidR="0042488A" w:rsidRDefault="00000000">
      <w:pPr>
        <w:pStyle w:val="BodyText"/>
      </w:pPr>
      <w:r>
        <w:t xml:space="preserve">1) </w:t>
      </w:r>
      <w:r>
        <w:rPr>
          <w:b/>
          <w:bCs/>
        </w:rPr>
        <w:t>Controlled false positive rate under heterogeneity:</w:t>
      </w:r>
      <w:r>
        <w:br/>
      </w:r>
    </w:p>
    <w:p w14:paraId="1FBD520E" w14:textId="77777777" w:rsidR="0042488A" w:rsidRDefault="00000000">
      <w:pPr>
        <w:pStyle w:val="BodyText"/>
      </w:pPr>
      <m:oMathPara>
        <m:oMathParaPr>
          <m:jc m:val="center"/>
        </m:oMathParaP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t</m:t>
                  </m:r>
                </m:e>
              </m:d>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oMath>
      </m:oMathPara>
    </w:p>
    <w:p w14:paraId="3D01942A" w14:textId="77777777" w:rsidR="0042488A" w:rsidRDefault="00000000">
      <w:pPr>
        <w:pStyle w:val="FirstParagraph"/>
      </w:pPr>
      <w:r>
        <w:t xml:space="preserve">for specified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and ideally with some fairness notion across minority clients. </w:t>
      </w:r>
      <w:hyperlink r:id="rId28">
        <w:r>
          <w:rPr>
            <w:rStyle w:val="Hyperlink"/>
          </w:rPr>
          <w:t>[11]</w:t>
        </w:r>
      </w:hyperlink>
    </w:p>
    <w:p w14:paraId="009DE821" w14:textId="77777777" w:rsidR="0042488A" w:rsidRDefault="00000000">
      <w:pPr>
        <w:pStyle w:val="BodyText"/>
      </w:pPr>
      <w:r>
        <w:t xml:space="preserve">2) </w:t>
      </w:r>
      <w:r>
        <w:rPr>
          <w:b/>
          <w:bCs/>
        </w:rPr>
        <w:t>High power against masquerade attacks:</w:t>
      </w:r>
      <w:r>
        <w:t xml:space="preserve"> maximize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t</m:t>
                </m:r>
              </m:e>
            </m:d>
          </m:e>
        </m:d>
      </m:oMath>
      <w:r>
        <w:t xml:space="preserve"> under stealthy/constraint‑satisfying adversaries, including multi‑round consistent attacks. </w:t>
      </w:r>
      <w:hyperlink r:id="rId29">
        <w:r>
          <w:rPr>
            <w:rStyle w:val="Hyperlink"/>
          </w:rPr>
          <w:t>[22]</w:t>
        </w:r>
      </w:hyperlink>
    </w:p>
    <w:p w14:paraId="44DED76F" w14:textId="77777777" w:rsidR="0042488A" w:rsidRDefault="00000000">
      <w:pPr>
        <w:pStyle w:val="BodyText"/>
      </w:pPr>
      <w:r>
        <w:t xml:space="preserve">3) </w:t>
      </w:r>
      <w:r>
        <w:rPr>
          <w:b/>
          <w:bCs/>
        </w:rPr>
        <w:t>Low detection delay:</w:t>
      </w:r>
      <w:r>
        <w:t xml:space="preserve"> minimize time/rounds until attack detection in sequential settings. </w:t>
      </w:r>
      <w:hyperlink r:id="rId30">
        <w:r>
          <w:rPr>
            <w:rStyle w:val="Hyperlink"/>
          </w:rPr>
          <w:t>[23]</w:t>
        </w:r>
      </w:hyperlink>
    </w:p>
    <w:p w14:paraId="33FBA5ED" w14:textId="77777777" w:rsidR="0042488A" w:rsidRDefault="00000000">
      <w:pPr>
        <w:pStyle w:val="BodyText"/>
      </w:pPr>
      <w:r>
        <w:t xml:space="preserve">This framing aligns with reported difficulties: stealthy/implicit poisoning can make malicious trajectories similar to benign, bypassing cosine similarity and clustering, and requiring richer sequential/statistical characterization. </w:t>
      </w:r>
      <w:hyperlink r:id="rId31">
        <w:r>
          <w:rPr>
            <w:rStyle w:val="Hyperlink"/>
          </w:rPr>
          <w:t>[24]</w:t>
        </w:r>
      </w:hyperlink>
    </w:p>
    <w:p w14:paraId="581949EA" w14:textId="77777777" w:rsidR="0042488A" w:rsidRDefault="00000000">
      <w:pPr>
        <w:pStyle w:val="Heading2"/>
      </w:pPr>
      <w:bookmarkStart w:id="12" w:name="X313578cc2b113bce5b0472148335d3c3eabb79c"/>
      <w:bookmarkEnd w:id="9"/>
      <w:bookmarkEnd w:id="11"/>
      <w:r>
        <w:lastRenderedPageBreak/>
        <w:t>Statistical design of D̂ᵢ‑conditioned thresholds</w:t>
      </w:r>
    </w:p>
    <w:p w14:paraId="5D358786" w14:textId="77777777" w:rsidR="0042488A" w:rsidRDefault="00000000">
      <w:pPr>
        <w:pStyle w:val="FirstParagraph"/>
      </w:pPr>
      <w:r>
        <w:t xml:space="preserve">A D̂ᵢ‑conditioned detector has two components: (i) a score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oMath>
      <w:r>
        <w:t xml:space="preserve"> that is meaningful given client heterogeneity, and (ii) a per‑client threshold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(possibly time-varying) designed to control false alarms.</w:t>
      </w:r>
    </w:p>
    <w:p w14:paraId="699D00A2" w14:textId="77777777" w:rsidR="0042488A" w:rsidRDefault="00000000">
      <w:pPr>
        <w:pStyle w:val="Heading3"/>
      </w:pPr>
      <w:bookmarkStart w:id="13" w:name="why-global-thresholds-fail-under-noniid"/>
      <w:r>
        <w:t>Why global thresholds fail under non‑IID</w:t>
      </w:r>
    </w:p>
    <w:p w14:paraId="472E48B4" w14:textId="77777777" w:rsidR="0042488A" w:rsidRDefault="00000000">
      <w:pPr>
        <w:pStyle w:val="FirstParagraph"/>
      </w:pPr>
      <w:r>
        <w:t xml:space="preserve">A well-documented baseline is: compute a distance from each client update to the mean/centroid and reject large outliers. Under non‑IID, this can incorrectly treat benign minority clients as attackers and degrade both fairness and model quality. </w:t>
      </w:r>
      <w:hyperlink r:id="rId32">
        <w:r>
          <w:rPr>
            <w:rStyle w:val="Hyperlink"/>
          </w:rPr>
          <w:t>[11]</w:t>
        </w:r>
      </w:hyperlink>
      <w:r>
        <w:br/>
        <w:t xml:space="preserve">This effect persists even when using more robust centroids (median) if benign distributions are multi‑modal and reflect legitimate subpopulations. </w:t>
      </w:r>
      <w:hyperlink r:id="rId33">
        <w:r>
          <w:rPr>
            <w:rStyle w:val="Hyperlink"/>
          </w:rPr>
          <w:t>[25]</w:t>
        </w:r>
      </w:hyperlink>
    </w:p>
    <w:p w14:paraId="55A7F2E9" w14:textId="77777777" w:rsidR="0042488A" w:rsidRDefault="00000000">
      <w:pPr>
        <w:pStyle w:val="Heading3"/>
      </w:pPr>
      <w:bookmarkStart w:id="14" w:name="X3d99d901e2adff238a1dc7e04dbeafd521e15f1"/>
      <w:bookmarkEnd w:id="13"/>
      <w:r>
        <w:t>Per‑client calibration target: controlling FPR under heterogeneity</w:t>
      </w:r>
    </w:p>
    <w:p w14:paraId="271EC676" w14:textId="77777777" w:rsidR="0042488A" w:rsidRDefault="00000000">
      <w:pPr>
        <w:pStyle w:val="FirstParagraph"/>
      </w:pPr>
      <w:r>
        <w:t xml:space="preserve">Per‑client thresholds explicitly aim to satisfy a target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per client, rather than a single global </w:t>
      </w:r>
      <m:oMath>
        <m:r>
          <w:rPr>
            <w:rFonts w:ascii="Cambria Math" w:hAnsi="Cambria Math"/>
          </w:rPr>
          <m:t>α</m:t>
        </m:r>
      </m:oMath>
      <w:r>
        <w:t>. This can be motivated two ways:</w:t>
      </w:r>
    </w:p>
    <w:p w14:paraId="62B07355" w14:textId="77777777" w:rsidR="0042488A" w:rsidRDefault="00000000">
      <w:pPr>
        <w:pStyle w:val="BodyText"/>
      </w:pPr>
      <w:r>
        <w:t xml:space="preserve">1) </w:t>
      </w:r>
      <w:r>
        <w:rPr>
          <w:b/>
          <w:bCs/>
        </w:rPr>
        <w:t>Fairness / non-discrimination view:</w:t>
      </w:r>
      <w:r>
        <w:t xml:space="preserve"> In FL poisoning defenses, the decision “reject this client update” can itself have fairness definitions (e.g., equal false positive error rate balance across protected/minority clients). Client‑conditioned thresholds support this by calibrating acceptance per client/group. </w:t>
      </w:r>
      <w:hyperlink r:id="rId34">
        <w:r>
          <w:rPr>
            <w:rStyle w:val="Hyperlink"/>
          </w:rPr>
          <w:t>[11]</w:t>
        </w:r>
      </w:hyperlink>
    </w:p>
    <w:p w14:paraId="2645753F" w14:textId="77777777" w:rsidR="0042488A" w:rsidRDefault="00000000">
      <w:pPr>
        <w:pStyle w:val="BodyText"/>
      </w:pPr>
      <w:r>
        <w:t xml:space="preserve">2) </w:t>
      </w:r>
      <w:r>
        <w:rPr>
          <w:b/>
          <w:bCs/>
        </w:rPr>
        <w:t>Statistical modeling view:</w:t>
      </w:r>
      <w:r>
        <w:t xml:space="preserve"> Clients have different benign score distributions because of non‑IID data; thus a global threshold implies different FPR per client unless distributions are identical. This is exactly the practical dilemma described in federated anomaly detection thresholding under non‑IID. </w:t>
      </w:r>
      <w:hyperlink r:id="rId35">
        <w:r>
          <w:rPr>
            <w:rStyle w:val="Hyperlink"/>
          </w:rPr>
          <w:t>[15]</w:t>
        </w:r>
      </w:hyperlink>
    </w:p>
    <w:p w14:paraId="51AFC4E8" w14:textId="77777777" w:rsidR="0042488A" w:rsidRDefault="00000000">
      <w:pPr>
        <w:pStyle w:val="Heading3"/>
      </w:pPr>
      <w:bookmarkStart w:id="15" w:name="dᵢconditioned-thresholding-methods"/>
      <w:bookmarkEnd w:id="14"/>
      <w:r>
        <w:t>D̂ᵢ‑conditioned thresholding methods</w:t>
      </w:r>
    </w:p>
    <w:p w14:paraId="5F21DC02" w14:textId="77777777" w:rsidR="0042488A" w:rsidRDefault="00000000">
      <w:pPr>
        <w:pStyle w:val="FirstParagraph"/>
      </w:pPr>
      <w:r>
        <w:t xml:space="preserve">Below are statistically grounded methods to compute </w:t>
      </w:r>
      <m:oMath>
        <m:sSub>
          <m:sSubPr>
            <m:ctrlPr>
              <w:rPr>
                <w:rFonts w:ascii="Cambria Math" w:hAnsi="Cambria Math"/>
              </w:rPr>
            </m:ctrlPr>
          </m:sSubPr>
          <m:e>
            <m:r>
              <w:rPr>
                <w:rFonts w:ascii="Cambria Math" w:hAnsi="Cambria Math"/>
              </w:rPr>
              <m:t>τ</m:t>
            </m:r>
          </m:e>
          <m:sub>
            <m:r>
              <w:rPr>
                <w:rFonts w:ascii="Cambria Math" w:hAnsi="Cambria Math"/>
              </w:rPr>
              <m:t>i</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e>
        </m:d>
      </m:oMath>
      <w:r>
        <w:t>. Each method depends on what is observable and whether a benign calibration window is available.</w:t>
      </w:r>
    </w:p>
    <w:p w14:paraId="31022FDD" w14:textId="77777777" w:rsidR="0042488A" w:rsidRDefault="00000000">
      <w:pPr>
        <w:pStyle w:val="BodyText"/>
      </w:pPr>
      <w:r>
        <w:rPr>
          <w:b/>
          <w:bCs/>
        </w:rPr>
        <w:t>Assumption A (explicit):</w:t>
      </w:r>
      <w:r>
        <w:t xml:space="preserve"> There exists an initial “mostly benign” burn‑in window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or robust estimation method so that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oMath>
      <w:r>
        <w:t xml:space="preserve"> is not dominated by attacker updates. This is necessary because stealthy poisoning can otherwise shape the baseline. </w:t>
      </w:r>
      <w:hyperlink r:id="rId36">
        <w:r>
          <w:rPr>
            <w:rStyle w:val="Hyperlink"/>
          </w:rPr>
          <w:t>[7]</w:t>
        </w:r>
      </w:hyperlink>
    </w:p>
    <w:p w14:paraId="3BF303C8" w14:textId="77777777" w:rsidR="0042488A" w:rsidRDefault="00000000">
      <w:pPr>
        <w:pStyle w:val="Heading4"/>
      </w:pPr>
      <w:bookmarkStart w:id="16" w:name="X93cf4e57e961c3c46be22552fa272c16a0118ca"/>
      <w:r>
        <w:t>Empirical quantile thresholds (distribution-free in the large-sample sense)</w:t>
      </w:r>
    </w:p>
    <w:p w14:paraId="74E4E8F8" w14:textId="77777777" w:rsidR="0042488A" w:rsidRDefault="00000000">
      <w:pPr>
        <w:pStyle w:val="FirstParagraph"/>
      </w:pPr>
      <w:r>
        <w:t xml:space="preserve">Compute a scalar score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oMath>
      <w:r>
        <w:t xml:space="preserve"> and set:</w:t>
      </w:r>
    </w:p>
    <w:p w14:paraId="0CCA5FB8" w14:textId="77777777" w:rsidR="0042488A" w:rsidRDefault="00000000">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Quantile</m:t>
              </m:r>
            </m:e>
            <m:sub>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oMath>
      </m:oMathPara>
    </w:p>
    <w:p w14:paraId="4AC6BF6E" w14:textId="77777777" w:rsidR="0042488A" w:rsidRDefault="00000000">
      <w:pPr>
        <w:pStyle w:val="FirstParagraph"/>
      </w:pPr>
      <w:r>
        <w:t xml:space="preserve">This is simple and widely used in anomaly detection. However, it requires enough benign history per client and must handle non-stationarity during training. </w:t>
      </w:r>
      <w:hyperlink r:id="rId37">
        <w:r>
          <w:rPr>
            <w:rStyle w:val="Hyperlink"/>
          </w:rPr>
          <w:t>[26]</w:t>
        </w:r>
      </w:hyperlink>
    </w:p>
    <w:p w14:paraId="45AAB188" w14:textId="77777777" w:rsidR="0042488A" w:rsidRDefault="00000000">
      <w:pPr>
        <w:pStyle w:val="Heading4"/>
      </w:pPr>
      <w:bookmarkStart w:id="17" w:name="Xffa32f6ea231ffd201e40a2286f6ad3ad73c695"/>
      <w:bookmarkEnd w:id="16"/>
      <w:r>
        <w:lastRenderedPageBreak/>
        <w:t>Parametric or robust z‑score thresholds (μᵢ, σᵢ from D̂ᵢ)</w:t>
      </w:r>
    </w:p>
    <w:p w14:paraId="40698EB0" w14:textId="77777777" w:rsidR="0042488A" w:rsidRDefault="00000000">
      <w:pPr>
        <w:pStyle w:val="FirstParagraph"/>
      </w:pPr>
      <w:r>
        <w:t xml:space="preserve">Let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oMath>
      <w:r>
        <w:t xml:space="preserve"> be approximately normal under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(or use a transform). Estimate </w:t>
      </w:r>
      <m:oMath>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robustly (median/MAD), define:</w:t>
      </w:r>
    </w:p>
    <w:p w14:paraId="2C93DF70" w14:textId="77777777" w:rsidR="0042488A"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num>
            <m:den>
              <m:sSub>
                <m:sSubPr>
                  <m:ctrlPr>
                    <w:rPr>
                      <w:rFonts w:ascii="Cambria Math" w:hAnsi="Cambria Math"/>
                    </w:rPr>
                  </m:ctrlPr>
                </m:sSubPr>
                <m:e>
                  <m:r>
                    <w:rPr>
                      <w:rFonts w:ascii="Cambria Math" w:hAnsi="Cambria Math"/>
                    </w:rPr>
                    <m:t>σ</m:t>
                  </m:r>
                </m:e>
                <m:sub>
                  <m:r>
                    <w:rPr>
                      <w:rFonts w:ascii="Cambria Math" w:hAnsi="Cambria Math"/>
                    </w:rPr>
                    <m:t>i</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i</m:t>
              </m:r>
              <m:r>
                <m:rPr>
                  <m:sty m:val="p"/>
                </m:rPr>
                <w:rPr>
                  <w:rFonts w:ascii="Cambria Math" w:hAnsi="Cambria Math"/>
                </w:rPr>
                <m:t>,</m:t>
              </m:r>
              <m:r>
                <w:rPr>
                  <w:rFonts w:ascii="Cambria Math" w:hAnsi="Cambria Math"/>
                </w:rPr>
                <m:t>t</m:t>
              </m:r>
            </m:sub>
          </m:sSub>
          <m:r>
            <m:rPr>
              <m:scr m:val="double-struck"/>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ub>
              </m:sSub>
            </m:e>
          </m:d>
          <m:r>
            <m:rPr>
              <m:sty m:val="p"/>
            </m:rPr>
            <w:rPr>
              <w:rFonts w:ascii="Cambria Math" w:hAnsi="Cambria Math"/>
            </w:rPr>
            <m:t>,</m:t>
          </m:r>
        </m:oMath>
      </m:oMathPara>
    </w:p>
    <w:p w14:paraId="3FEF9BF0" w14:textId="77777777" w:rsidR="0042488A" w:rsidRDefault="00000000">
      <w:pPr>
        <w:pStyle w:val="FirstParagraph"/>
      </w:pPr>
      <w:r>
        <w:t xml:space="preserve">or use “3σ rules” as a heuristic (noting its limitations under non-normality). The staged server-side approach in CustodianFL uses a </w:t>
      </w:r>
      <m:oMath>
        <m:r>
          <w:rPr>
            <w:rFonts w:ascii="Cambria Math" w:hAnsi="Cambria Math"/>
          </w:rPr>
          <m:t>μ</m:t>
        </m:r>
        <m:r>
          <m:rPr>
            <m:sty m:val="p"/>
          </m:rPr>
          <w:rPr>
            <w:rFonts w:ascii="Cambria Math" w:hAnsi="Cambria Math"/>
          </w:rPr>
          <m:t>+</m:t>
        </m:r>
        <m:r>
          <w:rPr>
            <w:rFonts w:ascii="Cambria Math" w:hAnsi="Cambria Math"/>
          </w:rPr>
          <m:t>λσ</m:t>
        </m:r>
      </m:oMath>
      <w:r>
        <w:t xml:space="preserve"> style rule in its second stage, illustrating the practicality of σ-based rules in deployments. </w:t>
      </w:r>
      <w:hyperlink r:id="rId38">
        <w:r>
          <w:rPr>
            <w:rStyle w:val="Hyperlink"/>
          </w:rPr>
          <w:t>[8]</w:t>
        </w:r>
      </w:hyperlink>
      <w:r>
        <w:br/>
        <w:t xml:space="preserve">For stronger statistical grounding, z‑score rules can be paired with robust estimation and drift handling. </w:t>
      </w:r>
      <w:hyperlink r:id="rId39">
        <w:r>
          <w:rPr>
            <w:rStyle w:val="Hyperlink"/>
          </w:rPr>
          <w:t>[4]</w:t>
        </w:r>
      </w:hyperlink>
    </w:p>
    <w:p w14:paraId="663E0E44" w14:textId="77777777" w:rsidR="0042488A" w:rsidRDefault="00000000">
      <w:pPr>
        <w:pStyle w:val="Heading4"/>
      </w:pPr>
      <w:bookmarkStart w:id="18" w:name="Xc6321825f62cf422e3ccadf4f344a8321b0b48e"/>
      <w:bookmarkEnd w:id="17"/>
      <w:r>
        <w:t>Conformal anomaly detection (finite-sample false-positive control)</w:t>
      </w:r>
    </w:p>
    <w:p w14:paraId="75B63CDD" w14:textId="77777777" w:rsidR="0042488A" w:rsidRDefault="00000000">
      <w:pPr>
        <w:pStyle w:val="FirstParagraph"/>
      </w:pPr>
      <w:r>
        <w:t xml:space="preserve">Conformal prediction provides distribution-free control over error events under exchangeability, and modern work targets limited false positives explicitly. </w:t>
      </w:r>
      <w:hyperlink r:id="rId40">
        <w:r>
          <w:rPr>
            <w:rStyle w:val="Hyperlink"/>
          </w:rPr>
          <w:t>[27]</w:t>
        </w:r>
      </w:hyperlink>
      <w:r>
        <w:br/>
        <w:t xml:space="preserve">A client-specific conformal anomaly detector can compute a nonconformity score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oMath>
      <w:r>
        <w:t xml:space="preserve">, output a p‑value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oMath>
      <w:r>
        <w:t xml:space="preserve">, and flag if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Adaptive conformal methods extend this to time series and drift by reweighting or updating calibration. </w:t>
      </w:r>
      <w:hyperlink r:id="rId41">
        <w:r>
          <w:rPr>
            <w:rStyle w:val="Hyperlink"/>
          </w:rPr>
          <w:t>[28]</w:t>
        </w:r>
      </w:hyperlink>
      <w:r>
        <w:br/>
        <w:t xml:space="preserve">This is attractive for FL-IDS because it gives an interpretable “false alarm rate” control knob while avoiding strong distributional assumptions. </w:t>
      </w:r>
      <w:hyperlink r:id="rId42">
        <w:r>
          <w:rPr>
            <w:rStyle w:val="Hyperlink"/>
          </w:rPr>
          <w:t>[29]</w:t>
        </w:r>
      </w:hyperlink>
    </w:p>
    <w:p w14:paraId="6B49D548" w14:textId="77777777" w:rsidR="0042488A" w:rsidRDefault="00000000">
      <w:pPr>
        <w:pStyle w:val="Heading4"/>
      </w:pPr>
      <w:bookmarkStart w:id="19" w:name="Xedb7677649ee28266f45e5f6b012a91aa57e966"/>
      <w:bookmarkEnd w:id="18"/>
      <w:r>
        <w:t>Sequential tests for detection delay (CUSUM / SPC style)</w:t>
      </w:r>
    </w:p>
    <w:p w14:paraId="0A8813AF" w14:textId="77777777" w:rsidR="0042488A" w:rsidRDefault="00000000">
      <w:pPr>
        <w:pStyle w:val="FirstParagraph"/>
      </w:pPr>
      <w:r>
        <w:t xml:space="preserve">For small, persistent shifts (typical of stealthy poisoning), sequential detection can be more powerful than per-round thresholds. Control-chart methods like Shewhart charts and CUSUM are designed to detect shifts while controlling false alarms via the Average Run Length (ARL) concept; CUSUM is classically more sensitive to small shifts than Shewhart in many regimes. </w:t>
      </w:r>
      <w:hyperlink r:id="rId43">
        <w:r>
          <w:rPr>
            <w:rStyle w:val="Hyperlink"/>
          </w:rPr>
          <w:t>[30]</w:t>
        </w:r>
      </w:hyperlink>
      <w:r>
        <w:br/>
        <w:t xml:space="preserve">A per-client CUSUM-style detector can be layered on top of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oMath>
      <w:r>
        <w:t>:</w:t>
      </w:r>
    </w:p>
    <w:p w14:paraId="2167E30A" w14:textId="77777777" w:rsidR="0042488A"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e>
              </m:d>
            </m:e>
          </m:d>
          <m:r>
            <m:rPr>
              <m:sty m:val="p"/>
            </m:rPr>
            <w:rPr>
              <w:rFonts w:ascii="Cambria Math" w:hAnsi="Cambria Math"/>
            </w:rPr>
            <m:t>,</m:t>
          </m:r>
          <m:r>
            <w:rPr>
              <w:rFonts w:ascii="Cambria Math" w:hAnsi="Cambria Math"/>
            </w:rPr>
            <m:t> </m:t>
          </m:r>
          <m:r>
            <m:rPr>
              <m:nor/>
            </m:rPr>
            <m:t xml:space="preserve">alarm if </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oMath>
      </m:oMathPara>
    </w:p>
    <w:p w14:paraId="297DAE88" w14:textId="77777777" w:rsidR="0042488A" w:rsidRDefault="00000000">
      <w:pPr>
        <w:pStyle w:val="FirstParagraph"/>
      </w:pPr>
      <w:r>
        <w:t xml:space="preserve">with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e>
        </m:d>
      </m:oMath>
      <w:r>
        <w:t xml:space="preserve"> set to target per-client false alarm properties. This directly addresses multi‑round consistent attacks that evade “single-round filtering.” </w:t>
      </w:r>
      <w:hyperlink r:id="rId44">
        <w:r>
          <w:rPr>
            <w:rStyle w:val="Hyperlink"/>
          </w:rPr>
          <w:t>[17]</w:t>
        </w:r>
      </w:hyperlink>
    </w:p>
    <w:p w14:paraId="559D5E36" w14:textId="77777777" w:rsidR="0042488A" w:rsidRDefault="00000000">
      <w:pPr>
        <w:pStyle w:val="Heading3"/>
      </w:pPr>
      <w:bookmarkStart w:id="20" w:name="X5bf41c4eaf0b7256d61326aaa4fa69164284615"/>
      <w:bookmarkEnd w:id="15"/>
      <w:bookmarkEnd w:id="19"/>
      <w:r>
        <w:t>Multiple testing across clients and rounds (server-level FPR control)</w:t>
      </w:r>
    </w:p>
    <w:p w14:paraId="11343069" w14:textId="77777777" w:rsidR="0042488A" w:rsidRDefault="00000000">
      <w:pPr>
        <w:pStyle w:val="FirstParagraph"/>
      </w:pPr>
      <w:r>
        <w:t xml:space="preserve">If the server tests many clients each round, even per-client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can yield an unacceptable number of false alarms network‑wide. Two standard remedies:</w:t>
      </w:r>
    </w:p>
    <w:p w14:paraId="1A31EA1D" w14:textId="77777777" w:rsidR="0042488A" w:rsidRDefault="00000000">
      <w:pPr>
        <w:pStyle w:val="Compact"/>
        <w:numPr>
          <w:ilvl w:val="0"/>
          <w:numId w:val="6"/>
        </w:numPr>
      </w:pPr>
      <w:r>
        <w:rPr>
          <w:b/>
          <w:bCs/>
        </w:rPr>
        <w:t>Bonferroni-style:</w:t>
      </w:r>
      <w:r>
        <w:t xml:space="preserve"> set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round</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where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number of participating clients in round </w:t>
      </w:r>
      <m:oMath>
        <m:r>
          <w:rPr>
            <w:rFonts w:ascii="Cambria Math" w:hAnsi="Cambria Math"/>
          </w:rPr>
          <m:t>t</m:t>
        </m:r>
      </m:oMath>
      <w:r>
        <w:t>.</w:t>
      </w:r>
    </w:p>
    <w:p w14:paraId="07EF1655" w14:textId="77777777" w:rsidR="0042488A" w:rsidRDefault="00000000">
      <w:pPr>
        <w:pStyle w:val="Compact"/>
        <w:numPr>
          <w:ilvl w:val="0"/>
          <w:numId w:val="6"/>
        </w:numPr>
      </w:pPr>
      <w:r>
        <w:rPr>
          <w:b/>
          <w:bCs/>
        </w:rPr>
        <w:t>FDR control:</w:t>
      </w:r>
      <w:r>
        <w:t xml:space="preserve"> treat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sSub>
          <m:sSubPr>
            <m:ctrlPr>
              <w:rPr>
                <w:rFonts w:ascii="Cambria Math" w:hAnsi="Cambria Math"/>
              </w:rPr>
            </m:ctrlPr>
          </m:sSubPr>
          <m:e>
            <m:r>
              <m:rPr>
                <m:sty m:val="p"/>
              </m:rPr>
              <w:rPr>
                <w:rFonts w:ascii="Cambria Math" w:hAnsi="Cambria Math"/>
              </w:rPr>
              <m:t>}</m:t>
            </m:r>
          </m:e>
          <m:sub>
            <m:r>
              <w:rPr>
                <w:rFonts w:ascii="Cambria Math" w:hAnsi="Cambria Math"/>
              </w:rPr>
              <m:t>i</m:t>
            </m:r>
          </m:sub>
        </m:sSub>
      </m:oMath>
      <w:r>
        <w:t xml:space="preserve"> as a family and apply FDR procedures, especially natural with conformal p-values. </w:t>
      </w:r>
      <w:hyperlink r:id="rId45">
        <w:r>
          <w:rPr>
            <w:rStyle w:val="Hyperlink"/>
          </w:rPr>
          <w:t>[31]</w:t>
        </w:r>
      </w:hyperlink>
    </w:p>
    <w:p w14:paraId="7A386C67" w14:textId="77777777" w:rsidR="0042488A" w:rsidRDefault="00000000">
      <w:pPr>
        <w:pStyle w:val="Heading3"/>
      </w:pPr>
      <w:bookmarkStart w:id="21" w:name="Xda94d73ff213317d1b16553575577edabd2567a"/>
      <w:bookmarkEnd w:id="20"/>
      <w:r>
        <w:lastRenderedPageBreak/>
        <w:t>Conceptual FPR–threshold tradeoff under heterogeneity</w:t>
      </w:r>
    </w:p>
    <w:p w14:paraId="61A3AE17" w14:textId="77777777" w:rsidR="0042488A" w:rsidRDefault="00000000">
      <w:pPr>
        <w:pStyle w:val="FirstParagraph"/>
      </w:pPr>
      <w:r>
        <w:t>The following conceptual plot illustrates why a single global threshold yields different benign false positive rates for different clients when their benign score distributions differ, motivating client-specific thresholds.</w:t>
      </w:r>
    </w:p>
    <w:p w14:paraId="5F5AA02A" w14:textId="77777777" w:rsidR="0042488A" w:rsidRDefault="00000000">
      <w:pPr>
        <w:pStyle w:val="BodyText"/>
      </w:pPr>
      <w:r>
        <w:t>Conceptual effect of heterogeneity on global vs client-specific thresholds</w:t>
      </w:r>
      <w:r>
        <w:br/>
      </w:r>
    </w:p>
    <w:p w14:paraId="32BF561B" w14:textId="77777777" w:rsidR="0042488A" w:rsidRDefault="00000000">
      <w:pPr>
        <w:pStyle w:val="BodyText"/>
      </w:pPr>
      <w:r>
        <w:t xml:space="preserve">This is a generic consequence of distribution shift: a threshold tuned to one client’s benign score distribution will typically over-flag another client whose benign distribution is shifted—exactly the fairness/non‑IID issue highlighted in federated poisoning detection work. </w:t>
      </w:r>
      <w:hyperlink r:id="rId46">
        <w:r>
          <w:rPr>
            <w:rStyle w:val="Hyperlink"/>
          </w:rPr>
          <w:t>[11]</w:t>
        </w:r>
      </w:hyperlink>
    </w:p>
    <w:p w14:paraId="71572465" w14:textId="77777777" w:rsidR="0042488A" w:rsidRDefault="00000000">
      <w:pPr>
        <w:pStyle w:val="Heading2"/>
      </w:pPr>
      <w:bookmarkStart w:id="22" w:name="X69bb7c1e66a1e28bbd14510377b3b060c4460de"/>
      <w:bookmarkEnd w:id="12"/>
      <w:bookmarkEnd w:id="21"/>
      <w:r>
        <w:t>Algorithm designs and system architectures</w:t>
      </w:r>
    </w:p>
    <w:p w14:paraId="371C27AF" w14:textId="77777777" w:rsidR="0042488A" w:rsidRDefault="00000000">
      <w:pPr>
        <w:pStyle w:val="FirstParagraph"/>
      </w:pPr>
      <w:r>
        <w:t xml:space="preserve">This section turns the statistical framework into implementable algorithms for FL‑IDS. We distinguish </w:t>
      </w:r>
      <w:r>
        <w:rPr>
          <w:b/>
          <w:bCs/>
        </w:rPr>
        <w:t>what the server can see</w:t>
      </w:r>
      <w:r>
        <w:t xml:space="preserve">, because secure aggregation and privacy constraints materially change feasibility. </w:t>
      </w:r>
      <w:hyperlink r:id="rId47">
        <w:r>
          <w:rPr>
            <w:rStyle w:val="Hyperlink"/>
          </w:rPr>
          <w:t>[32]</w:t>
        </w:r>
      </w:hyperlink>
    </w:p>
    <w:p w14:paraId="4E2B3B1E" w14:textId="77777777" w:rsidR="0042488A" w:rsidRDefault="00000000">
      <w:pPr>
        <w:pStyle w:val="Heading3"/>
      </w:pPr>
      <w:bookmarkStart w:id="23" w:name="Xe33968c3b89b267a561e26a2ca05cdd49d0c58c"/>
      <w:r>
        <w:t>Core pipeline: D̂ᵢ-conditioned client-specific thresholding</w:t>
      </w:r>
    </w:p>
    <w:p w14:paraId="6B87BFDE" w14:textId="77777777" w:rsidR="0042488A" w:rsidRDefault="00000000">
      <w:pPr>
        <w:pStyle w:val="FirstParagraph"/>
      </w:pPr>
      <w:r>
        <w:t>A representative server-side design (when individual updates are visible):</w:t>
      </w:r>
    </w:p>
    <w:p w14:paraId="51D89CE9" w14:textId="77777777" w:rsidR="0042488A" w:rsidRDefault="00000000">
      <w:pPr>
        <w:pStyle w:val="BodyText"/>
      </w:pPr>
      <w:r>
        <w:t>1) Maintain per-client state: - D̂ᵢ (estimated distributional statistic), - threshold parameters (e.g., quantile, μᵢ/σᵢ, conformal calibration set), - optional sequential statistic Sᵢ,t (CUSUM/EWMA).</w:t>
      </w:r>
    </w:p>
    <w:p w14:paraId="7E087AD2" w14:textId="77777777" w:rsidR="0042488A" w:rsidRDefault="00000000">
      <w:pPr>
        <w:pStyle w:val="BodyText"/>
      </w:pPr>
      <w:r>
        <w:t xml:space="preserve">2) For each incoming update Δᵢ,t: - compute anomaly score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e>
        </m:d>
      </m:oMath>
      <w:r>
        <w:t xml:space="preserve">, - compute decision </w:t>
      </w:r>
      <m:oMath>
        <m:sSub>
          <m:sSubPr>
            <m:ctrlPr>
              <w:rPr>
                <w:rFonts w:ascii="Cambria Math" w:hAnsi="Cambria Math"/>
              </w:rPr>
            </m:ctrlPr>
          </m:sSubPr>
          <m:e>
            <m:r>
              <w:rPr>
                <w:rFonts w:ascii="Cambria Math" w:hAnsi="Cambria Math"/>
              </w:rPr>
              <m:t>ϕ</m:t>
            </m:r>
          </m:e>
          <m:sub>
            <m:r>
              <w:rPr>
                <w:rFonts w:ascii="Cambria Math" w:hAnsi="Cambria Math"/>
              </w:rPr>
              <m:t>i</m:t>
            </m:r>
            <m:r>
              <m:rPr>
                <m:sty m:val="p"/>
              </m:rPr>
              <w:rPr>
                <w:rFonts w:ascii="Cambria Math" w:hAnsi="Cambria Math"/>
              </w:rPr>
              <m:t>,</m:t>
            </m:r>
            <m:r>
              <w:rPr>
                <w:rFonts w:ascii="Cambria Math" w:hAnsi="Cambria Math"/>
              </w:rPr>
              <m:t>t</m:t>
            </m:r>
          </m:sub>
        </m:sSub>
        <m:r>
          <m:rPr>
            <m:scr m:val="double-struck"/>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i</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e>
            </m:d>
          </m:e>
        </m:d>
      </m:oMath>
      <w:r>
        <w:t xml:space="preserve"> (or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oMath>
      <w:r>
        <w:t>), - quarantine/reject or downweight flagged updates.</w:t>
      </w:r>
    </w:p>
    <w:p w14:paraId="265CC4E0" w14:textId="77777777" w:rsidR="0042488A" w:rsidRDefault="00000000">
      <w:pPr>
        <w:pStyle w:val="BodyText"/>
      </w:pPr>
      <w:r>
        <w:t xml:space="preserve">3) Periodically update D̂ᵢ and τᵢ with robust rules to reduce poisoning of the detector baseline. </w:t>
      </w:r>
      <w:hyperlink r:id="rId48">
        <w:r>
          <w:rPr>
            <w:rStyle w:val="Hyperlink"/>
          </w:rPr>
          <w:t>[33]</w:t>
        </w:r>
      </w:hyperlink>
    </w:p>
    <w:p w14:paraId="4FF97F25" w14:textId="77777777" w:rsidR="0042488A" w:rsidRDefault="00000000">
      <w:pPr>
        <w:pStyle w:val="Heading3"/>
      </w:pPr>
      <w:bookmarkStart w:id="24" w:name="online-vs-batch"/>
      <w:bookmarkEnd w:id="23"/>
      <w:r>
        <w:t>Online vs batch</w:t>
      </w:r>
    </w:p>
    <w:p w14:paraId="318F8A01" w14:textId="77777777" w:rsidR="0042488A" w:rsidRDefault="00000000">
      <w:pPr>
        <w:pStyle w:val="Compact"/>
        <w:numPr>
          <w:ilvl w:val="0"/>
          <w:numId w:val="7"/>
        </w:numPr>
      </w:pPr>
      <w:r>
        <w:rPr>
          <w:b/>
          <w:bCs/>
        </w:rPr>
        <w:t>Online (round-by-round) detection:</w:t>
      </w:r>
      <w:r>
        <w:t xml:space="preserve"> essential for reducing damage; however, stealthy attacks can be designed to pass per-round checks while accumulating effect, motivating sequential and trajectory-based detection. </w:t>
      </w:r>
      <w:hyperlink r:id="rId49">
        <w:r>
          <w:rPr>
            <w:rStyle w:val="Hyperlink"/>
          </w:rPr>
          <w:t>[17]</w:t>
        </w:r>
      </w:hyperlink>
    </w:p>
    <w:p w14:paraId="6AAE20DA" w14:textId="77777777" w:rsidR="0042488A" w:rsidRDefault="00000000">
      <w:pPr>
        <w:pStyle w:val="Compact"/>
        <w:numPr>
          <w:ilvl w:val="0"/>
          <w:numId w:val="7"/>
        </w:numPr>
      </w:pPr>
      <w:r>
        <w:rPr>
          <w:b/>
          <w:bCs/>
        </w:rPr>
        <w:t>Batch/offline detection:</w:t>
      </w:r>
      <w:r>
        <w:t xml:space="preserve"> can use richer statistics but is often too slow for FL‑IDS where compromised updates quickly degrade global IDS models. </w:t>
      </w:r>
      <w:hyperlink r:id="rId50">
        <w:r>
          <w:rPr>
            <w:rStyle w:val="Hyperlink"/>
          </w:rPr>
          <w:t>[23]</w:t>
        </w:r>
      </w:hyperlink>
    </w:p>
    <w:p w14:paraId="352F38E4" w14:textId="77777777" w:rsidR="0042488A" w:rsidRDefault="00000000">
      <w:pPr>
        <w:pStyle w:val="FirstParagraph"/>
      </w:pPr>
      <w:r>
        <w:t xml:space="preserve">Trajectory-based designs (difference trajectories, singular-value features) show one path to online detection of “implicit/alternating” poisoning patterns that evade cosine similarity and clustering. </w:t>
      </w:r>
      <w:hyperlink r:id="rId51">
        <w:r>
          <w:rPr>
            <w:rStyle w:val="Hyperlink"/>
          </w:rPr>
          <w:t>[24]</w:t>
        </w:r>
      </w:hyperlink>
    </w:p>
    <w:p w14:paraId="6FA659AB" w14:textId="77777777" w:rsidR="0042488A" w:rsidRDefault="00000000">
      <w:pPr>
        <w:pStyle w:val="Heading3"/>
      </w:pPr>
      <w:bookmarkStart w:id="25" w:name="X0c9f1e0e94817e48e026ca218a9c0be3b050cac"/>
      <w:bookmarkEnd w:id="24"/>
      <w:r>
        <w:lastRenderedPageBreak/>
        <w:t>Server-scoring vs client-local tests vs federated threshold aggregation</w:t>
      </w:r>
    </w:p>
    <w:p w14:paraId="5BCAE2F7" w14:textId="77777777" w:rsidR="0042488A" w:rsidRDefault="00000000">
      <w:pPr>
        <w:pStyle w:val="Compact"/>
        <w:numPr>
          <w:ilvl w:val="0"/>
          <w:numId w:val="8"/>
        </w:numPr>
      </w:pPr>
      <w:r>
        <w:rPr>
          <w:b/>
          <w:bCs/>
        </w:rPr>
        <w:t>Server-side scoring</w:t>
      </w:r>
      <w:r>
        <w:t xml:space="preserve"> (most powerful) requires visibility of individual updates. Many poisoning and stealth attacks are studied precisely because the server cannot validate local training data, only updates. </w:t>
      </w:r>
      <w:hyperlink r:id="rId52">
        <w:r>
          <w:rPr>
            <w:rStyle w:val="Hyperlink"/>
          </w:rPr>
          <w:t>[34]</w:t>
        </w:r>
      </w:hyperlink>
    </w:p>
    <w:p w14:paraId="11720283" w14:textId="77777777" w:rsidR="0042488A" w:rsidRDefault="00000000">
      <w:pPr>
        <w:pStyle w:val="Compact"/>
        <w:numPr>
          <w:ilvl w:val="0"/>
          <w:numId w:val="8"/>
        </w:numPr>
      </w:pPr>
      <w:r>
        <w:rPr>
          <w:b/>
          <w:bCs/>
        </w:rPr>
        <w:t>Client-local tests</w:t>
      </w:r>
      <w:r>
        <w:t xml:space="preserve"> can work under secure aggregation but are untrusted if clients can be compromised; stronger deployment requires trusted execution/attestation or verifiable computation. </w:t>
      </w:r>
      <w:hyperlink r:id="rId53">
        <w:r>
          <w:rPr>
            <w:rStyle w:val="Hyperlink"/>
          </w:rPr>
          <w:t>[8]</w:t>
        </w:r>
      </w:hyperlink>
    </w:p>
    <w:p w14:paraId="5DD71AD4" w14:textId="77777777" w:rsidR="0042488A" w:rsidRDefault="00000000">
      <w:pPr>
        <w:pStyle w:val="Compact"/>
        <w:numPr>
          <w:ilvl w:val="0"/>
          <w:numId w:val="8"/>
        </w:numPr>
      </w:pPr>
      <w:r>
        <w:rPr>
          <w:b/>
          <w:bCs/>
        </w:rPr>
        <w:t>Federated threshold aggregation</w:t>
      </w:r>
      <w:r>
        <w:t xml:space="preserve"> uses shared summary statistics (not raw data) to compute thresholds; recent work shows how to aggregate summary statistics to choose thresholds robustly under non‑IID. While that work targets anomaly detection on reconstruction error, the </w:t>
      </w:r>
      <w:r>
        <w:rPr>
          <w:i/>
          <w:iCs/>
        </w:rPr>
        <w:t>mechanism</w:t>
      </w:r>
      <w:r>
        <w:t xml:space="preserve"> (summary statistics + federated selection) can be repurposed for update anomaly scores if each client can compute benign/attack score summaries locally. </w:t>
      </w:r>
      <w:hyperlink r:id="rId54">
        <w:r>
          <w:rPr>
            <w:rStyle w:val="Hyperlink"/>
          </w:rPr>
          <w:t>[15]</w:t>
        </w:r>
      </w:hyperlink>
    </w:p>
    <w:p w14:paraId="202D1C8C" w14:textId="77777777" w:rsidR="0042488A" w:rsidRDefault="00000000">
      <w:pPr>
        <w:pStyle w:val="Heading3"/>
      </w:pPr>
      <w:bookmarkStart w:id="26" w:name="Xfdac2c1c609181348402e918af55e1473a89930"/>
      <w:bookmarkEnd w:id="25"/>
      <w:r>
        <w:t>Baseline methods to compare against (required)</w:t>
      </w:r>
    </w:p>
    <w:p w14:paraId="7DACDF0D" w14:textId="77777777" w:rsidR="0042488A" w:rsidRDefault="00000000">
      <w:pPr>
        <w:pStyle w:val="FirstParagraph"/>
      </w:pPr>
      <w:r>
        <w:t>The table below compares candidate detection/defense mechanisms—including baselines—and highlights what makes D̂ᵢ‑conditioned thresholds distinct.</w:t>
      </w:r>
    </w:p>
    <w:p w14:paraId="6BF5FEC4" w14:textId="77777777" w:rsidR="0042488A" w:rsidRDefault="00000000">
      <w:pPr>
        <w:pStyle w:val="BodyText"/>
      </w:pPr>
      <w:r>
        <w:rPr>
          <w:b/>
          <w:bCs/>
        </w:rPr>
        <w:t>Table: Detection algorithm comparison (inputs, outputs, visibility, pros/cons)</w:t>
      </w:r>
    </w:p>
    <w:tbl>
      <w:tblPr>
        <w:tblStyle w:val="Table"/>
        <w:tblW w:w="0" w:type="auto"/>
        <w:tblLook w:val="0020" w:firstRow="1" w:lastRow="0" w:firstColumn="0" w:lastColumn="0" w:noHBand="0" w:noVBand="0"/>
      </w:tblPr>
      <w:tblGrid>
        <w:gridCol w:w="2303"/>
        <w:gridCol w:w="1296"/>
        <w:gridCol w:w="1739"/>
        <w:gridCol w:w="961"/>
        <w:gridCol w:w="1492"/>
        <w:gridCol w:w="1785"/>
      </w:tblGrid>
      <w:tr w:rsidR="0042488A" w14:paraId="643634D5" w14:textId="77777777" w:rsidTr="0042488A">
        <w:trPr>
          <w:cnfStyle w:val="100000000000" w:firstRow="1" w:lastRow="0" w:firstColumn="0" w:lastColumn="0" w:oddVBand="0" w:evenVBand="0" w:oddHBand="0" w:evenHBand="0" w:firstRowFirstColumn="0" w:firstRowLastColumn="0" w:lastRowFirstColumn="0" w:lastRowLastColumn="0"/>
          <w:tblHeader/>
        </w:trPr>
        <w:tc>
          <w:tcPr>
            <w:tcW w:w="0" w:type="auto"/>
          </w:tcPr>
          <w:p w14:paraId="573B8795" w14:textId="77777777" w:rsidR="0042488A" w:rsidRDefault="00000000">
            <w:pPr>
              <w:pStyle w:val="Compact"/>
            </w:pPr>
            <w:r>
              <w:t>Method</w:t>
            </w:r>
          </w:p>
        </w:tc>
        <w:tc>
          <w:tcPr>
            <w:tcW w:w="0" w:type="auto"/>
          </w:tcPr>
          <w:p w14:paraId="21CD4C00" w14:textId="77777777" w:rsidR="0042488A" w:rsidRDefault="00000000">
            <w:pPr>
              <w:pStyle w:val="Compact"/>
            </w:pPr>
            <w:r>
              <w:t>Primary inputs</w:t>
            </w:r>
          </w:p>
        </w:tc>
        <w:tc>
          <w:tcPr>
            <w:tcW w:w="0" w:type="auto"/>
          </w:tcPr>
          <w:p w14:paraId="5BE972EA" w14:textId="77777777" w:rsidR="0042488A" w:rsidRDefault="00000000">
            <w:pPr>
              <w:pStyle w:val="Compact"/>
            </w:pPr>
            <w:r>
              <w:t>Output/action</w:t>
            </w:r>
          </w:p>
        </w:tc>
        <w:tc>
          <w:tcPr>
            <w:tcW w:w="0" w:type="auto"/>
          </w:tcPr>
          <w:p w14:paraId="25EA6FD3" w14:textId="77777777" w:rsidR="0042488A" w:rsidRDefault="00000000">
            <w:pPr>
              <w:pStyle w:val="Compact"/>
            </w:pPr>
            <w:r>
              <w:t>Visibility requirement</w:t>
            </w:r>
          </w:p>
        </w:tc>
        <w:tc>
          <w:tcPr>
            <w:tcW w:w="0" w:type="auto"/>
          </w:tcPr>
          <w:p w14:paraId="2DD0ABF3" w14:textId="77777777" w:rsidR="0042488A" w:rsidRDefault="00000000">
            <w:pPr>
              <w:pStyle w:val="Compact"/>
            </w:pPr>
            <w:r>
              <w:t>Pros</w:t>
            </w:r>
          </w:p>
        </w:tc>
        <w:tc>
          <w:tcPr>
            <w:tcW w:w="0" w:type="auto"/>
          </w:tcPr>
          <w:p w14:paraId="396148E4" w14:textId="77777777" w:rsidR="0042488A" w:rsidRDefault="00000000">
            <w:pPr>
              <w:pStyle w:val="Compact"/>
            </w:pPr>
            <w:r>
              <w:t>Cons / known bypass modes</w:t>
            </w:r>
          </w:p>
        </w:tc>
      </w:tr>
      <w:tr w:rsidR="0042488A" w14:paraId="7857540B" w14:textId="77777777">
        <w:tc>
          <w:tcPr>
            <w:tcW w:w="0" w:type="auto"/>
          </w:tcPr>
          <w:p w14:paraId="0E95BFB3" w14:textId="77777777" w:rsidR="0042488A" w:rsidRDefault="00000000">
            <w:pPr>
              <w:pStyle w:val="Compact"/>
            </w:pPr>
            <w:r>
              <w:t>Global threshold on distance to mean/centroid</w:t>
            </w:r>
          </w:p>
        </w:tc>
        <w:tc>
          <w:tcPr>
            <w:tcW w:w="0" w:type="auto"/>
          </w:tcPr>
          <w:p w14:paraId="21E7F438" w14:textId="77777777" w:rsidR="0042488A" w:rsidRDefault="00000000">
            <w:pPr>
              <w:pStyle w:val="Compact"/>
            </w:pPr>
            <w:r>
              <w:t>Δᵢ,t; global centroid</w:t>
            </w:r>
          </w:p>
        </w:tc>
        <w:tc>
          <w:tcPr>
            <w:tcW w:w="0" w:type="auto"/>
          </w:tcPr>
          <w:p w14:paraId="5A90D90A" w14:textId="77777777" w:rsidR="0042488A" w:rsidRDefault="00000000">
            <w:pPr>
              <w:pStyle w:val="Compact"/>
            </w:pPr>
            <w:r>
              <w:t>Reject/downweight</w:t>
            </w:r>
          </w:p>
        </w:tc>
        <w:tc>
          <w:tcPr>
            <w:tcW w:w="0" w:type="auto"/>
          </w:tcPr>
          <w:p w14:paraId="01E34687" w14:textId="77777777" w:rsidR="0042488A" w:rsidRDefault="00000000">
            <w:pPr>
              <w:pStyle w:val="Compact"/>
            </w:pPr>
            <w:r>
              <w:t>Per-client updates visible</w:t>
            </w:r>
          </w:p>
        </w:tc>
        <w:tc>
          <w:tcPr>
            <w:tcW w:w="0" w:type="auto"/>
          </w:tcPr>
          <w:p w14:paraId="0715601E" w14:textId="77777777" w:rsidR="0042488A" w:rsidRDefault="00000000">
            <w:pPr>
              <w:pStyle w:val="Compact"/>
            </w:pPr>
            <w:r>
              <w:t>Simple; low compute</w:t>
            </w:r>
          </w:p>
        </w:tc>
        <w:tc>
          <w:tcPr>
            <w:tcW w:w="0" w:type="auto"/>
          </w:tcPr>
          <w:p w14:paraId="5A1525C8" w14:textId="77777777" w:rsidR="0042488A" w:rsidRDefault="00000000">
            <w:pPr>
              <w:pStyle w:val="Compact"/>
            </w:pPr>
            <w:r>
              <w:t xml:space="preserve">Can discriminate minority/non‑IID benign clients and/or be bypassed by stealthy “in-band” updates. </w:t>
            </w:r>
            <w:hyperlink r:id="rId55">
              <w:r>
                <w:rPr>
                  <w:rStyle w:val="Hyperlink"/>
                </w:rPr>
                <w:t>[35]</w:t>
              </w:r>
            </w:hyperlink>
          </w:p>
        </w:tc>
      </w:tr>
      <w:tr w:rsidR="0042488A" w14:paraId="6AD1B50F" w14:textId="77777777">
        <w:tc>
          <w:tcPr>
            <w:tcW w:w="0" w:type="auto"/>
          </w:tcPr>
          <w:p w14:paraId="49401837" w14:textId="77777777" w:rsidR="0042488A" w:rsidRDefault="00000000">
            <w:pPr>
              <w:pStyle w:val="Compact"/>
            </w:pPr>
            <w:r>
              <w:t>Similarity/clustering outlier detection</w:t>
            </w:r>
          </w:p>
        </w:tc>
        <w:tc>
          <w:tcPr>
            <w:tcW w:w="0" w:type="auto"/>
          </w:tcPr>
          <w:p w14:paraId="3AEDD750" w14:textId="77777777" w:rsidR="0042488A" w:rsidRDefault="00000000">
            <w:pPr>
              <w:pStyle w:val="Compact"/>
            </w:pPr>
            <w:r>
              <w:t>Pairwise distances/cosine; clusters</w:t>
            </w:r>
          </w:p>
        </w:tc>
        <w:tc>
          <w:tcPr>
            <w:tcW w:w="0" w:type="auto"/>
          </w:tcPr>
          <w:p w14:paraId="5169F007" w14:textId="77777777" w:rsidR="0042488A" w:rsidRDefault="00000000">
            <w:pPr>
              <w:pStyle w:val="Compact"/>
            </w:pPr>
            <w:r>
              <w:t>Remove cluster/outliers</w:t>
            </w:r>
          </w:p>
        </w:tc>
        <w:tc>
          <w:tcPr>
            <w:tcW w:w="0" w:type="auto"/>
          </w:tcPr>
          <w:p w14:paraId="682A1FD2" w14:textId="77777777" w:rsidR="0042488A" w:rsidRDefault="00000000">
            <w:pPr>
              <w:pStyle w:val="Compact"/>
            </w:pPr>
            <w:r>
              <w:t>Per-client updates visible</w:t>
            </w:r>
          </w:p>
        </w:tc>
        <w:tc>
          <w:tcPr>
            <w:tcW w:w="0" w:type="auto"/>
          </w:tcPr>
          <w:p w14:paraId="3313AEFB" w14:textId="77777777" w:rsidR="0042488A" w:rsidRDefault="00000000">
            <w:pPr>
              <w:pStyle w:val="Compact"/>
            </w:pPr>
            <w:r>
              <w:t>Captures multi-modal benign sets</w:t>
            </w:r>
          </w:p>
        </w:tc>
        <w:tc>
          <w:tcPr>
            <w:tcW w:w="0" w:type="auto"/>
          </w:tcPr>
          <w:p w14:paraId="152C980C" w14:textId="77777777" w:rsidR="0042488A" w:rsidRDefault="00000000">
            <w:pPr>
              <w:pStyle w:val="Compact"/>
            </w:pPr>
            <w:r>
              <w:t xml:space="preserve">Implicit/alternating poisoning can bypass cosine similarity/clustering; attacker can adapt to constraints. </w:t>
            </w:r>
            <w:hyperlink r:id="rId56">
              <w:r>
                <w:rPr>
                  <w:rStyle w:val="Hyperlink"/>
                </w:rPr>
                <w:t>[36]</w:t>
              </w:r>
            </w:hyperlink>
          </w:p>
        </w:tc>
      </w:tr>
      <w:tr w:rsidR="0042488A" w14:paraId="750190B6" w14:textId="77777777">
        <w:tc>
          <w:tcPr>
            <w:tcW w:w="0" w:type="auto"/>
          </w:tcPr>
          <w:p w14:paraId="0A1C0334" w14:textId="77777777" w:rsidR="0042488A" w:rsidRDefault="00000000">
            <w:pPr>
              <w:pStyle w:val="Compact"/>
            </w:pPr>
            <w:r>
              <w:lastRenderedPageBreak/>
              <w:t>Robust aggregation (Krum-family)</w:t>
            </w:r>
          </w:p>
        </w:tc>
        <w:tc>
          <w:tcPr>
            <w:tcW w:w="0" w:type="auto"/>
          </w:tcPr>
          <w:p w14:paraId="6FB39404" w14:textId="77777777" w:rsidR="0042488A" w:rsidRDefault="00000000">
            <w:pPr>
              <w:pStyle w:val="Compact"/>
            </w:pPr>
            <w:r>
              <w:t>Pairwise distances among updates</w:t>
            </w:r>
          </w:p>
        </w:tc>
        <w:tc>
          <w:tcPr>
            <w:tcW w:w="0" w:type="auto"/>
          </w:tcPr>
          <w:p w14:paraId="57424B26" w14:textId="77777777" w:rsidR="0042488A" w:rsidRDefault="00000000">
            <w:pPr>
              <w:pStyle w:val="Compact"/>
            </w:pPr>
            <w:r>
              <w:t>Select subset to aggregate</w:t>
            </w:r>
          </w:p>
        </w:tc>
        <w:tc>
          <w:tcPr>
            <w:tcW w:w="0" w:type="auto"/>
          </w:tcPr>
          <w:p w14:paraId="2549C7A6" w14:textId="77777777" w:rsidR="0042488A" w:rsidRDefault="00000000">
            <w:pPr>
              <w:pStyle w:val="Compact"/>
            </w:pPr>
            <w:r>
              <w:t>Per-client updates visible</w:t>
            </w:r>
          </w:p>
        </w:tc>
        <w:tc>
          <w:tcPr>
            <w:tcW w:w="0" w:type="auto"/>
          </w:tcPr>
          <w:p w14:paraId="1A7CF2CA" w14:textId="77777777" w:rsidR="0042488A" w:rsidRDefault="00000000">
            <w:pPr>
              <w:pStyle w:val="Compact"/>
            </w:pPr>
            <w:r>
              <w:t>Byzantine robustness under assumptions</w:t>
            </w:r>
          </w:p>
        </w:tc>
        <w:tc>
          <w:tcPr>
            <w:tcW w:w="0" w:type="auto"/>
          </w:tcPr>
          <w:p w14:paraId="467AEDCC" w14:textId="77777777" w:rsidR="0042488A" w:rsidRDefault="00000000">
            <w:pPr>
              <w:pStyle w:val="Compact"/>
            </w:pPr>
            <w:r>
              <w:t xml:space="preserve">Assumptions can fail for heterogeneous benign updates; high-dimensional issues noted in poisoning detection literature. </w:t>
            </w:r>
            <w:hyperlink r:id="rId57">
              <w:r>
                <w:rPr>
                  <w:rStyle w:val="Hyperlink"/>
                </w:rPr>
                <w:t>[37]</w:t>
              </w:r>
            </w:hyperlink>
          </w:p>
        </w:tc>
      </w:tr>
      <w:tr w:rsidR="0042488A" w14:paraId="209A622D" w14:textId="77777777">
        <w:tc>
          <w:tcPr>
            <w:tcW w:w="0" w:type="auto"/>
          </w:tcPr>
          <w:p w14:paraId="58197BA5" w14:textId="77777777" w:rsidR="0042488A" w:rsidRDefault="00000000">
            <w:pPr>
              <w:pStyle w:val="Compact"/>
            </w:pPr>
            <w:r>
              <w:t>FLDetector-style consistency checking</w:t>
            </w:r>
          </w:p>
        </w:tc>
        <w:tc>
          <w:tcPr>
            <w:tcW w:w="0" w:type="auto"/>
          </w:tcPr>
          <w:p w14:paraId="64A94793" w14:textId="77777777" w:rsidR="0042488A" w:rsidRDefault="00000000">
            <w:pPr>
              <w:pStyle w:val="Compact"/>
            </w:pPr>
            <w:r>
              <w:t>Client update history; predicted update vs actual</w:t>
            </w:r>
          </w:p>
        </w:tc>
        <w:tc>
          <w:tcPr>
            <w:tcW w:w="0" w:type="auto"/>
          </w:tcPr>
          <w:p w14:paraId="4D2BBC0D" w14:textId="77777777" w:rsidR="0042488A" w:rsidRDefault="00000000">
            <w:pPr>
              <w:pStyle w:val="Compact"/>
            </w:pPr>
            <w:r>
              <w:t>Remove malicious clients</w:t>
            </w:r>
          </w:p>
        </w:tc>
        <w:tc>
          <w:tcPr>
            <w:tcW w:w="0" w:type="auto"/>
          </w:tcPr>
          <w:p w14:paraId="21DA1CE9" w14:textId="77777777" w:rsidR="0042488A" w:rsidRDefault="00000000">
            <w:pPr>
              <w:pStyle w:val="Compact"/>
            </w:pPr>
            <w:r>
              <w:t>Per-client updates + history</w:t>
            </w:r>
          </w:p>
        </w:tc>
        <w:tc>
          <w:tcPr>
            <w:tcW w:w="0" w:type="auto"/>
          </w:tcPr>
          <w:p w14:paraId="4793D67C" w14:textId="77777777" w:rsidR="0042488A" w:rsidRDefault="00000000">
            <w:pPr>
              <w:pStyle w:val="Compact"/>
            </w:pPr>
            <w:r>
              <w:t>Uses cross-round information</w:t>
            </w:r>
          </w:p>
        </w:tc>
        <w:tc>
          <w:tcPr>
            <w:tcW w:w="0" w:type="auto"/>
          </w:tcPr>
          <w:p w14:paraId="0D982399" w14:textId="77777777" w:rsidR="0042488A" w:rsidRDefault="00000000">
            <w:pPr>
              <w:pStyle w:val="Compact"/>
            </w:pPr>
            <w:r>
              <w:t xml:space="preserve">Multi-round consistent attackers (e.g., PoisonedFL) can make updates consistent and evade. </w:t>
            </w:r>
            <w:hyperlink r:id="rId58">
              <w:r>
                <w:rPr>
                  <w:rStyle w:val="Hyperlink"/>
                </w:rPr>
                <w:t>[38]</w:t>
              </w:r>
            </w:hyperlink>
          </w:p>
        </w:tc>
      </w:tr>
      <w:tr w:rsidR="0042488A" w14:paraId="2B8A3842" w14:textId="77777777">
        <w:tc>
          <w:tcPr>
            <w:tcW w:w="0" w:type="auto"/>
          </w:tcPr>
          <w:p w14:paraId="5DB517A9" w14:textId="77777777" w:rsidR="0042488A" w:rsidRDefault="00000000">
            <w:pPr>
              <w:pStyle w:val="Compact"/>
            </w:pPr>
            <w:r>
              <w:t>Trajectory anomaly detection</w:t>
            </w:r>
          </w:p>
        </w:tc>
        <w:tc>
          <w:tcPr>
            <w:tcW w:w="0" w:type="auto"/>
          </w:tcPr>
          <w:p w14:paraId="07599AE5" w14:textId="77777777" w:rsidR="0042488A" w:rsidRDefault="00000000">
            <w:pPr>
              <w:pStyle w:val="Compact"/>
            </w:pPr>
            <w:r>
              <w:t>Update matrices over rounds; difference trajectories; SVD features</w:t>
            </w:r>
          </w:p>
        </w:tc>
        <w:tc>
          <w:tcPr>
            <w:tcW w:w="0" w:type="auto"/>
          </w:tcPr>
          <w:p w14:paraId="1397F745" w14:textId="77777777" w:rsidR="0042488A" w:rsidRDefault="00000000">
            <w:pPr>
              <w:pStyle w:val="Compact"/>
            </w:pPr>
            <w:r>
              <w:t>Detect malicious clients online</w:t>
            </w:r>
          </w:p>
        </w:tc>
        <w:tc>
          <w:tcPr>
            <w:tcW w:w="0" w:type="auto"/>
          </w:tcPr>
          <w:p w14:paraId="47F5CEC2" w14:textId="77777777" w:rsidR="0042488A" w:rsidRDefault="00000000">
            <w:pPr>
              <w:pStyle w:val="Compact"/>
            </w:pPr>
            <w:r>
              <w:t>Per-client updates + history</w:t>
            </w:r>
          </w:p>
        </w:tc>
        <w:tc>
          <w:tcPr>
            <w:tcW w:w="0" w:type="auto"/>
          </w:tcPr>
          <w:p w14:paraId="3C09C743" w14:textId="77777777" w:rsidR="0042488A" w:rsidRDefault="00000000">
            <w:pPr>
              <w:pStyle w:val="Compact"/>
            </w:pPr>
            <w:r>
              <w:t>Targets “implicit/alternating” stealth patterns</w:t>
            </w:r>
          </w:p>
        </w:tc>
        <w:tc>
          <w:tcPr>
            <w:tcW w:w="0" w:type="auto"/>
          </w:tcPr>
          <w:p w14:paraId="5E2E2690" w14:textId="77777777" w:rsidR="0042488A" w:rsidRDefault="00000000">
            <w:pPr>
              <w:pStyle w:val="Compact"/>
            </w:pPr>
            <w:r>
              <w:t xml:space="preserve">Demonstrated primarily on vision benchmarks; needs adaptation/benchmarking for IoT FL‑IDS. </w:t>
            </w:r>
            <w:hyperlink r:id="rId59">
              <w:r>
                <w:rPr>
                  <w:rStyle w:val="Hyperlink"/>
                </w:rPr>
                <w:t>[24]</w:t>
              </w:r>
            </w:hyperlink>
          </w:p>
        </w:tc>
      </w:tr>
      <w:tr w:rsidR="0042488A" w14:paraId="2EC8DCF9" w14:textId="77777777">
        <w:tc>
          <w:tcPr>
            <w:tcW w:w="0" w:type="auto"/>
          </w:tcPr>
          <w:p w14:paraId="709CFC90" w14:textId="77777777" w:rsidR="0042488A" w:rsidRDefault="00000000">
            <w:pPr>
              <w:pStyle w:val="Compact"/>
            </w:pPr>
            <w:r>
              <w:t>Fair attack detection via clustering minorities (microaggregation/GMM/DBSCAN)</w:t>
            </w:r>
          </w:p>
        </w:tc>
        <w:tc>
          <w:tcPr>
            <w:tcW w:w="0" w:type="auto"/>
          </w:tcPr>
          <w:p w14:paraId="5192102E" w14:textId="77777777" w:rsidR="0042488A" w:rsidRDefault="00000000">
            <w:pPr>
              <w:pStyle w:val="Compact"/>
            </w:pPr>
            <w:r>
              <w:t>Update vectors; clustering</w:t>
            </w:r>
          </w:p>
        </w:tc>
        <w:tc>
          <w:tcPr>
            <w:tcW w:w="0" w:type="auto"/>
          </w:tcPr>
          <w:p w14:paraId="6B8395E4" w14:textId="77777777" w:rsidR="0042488A" w:rsidRDefault="00000000">
            <w:pPr>
              <w:pStyle w:val="Compact"/>
            </w:pPr>
            <w:r>
              <w:t>Keep clustered minority; discard isolated</w:t>
            </w:r>
          </w:p>
        </w:tc>
        <w:tc>
          <w:tcPr>
            <w:tcW w:w="0" w:type="auto"/>
          </w:tcPr>
          <w:p w14:paraId="321A3C39" w14:textId="77777777" w:rsidR="0042488A" w:rsidRDefault="00000000">
            <w:pPr>
              <w:pStyle w:val="Compact"/>
            </w:pPr>
            <w:r>
              <w:t>Per-client updates visible</w:t>
            </w:r>
          </w:p>
        </w:tc>
        <w:tc>
          <w:tcPr>
            <w:tcW w:w="0" w:type="auto"/>
          </w:tcPr>
          <w:p w14:paraId="33851BDE" w14:textId="77777777" w:rsidR="0042488A" w:rsidRDefault="00000000">
            <w:pPr>
              <w:pStyle w:val="Compact"/>
            </w:pPr>
            <w:r>
              <w:t>Explicitly addresses non‑IID/minority fairness issue</w:t>
            </w:r>
          </w:p>
        </w:tc>
        <w:tc>
          <w:tcPr>
            <w:tcW w:w="0" w:type="auto"/>
          </w:tcPr>
          <w:p w14:paraId="148AE03A" w14:textId="77777777" w:rsidR="0042488A" w:rsidRDefault="00000000">
            <w:pPr>
              <w:pStyle w:val="Compact"/>
            </w:pPr>
            <w:r>
              <w:t xml:space="preserve">More complex; depends on clustering stability; may struggle with adaptive attackers that mimic minority clusters. </w:t>
            </w:r>
            <w:hyperlink r:id="rId60">
              <w:r>
                <w:rPr>
                  <w:rStyle w:val="Hyperlink"/>
                </w:rPr>
                <w:t>[11]</w:t>
              </w:r>
            </w:hyperlink>
          </w:p>
        </w:tc>
      </w:tr>
      <w:tr w:rsidR="0042488A" w14:paraId="73A698A7" w14:textId="77777777">
        <w:tc>
          <w:tcPr>
            <w:tcW w:w="0" w:type="auto"/>
          </w:tcPr>
          <w:p w14:paraId="6AD2165E" w14:textId="77777777" w:rsidR="0042488A" w:rsidRDefault="00000000">
            <w:pPr>
              <w:pStyle w:val="Compact"/>
            </w:pPr>
            <w:r>
              <w:t>Staged detection with σ-rule activation</w:t>
            </w:r>
          </w:p>
        </w:tc>
        <w:tc>
          <w:tcPr>
            <w:tcW w:w="0" w:type="auto"/>
          </w:tcPr>
          <w:p w14:paraId="18B11328" w14:textId="77777777" w:rsidR="0042488A" w:rsidRDefault="00000000">
            <w:pPr>
              <w:pStyle w:val="Compact"/>
            </w:pPr>
            <w:r>
              <w:t xml:space="preserve">Cross-round cache + </w:t>
            </w:r>
            <w:r>
              <w:lastRenderedPageBreak/>
              <w:t>L2 scores; μ/σ</w:t>
            </w:r>
          </w:p>
        </w:tc>
        <w:tc>
          <w:tcPr>
            <w:tcW w:w="0" w:type="auto"/>
          </w:tcPr>
          <w:p w14:paraId="5C389483" w14:textId="77777777" w:rsidR="0042488A" w:rsidRDefault="00000000">
            <w:pPr>
              <w:pStyle w:val="Compact"/>
            </w:pPr>
            <w:r>
              <w:lastRenderedPageBreak/>
              <w:t xml:space="preserve">Activate only on suspicion; then remove </w:t>
            </w:r>
            <w:r>
              <w:lastRenderedPageBreak/>
              <w:t>via μ+λσ</w:t>
            </w:r>
          </w:p>
        </w:tc>
        <w:tc>
          <w:tcPr>
            <w:tcW w:w="0" w:type="auto"/>
          </w:tcPr>
          <w:p w14:paraId="01A63B29" w14:textId="77777777" w:rsidR="0042488A" w:rsidRDefault="00000000">
            <w:pPr>
              <w:pStyle w:val="Compact"/>
            </w:pPr>
            <w:r>
              <w:lastRenderedPageBreak/>
              <w:t>Per-client update</w:t>
            </w:r>
            <w:r>
              <w:lastRenderedPageBreak/>
              <w:t>s; server-side</w:t>
            </w:r>
          </w:p>
        </w:tc>
        <w:tc>
          <w:tcPr>
            <w:tcW w:w="0" w:type="auto"/>
          </w:tcPr>
          <w:p w14:paraId="61385801" w14:textId="77777777" w:rsidR="0042488A" w:rsidRDefault="00000000">
            <w:pPr>
              <w:pStyle w:val="Compact"/>
            </w:pPr>
            <w:r>
              <w:lastRenderedPageBreak/>
              <w:t xml:space="preserve">Avoids harming benign </w:t>
            </w:r>
            <w:r>
              <w:lastRenderedPageBreak/>
              <w:t>rounds; adds verification (ZKP)</w:t>
            </w:r>
          </w:p>
        </w:tc>
        <w:tc>
          <w:tcPr>
            <w:tcW w:w="0" w:type="auto"/>
          </w:tcPr>
          <w:p w14:paraId="4994FC79" w14:textId="77777777" w:rsidR="0042488A" w:rsidRDefault="00000000">
            <w:pPr>
              <w:pStyle w:val="Compact"/>
            </w:pPr>
            <w:r>
              <w:lastRenderedPageBreak/>
              <w:t xml:space="preserve">Uses global μ/σ unless extended; may </w:t>
            </w:r>
            <w:r>
              <w:lastRenderedPageBreak/>
              <w:t xml:space="preserve">still conflate benign heterogeneity with poison without D̂ᵢ conditioning. </w:t>
            </w:r>
            <w:hyperlink r:id="rId61">
              <w:r>
                <w:rPr>
                  <w:rStyle w:val="Hyperlink"/>
                </w:rPr>
                <w:t>[8]</w:t>
              </w:r>
            </w:hyperlink>
          </w:p>
        </w:tc>
      </w:tr>
      <w:tr w:rsidR="0042488A" w14:paraId="0DAE83D3" w14:textId="77777777">
        <w:tc>
          <w:tcPr>
            <w:tcW w:w="0" w:type="auto"/>
          </w:tcPr>
          <w:p w14:paraId="593B31AF" w14:textId="77777777" w:rsidR="0042488A" w:rsidRDefault="00000000">
            <w:pPr>
              <w:pStyle w:val="Compact"/>
            </w:pPr>
            <w:r>
              <w:lastRenderedPageBreak/>
              <w:t>D̂ᵢ‑conditioned client-specific thresholds (proposed class)</w:t>
            </w:r>
          </w:p>
        </w:tc>
        <w:tc>
          <w:tcPr>
            <w:tcW w:w="0" w:type="auto"/>
          </w:tcPr>
          <w:p w14:paraId="4EEDD985" w14:textId="77777777" w:rsidR="0042488A" w:rsidRDefault="00000000">
            <w:pPr>
              <w:pStyle w:val="Compact"/>
            </w:pPr>
            <w:r>
              <w:t>Δᵢ,t + per-client D̂ᵢ + calibration state</w:t>
            </w:r>
          </w:p>
        </w:tc>
        <w:tc>
          <w:tcPr>
            <w:tcW w:w="0" w:type="auto"/>
          </w:tcPr>
          <w:p w14:paraId="15BEA015" w14:textId="77777777" w:rsidR="0042488A" w:rsidRDefault="00000000">
            <w:pPr>
              <w:pStyle w:val="Compact"/>
            </w:pPr>
            <w:r>
              <w:t>Accept/reject/quarantine per client; optional sequential</w:t>
            </w:r>
          </w:p>
        </w:tc>
        <w:tc>
          <w:tcPr>
            <w:tcW w:w="0" w:type="auto"/>
          </w:tcPr>
          <w:p w14:paraId="4D0FF429" w14:textId="77777777" w:rsidR="0042488A" w:rsidRDefault="00000000">
            <w:pPr>
              <w:pStyle w:val="Compact"/>
            </w:pPr>
            <w:r>
              <w:t>Depends: server-side needs per-client updates; secure aggregation needs alternative</w:t>
            </w:r>
          </w:p>
        </w:tc>
        <w:tc>
          <w:tcPr>
            <w:tcW w:w="0" w:type="auto"/>
          </w:tcPr>
          <w:p w14:paraId="78169B03" w14:textId="77777777" w:rsidR="0042488A" w:rsidRDefault="00000000">
            <w:pPr>
              <w:pStyle w:val="Compact"/>
            </w:pPr>
            <w:r>
              <w:t>Controls per-client FPR under heterogeneity; targets masquerade (globally in-band, locally out-of-band)</w:t>
            </w:r>
          </w:p>
        </w:tc>
        <w:tc>
          <w:tcPr>
            <w:tcW w:w="0" w:type="auto"/>
          </w:tcPr>
          <w:p w14:paraId="1645C54B" w14:textId="77777777" w:rsidR="0042488A" w:rsidRDefault="00000000">
            <w:pPr>
              <w:pStyle w:val="Compact"/>
            </w:pPr>
            <w:r>
              <w:t xml:space="preserve">Needs robust estimation of D̂ᵢ; adaptive attackers may target the client band; secure aggregation reduces visibility. </w:t>
            </w:r>
            <w:hyperlink r:id="rId62">
              <w:r>
                <w:rPr>
                  <w:rStyle w:val="Hyperlink"/>
                </w:rPr>
                <w:t>[39]</w:t>
              </w:r>
            </w:hyperlink>
          </w:p>
        </w:tc>
      </w:tr>
    </w:tbl>
    <w:p w14:paraId="7B03E441" w14:textId="77777777" w:rsidR="0042488A" w:rsidRDefault="00000000">
      <w:pPr>
        <w:pStyle w:val="Heading3"/>
      </w:pPr>
      <w:bookmarkStart w:id="27" w:name="X1de1c6ab5f2a309fb732d9d0c83e1f809504ee7"/>
      <w:bookmarkEnd w:id="26"/>
      <w:r>
        <w:t>Mermaid flowchart of a D̂ᵢ‑conditioned detection pipeline</w:t>
      </w:r>
    </w:p>
    <w:p w14:paraId="5F589111" w14:textId="77777777" w:rsidR="0042488A" w:rsidRDefault="00000000">
      <w:pPr>
        <w:pStyle w:val="SourceCode"/>
      </w:pPr>
      <w:r>
        <w:rPr>
          <w:rStyle w:val="VerbatimChar"/>
        </w:rPr>
        <w:t>flowchart TD</w:t>
      </w:r>
      <w:r>
        <w:br/>
      </w:r>
      <w:r>
        <w:rPr>
          <w:rStyle w:val="VerbatimChar"/>
        </w:rPr>
        <w:t xml:space="preserve">  A[Client i local IoT data D_i] --&gt; B[Local training: compute update Δ_i,t]</w:t>
      </w:r>
      <w:r>
        <w:br/>
      </w:r>
      <w:r>
        <w:rPr>
          <w:rStyle w:val="VerbatimChar"/>
        </w:rPr>
        <w:t xml:space="preserve">  B --&gt; C[Client produces/updates Dhat_i (estimated per-client statistic)]</w:t>
      </w:r>
      <w:r>
        <w:br/>
      </w:r>
      <w:r>
        <w:rPr>
          <w:rStyle w:val="VerbatimChar"/>
        </w:rPr>
        <w:t xml:space="preserve">  C --&gt; D[Send Δ_i,t and (optionally) summary stats for Dhat_i]</w:t>
      </w:r>
      <w:r>
        <w:br/>
      </w:r>
      <w:r>
        <w:rPr>
          <w:rStyle w:val="VerbatimChar"/>
        </w:rPr>
        <w:t xml:space="preserve">  D --&gt; E[Server: per-client state store (Dhat_i, threshold params, history)]</w:t>
      </w:r>
      <w:r>
        <w:br/>
      </w:r>
      <w:r>
        <w:rPr>
          <w:rStyle w:val="VerbatimChar"/>
        </w:rPr>
        <w:t xml:space="preserve">  E --&gt; F[Compute anomaly score A_i,t = s(Δ_i,t ; Dhat_i)]</w:t>
      </w:r>
      <w:r>
        <w:br/>
      </w:r>
      <w:r>
        <w:rPr>
          <w:rStyle w:val="VerbatimChar"/>
        </w:rPr>
        <w:t xml:space="preserve">  F --&gt; G{A_i,t &gt; τ_i(Dhat_i)? or p_i,t &lt;= α_i}</w:t>
      </w:r>
      <w:r>
        <w:br/>
      </w:r>
      <w:r>
        <w:rPr>
          <w:rStyle w:val="VerbatimChar"/>
        </w:rPr>
        <w:t xml:space="preserve">  G --&gt;|No| H[Accept update; aggregate]</w:t>
      </w:r>
      <w:r>
        <w:br/>
      </w:r>
      <w:r>
        <w:rPr>
          <w:rStyle w:val="VerbatimChar"/>
        </w:rPr>
        <w:t xml:space="preserve">  G --&gt;|Yes| I[Quarantine / reject / downweight]</w:t>
      </w:r>
      <w:r>
        <w:br/>
      </w:r>
      <w:r>
        <w:rPr>
          <w:rStyle w:val="VerbatimChar"/>
        </w:rPr>
        <w:t xml:space="preserve">  I --&gt; J[Optional: second-stage verification or deeper inspection]</w:t>
      </w:r>
      <w:r>
        <w:br/>
      </w:r>
      <w:r>
        <w:rPr>
          <w:rStyle w:val="VerbatimChar"/>
        </w:rPr>
        <w:t xml:space="preserve">  H --&gt; K[Update global IDS model]</w:t>
      </w:r>
      <w:r>
        <w:br/>
      </w:r>
      <w:r>
        <w:rPr>
          <w:rStyle w:val="VerbatimChar"/>
        </w:rPr>
        <w:t xml:space="preserve">  K --&gt; L[Broadcast global model to clients]</w:t>
      </w:r>
      <w:r>
        <w:br/>
      </w:r>
      <w:r>
        <w:rPr>
          <w:rStyle w:val="VerbatimChar"/>
        </w:rPr>
        <w:t xml:space="preserve">  J --&gt; K</w:t>
      </w:r>
    </w:p>
    <w:p w14:paraId="63C211F7" w14:textId="77777777" w:rsidR="0042488A" w:rsidRDefault="00000000">
      <w:pPr>
        <w:pStyle w:val="FirstParagraph"/>
      </w:pPr>
      <w:r>
        <w:t xml:space="preserve">This flow explicitly separates (i) estimating D̂ᵢ, (ii) computing client-conditioned scores, and (iii) thresholding with controlled false alarm targets—elements motivated by both fair detection under non‑IID and federated thresholding under heterogeneity. </w:t>
      </w:r>
      <w:hyperlink r:id="rId63">
        <w:r>
          <w:rPr>
            <w:rStyle w:val="Hyperlink"/>
          </w:rPr>
          <w:t>[40]</w:t>
        </w:r>
      </w:hyperlink>
    </w:p>
    <w:p w14:paraId="273813F0" w14:textId="77777777" w:rsidR="0042488A" w:rsidRDefault="00000000">
      <w:pPr>
        <w:pStyle w:val="Heading2"/>
      </w:pPr>
      <w:bookmarkStart w:id="28" w:name="X7e2e18c2a8f7880fc7b93e94db9026ecdc63758"/>
      <w:bookmarkEnd w:id="22"/>
      <w:bookmarkEnd w:id="27"/>
      <w:r>
        <w:lastRenderedPageBreak/>
        <w:t>Datasets, non‑IID partitioning, and evaluation protocols</w:t>
      </w:r>
    </w:p>
    <w:p w14:paraId="2D61A48C" w14:textId="77777777" w:rsidR="0042488A" w:rsidRDefault="00000000">
      <w:pPr>
        <w:pStyle w:val="FirstParagraph"/>
      </w:pPr>
      <w:r>
        <w:t>This section provides practical experimental design guidance for IoT FL‑IDS and explicitly lists assumptions where unspecified.</w:t>
      </w:r>
    </w:p>
    <w:p w14:paraId="15F257D8" w14:textId="77777777" w:rsidR="0042488A" w:rsidRDefault="00000000">
      <w:pPr>
        <w:pStyle w:val="Heading3"/>
      </w:pPr>
      <w:bookmarkStart w:id="29" w:name="Xdf087348d427b18d71ca2d149c3902a655abed6"/>
      <w:r>
        <w:t>Candidate IoT datasets and realistic federation partitioning</w:t>
      </w:r>
    </w:p>
    <w:p w14:paraId="0D20A9CD" w14:textId="77777777" w:rsidR="0042488A" w:rsidRDefault="00000000">
      <w:pPr>
        <w:pStyle w:val="FirstParagraph"/>
      </w:pPr>
      <w:r>
        <w:t xml:space="preserve">When evaluating masquerade detection, realism depends more on </w:t>
      </w:r>
      <w:r>
        <w:rPr>
          <w:b/>
          <w:bCs/>
        </w:rPr>
        <w:t>federation construction</w:t>
      </w:r>
      <w:r>
        <w:t xml:space="preserve"> than on the raw dataset alone. IoT datasets often include multiple devices, scenarios, and attack families—these naturally induce non‑IID client distributions when partitioned by device, topology role, or time. </w:t>
      </w:r>
      <w:hyperlink r:id="rId64">
        <w:r>
          <w:rPr>
            <w:rStyle w:val="Hyperlink"/>
          </w:rPr>
          <w:t>[41]</w:t>
        </w:r>
      </w:hyperlink>
    </w:p>
    <w:p w14:paraId="391ED705" w14:textId="77777777" w:rsidR="0042488A" w:rsidRDefault="00000000">
      <w:pPr>
        <w:pStyle w:val="BodyText"/>
      </w:pPr>
      <w:r>
        <w:rPr>
          <w:b/>
          <w:bCs/>
        </w:rPr>
        <w:t>Table: Candidate datasets and partitioning schemes</w:t>
      </w:r>
    </w:p>
    <w:tbl>
      <w:tblPr>
        <w:tblStyle w:val="Table"/>
        <w:tblW w:w="0" w:type="auto"/>
        <w:tblLook w:val="0020" w:firstRow="1" w:lastRow="0" w:firstColumn="0" w:lastColumn="0" w:noHBand="0" w:noVBand="0"/>
      </w:tblPr>
      <w:tblGrid>
        <w:gridCol w:w="1566"/>
        <w:gridCol w:w="3070"/>
        <w:gridCol w:w="2132"/>
        <w:gridCol w:w="2808"/>
      </w:tblGrid>
      <w:tr w:rsidR="0042488A" w14:paraId="00DDE544" w14:textId="77777777" w:rsidTr="0042488A">
        <w:trPr>
          <w:cnfStyle w:val="100000000000" w:firstRow="1" w:lastRow="0" w:firstColumn="0" w:lastColumn="0" w:oddVBand="0" w:evenVBand="0" w:oddHBand="0" w:evenHBand="0" w:firstRowFirstColumn="0" w:firstRowLastColumn="0" w:lastRowFirstColumn="0" w:lastRowLastColumn="0"/>
          <w:tblHeader/>
        </w:trPr>
        <w:tc>
          <w:tcPr>
            <w:tcW w:w="0" w:type="auto"/>
          </w:tcPr>
          <w:p w14:paraId="6F2BA179" w14:textId="77777777" w:rsidR="0042488A" w:rsidRDefault="00000000">
            <w:pPr>
              <w:pStyle w:val="Compact"/>
            </w:pPr>
            <w:r>
              <w:t>Dataset</w:t>
            </w:r>
          </w:p>
        </w:tc>
        <w:tc>
          <w:tcPr>
            <w:tcW w:w="0" w:type="auto"/>
          </w:tcPr>
          <w:p w14:paraId="77DE83CF" w14:textId="77777777" w:rsidR="0042488A" w:rsidRDefault="00000000">
            <w:pPr>
              <w:pStyle w:val="Compact"/>
            </w:pPr>
            <w:r>
              <w:t>What it is (high-level)</w:t>
            </w:r>
          </w:p>
        </w:tc>
        <w:tc>
          <w:tcPr>
            <w:tcW w:w="0" w:type="auto"/>
          </w:tcPr>
          <w:p w14:paraId="2E7388C6" w14:textId="77777777" w:rsidR="0042488A" w:rsidRDefault="00000000">
            <w:pPr>
              <w:pStyle w:val="Compact"/>
            </w:pPr>
            <w:r>
              <w:t>Why it helps for non‑IID federations</w:t>
            </w:r>
          </w:p>
        </w:tc>
        <w:tc>
          <w:tcPr>
            <w:tcW w:w="0" w:type="auto"/>
          </w:tcPr>
          <w:p w14:paraId="2152CF0D" w14:textId="77777777" w:rsidR="0042488A" w:rsidRDefault="00000000">
            <w:pPr>
              <w:pStyle w:val="Compact"/>
            </w:pPr>
            <w:r>
              <w:t>Suggested client partitioning schemes (examples)</w:t>
            </w:r>
          </w:p>
        </w:tc>
      </w:tr>
      <w:tr w:rsidR="0042488A" w14:paraId="1A4EDA6E" w14:textId="77777777">
        <w:tc>
          <w:tcPr>
            <w:tcW w:w="0" w:type="auto"/>
          </w:tcPr>
          <w:p w14:paraId="5BB11660" w14:textId="77777777" w:rsidR="0042488A" w:rsidRDefault="00000000">
            <w:pPr>
              <w:pStyle w:val="Compact"/>
            </w:pPr>
            <w:r>
              <w:t>N‑BaIoT</w:t>
            </w:r>
          </w:p>
        </w:tc>
        <w:tc>
          <w:tcPr>
            <w:tcW w:w="0" w:type="auto"/>
          </w:tcPr>
          <w:p w14:paraId="33B45551" w14:textId="77777777" w:rsidR="0042488A" w:rsidRDefault="00000000">
            <w:pPr>
              <w:pStyle w:val="Compact"/>
            </w:pPr>
            <w:r>
              <w:t>IoT traffic from multiple devices infected with Mirai/BASHLITE; 115 features reported in multiple sources/variants</w:t>
            </w:r>
          </w:p>
        </w:tc>
        <w:tc>
          <w:tcPr>
            <w:tcW w:w="0" w:type="auto"/>
          </w:tcPr>
          <w:p w14:paraId="2839CDB5" w14:textId="77777777" w:rsidR="0042488A" w:rsidRDefault="00000000">
            <w:pPr>
              <w:pStyle w:val="Compact"/>
            </w:pPr>
            <w:r>
              <w:t>Naturally device-heterogeneous; botnet families provide realistic attack semantics</w:t>
            </w:r>
          </w:p>
        </w:tc>
        <w:tc>
          <w:tcPr>
            <w:tcW w:w="0" w:type="auto"/>
          </w:tcPr>
          <w:p w14:paraId="4C9564F5" w14:textId="77777777" w:rsidR="0042488A" w:rsidRDefault="00000000">
            <w:pPr>
              <w:pStyle w:val="Compact"/>
            </w:pPr>
            <w:r>
              <w:t xml:space="preserve">Partition by device ID; by botnet family (Mirai vs BASHLITE); by time window; induce skew so some clients are mostly benign, others mostly attack. </w:t>
            </w:r>
            <w:hyperlink r:id="rId65">
              <w:r>
                <w:rPr>
                  <w:rStyle w:val="Hyperlink"/>
                </w:rPr>
                <w:t>[42]</w:t>
              </w:r>
            </w:hyperlink>
          </w:p>
        </w:tc>
      </w:tr>
      <w:tr w:rsidR="0042488A" w14:paraId="3BBE1CFB" w14:textId="77777777">
        <w:tc>
          <w:tcPr>
            <w:tcW w:w="0" w:type="auto"/>
          </w:tcPr>
          <w:p w14:paraId="5E1E761E" w14:textId="77777777" w:rsidR="0042488A" w:rsidRDefault="00000000">
            <w:pPr>
              <w:pStyle w:val="Compact"/>
            </w:pPr>
            <w:r>
              <w:t>BoT‑IoT</w:t>
            </w:r>
          </w:p>
        </w:tc>
        <w:tc>
          <w:tcPr>
            <w:tcW w:w="0" w:type="auto"/>
          </w:tcPr>
          <w:p w14:paraId="51A633AA" w14:textId="77777777" w:rsidR="0042488A" w:rsidRDefault="00000000">
            <w:pPr>
              <w:pStyle w:val="Compact"/>
            </w:pPr>
            <w:r>
              <w:t>Large IoT botnet dataset (very large scale)</w:t>
            </w:r>
          </w:p>
        </w:tc>
        <w:tc>
          <w:tcPr>
            <w:tcW w:w="0" w:type="auto"/>
          </w:tcPr>
          <w:p w14:paraId="7018E7A2" w14:textId="77777777" w:rsidR="0042488A" w:rsidRDefault="00000000">
            <w:pPr>
              <w:pStyle w:val="Compact"/>
            </w:pPr>
            <w:r>
              <w:t>Useful for scale and strong imbalance; stress-tests low-FPR detection</w:t>
            </w:r>
          </w:p>
        </w:tc>
        <w:tc>
          <w:tcPr>
            <w:tcW w:w="0" w:type="auto"/>
          </w:tcPr>
          <w:p w14:paraId="067B1AC1" w14:textId="77777777" w:rsidR="0042488A" w:rsidRDefault="00000000">
            <w:pPr>
              <w:pStyle w:val="Compact"/>
            </w:pPr>
            <w:r>
              <w:t xml:space="preserve">Partition by attack category; by source subnet/IP; Dirichlet over attack types; partial participation (cross-device simulation). </w:t>
            </w:r>
            <w:hyperlink r:id="rId66">
              <w:r>
                <w:rPr>
                  <w:rStyle w:val="Hyperlink"/>
                </w:rPr>
                <w:t>[43]</w:t>
              </w:r>
            </w:hyperlink>
          </w:p>
        </w:tc>
      </w:tr>
      <w:tr w:rsidR="0042488A" w14:paraId="0996DB95" w14:textId="77777777">
        <w:tc>
          <w:tcPr>
            <w:tcW w:w="0" w:type="auto"/>
          </w:tcPr>
          <w:p w14:paraId="076A8BE0" w14:textId="77777777" w:rsidR="0042488A" w:rsidRDefault="00000000">
            <w:pPr>
              <w:pStyle w:val="Compact"/>
            </w:pPr>
            <w:r>
              <w:t>IoT‑23</w:t>
            </w:r>
          </w:p>
        </w:tc>
        <w:tc>
          <w:tcPr>
            <w:tcW w:w="0" w:type="auto"/>
          </w:tcPr>
          <w:p w14:paraId="1D84B6D1" w14:textId="77777777" w:rsidR="0042488A" w:rsidRDefault="00000000">
            <w:pPr>
              <w:pStyle w:val="Compact"/>
            </w:pPr>
            <w:r>
              <w:t>Large set of IoT malware/benign scenarios (pcaps/logs)</w:t>
            </w:r>
          </w:p>
        </w:tc>
        <w:tc>
          <w:tcPr>
            <w:tcW w:w="0" w:type="auto"/>
          </w:tcPr>
          <w:p w14:paraId="07662A60" w14:textId="77777777" w:rsidR="0042488A" w:rsidRDefault="00000000">
            <w:pPr>
              <w:pStyle w:val="Compact"/>
            </w:pPr>
            <w:r>
              <w:t>Strong scenario heterogeneity; good for “site-like” partitions</w:t>
            </w:r>
          </w:p>
        </w:tc>
        <w:tc>
          <w:tcPr>
            <w:tcW w:w="0" w:type="auto"/>
          </w:tcPr>
          <w:p w14:paraId="75744C0F" w14:textId="77777777" w:rsidR="0042488A" w:rsidRDefault="00000000">
            <w:pPr>
              <w:pStyle w:val="Compact"/>
            </w:pPr>
            <w:r>
              <w:t xml:space="preserve">Partition by scenario ID; by malware family; by device role; temporally (early vs late). </w:t>
            </w:r>
            <w:hyperlink r:id="rId67">
              <w:r>
                <w:rPr>
                  <w:rStyle w:val="Hyperlink"/>
                </w:rPr>
                <w:t>[44]</w:t>
              </w:r>
            </w:hyperlink>
          </w:p>
        </w:tc>
      </w:tr>
      <w:tr w:rsidR="0042488A" w14:paraId="71728F92" w14:textId="77777777">
        <w:tc>
          <w:tcPr>
            <w:tcW w:w="0" w:type="auto"/>
          </w:tcPr>
          <w:p w14:paraId="7B728777" w14:textId="77777777" w:rsidR="0042488A" w:rsidRDefault="00000000">
            <w:pPr>
              <w:pStyle w:val="Compact"/>
            </w:pPr>
            <w:r>
              <w:t>ToN‑IoT</w:t>
            </w:r>
          </w:p>
        </w:tc>
        <w:tc>
          <w:tcPr>
            <w:tcW w:w="0" w:type="auto"/>
          </w:tcPr>
          <w:p w14:paraId="73C3E41A" w14:textId="77777777" w:rsidR="0042488A" w:rsidRDefault="00000000">
            <w:pPr>
              <w:pStyle w:val="Compact"/>
            </w:pPr>
            <w:r>
              <w:t>“New generation” IoT/IIoT datasets (network + telemetry components)</w:t>
            </w:r>
          </w:p>
        </w:tc>
        <w:tc>
          <w:tcPr>
            <w:tcW w:w="0" w:type="auto"/>
          </w:tcPr>
          <w:p w14:paraId="3D12ADA9" w14:textId="77777777" w:rsidR="0042488A" w:rsidRDefault="00000000">
            <w:pPr>
              <w:pStyle w:val="Compact"/>
            </w:pPr>
            <w:r>
              <w:t>Multi-source heterogeneity resembles real deployments (network + host/telemetry)</w:t>
            </w:r>
          </w:p>
        </w:tc>
        <w:tc>
          <w:tcPr>
            <w:tcW w:w="0" w:type="auto"/>
          </w:tcPr>
          <w:p w14:paraId="109CFBBF" w14:textId="77777777" w:rsidR="0042488A" w:rsidRDefault="00000000">
            <w:pPr>
              <w:pStyle w:val="Compact"/>
            </w:pPr>
            <w:r>
              <w:t xml:space="preserve">Partition by data source type (network vs linux/windows telemetry); by service; by time; by attack family. </w:t>
            </w:r>
            <w:hyperlink r:id="rId68">
              <w:r>
                <w:rPr>
                  <w:rStyle w:val="Hyperlink"/>
                </w:rPr>
                <w:t>[45]</w:t>
              </w:r>
            </w:hyperlink>
          </w:p>
        </w:tc>
      </w:tr>
      <w:tr w:rsidR="0042488A" w14:paraId="21589EB0" w14:textId="77777777">
        <w:tc>
          <w:tcPr>
            <w:tcW w:w="0" w:type="auto"/>
          </w:tcPr>
          <w:p w14:paraId="52FAD54A" w14:textId="77777777" w:rsidR="0042488A" w:rsidRDefault="00000000">
            <w:pPr>
              <w:pStyle w:val="Compact"/>
            </w:pPr>
            <w:r>
              <w:t>NF‑ToN‑IoT variants</w:t>
            </w:r>
          </w:p>
        </w:tc>
        <w:tc>
          <w:tcPr>
            <w:tcW w:w="0" w:type="auto"/>
          </w:tcPr>
          <w:p w14:paraId="7BD55E75" w14:textId="77777777" w:rsidR="0042488A" w:rsidRDefault="00000000">
            <w:pPr>
              <w:pStyle w:val="Compact"/>
            </w:pPr>
            <w:r>
              <w:t>NetFlow records generated from ToN‑IoT pcaps (Flow counts reported)</w:t>
            </w:r>
          </w:p>
        </w:tc>
        <w:tc>
          <w:tcPr>
            <w:tcW w:w="0" w:type="auto"/>
          </w:tcPr>
          <w:p w14:paraId="4395A1E5" w14:textId="77777777" w:rsidR="0042488A" w:rsidRDefault="00000000">
            <w:pPr>
              <w:pStyle w:val="Compact"/>
            </w:pPr>
            <w:r>
              <w:t xml:space="preserve">Provides standardized flow representation and known class </w:t>
            </w:r>
            <w:r>
              <w:lastRenderedPageBreak/>
              <w:t>distributions</w:t>
            </w:r>
          </w:p>
        </w:tc>
        <w:tc>
          <w:tcPr>
            <w:tcW w:w="0" w:type="auto"/>
          </w:tcPr>
          <w:p w14:paraId="5E709D8A" w14:textId="77777777" w:rsidR="0042488A" w:rsidRDefault="00000000">
            <w:pPr>
              <w:pStyle w:val="Compact"/>
            </w:pPr>
            <w:r>
              <w:lastRenderedPageBreak/>
              <w:t xml:space="preserve">Partition by flow source/destination; by attack type; Dirichlet partitioning over labels; </w:t>
            </w:r>
            <w:r>
              <w:lastRenderedPageBreak/>
              <w:t xml:space="preserve">“benign-only” vs “attack-only” shards for stress-test. </w:t>
            </w:r>
            <w:hyperlink r:id="rId69">
              <w:r>
                <w:rPr>
                  <w:rStyle w:val="Hyperlink"/>
                </w:rPr>
                <w:t>[46]</w:t>
              </w:r>
            </w:hyperlink>
          </w:p>
        </w:tc>
      </w:tr>
      <w:tr w:rsidR="0042488A" w14:paraId="4A28DB67" w14:textId="77777777">
        <w:tc>
          <w:tcPr>
            <w:tcW w:w="0" w:type="auto"/>
          </w:tcPr>
          <w:p w14:paraId="5FCC7A76" w14:textId="77777777" w:rsidR="0042488A" w:rsidRDefault="00000000">
            <w:pPr>
              <w:pStyle w:val="Compact"/>
            </w:pPr>
            <w:r>
              <w:lastRenderedPageBreak/>
              <w:t>CICIoT2023</w:t>
            </w:r>
          </w:p>
        </w:tc>
        <w:tc>
          <w:tcPr>
            <w:tcW w:w="0" w:type="auto"/>
          </w:tcPr>
          <w:p w14:paraId="4282E75F" w14:textId="77777777" w:rsidR="0042488A" w:rsidRDefault="00000000">
            <w:pPr>
              <w:pStyle w:val="Compact"/>
            </w:pPr>
            <w:r>
              <w:t>Realistic IoT topology with 105 devices; 33 attacks grouped into categories (DoS/DDoS/Recon/etc.)</w:t>
            </w:r>
          </w:p>
        </w:tc>
        <w:tc>
          <w:tcPr>
            <w:tcW w:w="0" w:type="auto"/>
          </w:tcPr>
          <w:p w14:paraId="32F2ED92" w14:textId="77777777" w:rsidR="0042488A" w:rsidRDefault="00000000">
            <w:pPr>
              <w:pStyle w:val="Compact"/>
            </w:pPr>
            <w:r>
              <w:t>Device-level heterogeneity and many attack categories enable rich non‑IID splits</w:t>
            </w:r>
          </w:p>
        </w:tc>
        <w:tc>
          <w:tcPr>
            <w:tcW w:w="0" w:type="auto"/>
          </w:tcPr>
          <w:p w14:paraId="2C90CD83" w14:textId="77777777" w:rsidR="0042488A" w:rsidRDefault="00000000">
            <w:pPr>
              <w:pStyle w:val="Compact"/>
            </w:pPr>
            <w:r>
              <w:t xml:space="preserve">Partition by device identity; by role (attacker vs victim vs benign); by attack category; by time of day/phase. </w:t>
            </w:r>
            <w:hyperlink r:id="rId70">
              <w:r>
                <w:rPr>
                  <w:rStyle w:val="Hyperlink"/>
                </w:rPr>
                <w:t>[47]</w:t>
              </w:r>
            </w:hyperlink>
          </w:p>
        </w:tc>
      </w:tr>
      <w:tr w:rsidR="0042488A" w14:paraId="341FBC17" w14:textId="77777777">
        <w:tc>
          <w:tcPr>
            <w:tcW w:w="0" w:type="auto"/>
          </w:tcPr>
          <w:p w14:paraId="1C75DCD5" w14:textId="77777777" w:rsidR="0042488A" w:rsidRDefault="00000000">
            <w:pPr>
              <w:pStyle w:val="Compact"/>
            </w:pPr>
            <w:r>
              <w:t>CICIDS2017 (non‑IoT baseline)</w:t>
            </w:r>
          </w:p>
        </w:tc>
        <w:tc>
          <w:tcPr>
            <w:tcW w:w="0" w:type="auto"/>
          </w:tcPr>
          <w:p w14:paraId="70A585C2" w14:textId="77777777" w:rsidR="0042488A" w:rsidRDefault="00000000">
            <w:pPr>
              <w:pStyle w:val="Compact"/>
            </w:pPr>
            <w:r>
              <w:t>Enterprise-like flow dataset</w:t>
            </w:r>
          </w:p>
        </w:tc>
        <w:tc>
          <w:tcPr>
            <w:tcW w:w="0" w:type="auto"/>
          </w:tcPr>
          <w:p w14:paraId="19094E07" w14:textId="77777777" w:rsidR="0042488A" w:rsidRDefault="00000000">
            <w:pPr>
              <w:pStyle w:val="Compact"/>
            </w:pPr>
            <w:r>
              <w:t>Useful as a non‑IoT baseline to test generality of methods</w:t>
            </w:r>
          </w:p>
        </w:tc>
        <w:tc>
          <w:tcPr>
            <w:tcW w:w="0" w:type="auto"/>
          </w:tcPr>
          <w:p w14:paraId="15032143" w14:textId="77777777" w:rsidR="0042488A" w:rsidRDefault="00000000">
            <w:pPr>
              <w:pStyle w:val="Compact"/>
            </w:pPr>
            <w:r>
              <w:t xml:space="preserve">Partition by day/attack scenario; by source subnet; by label-skew. </w:t>
            </w:r>
            <w:hyperlink r:id="rId71">
              <w:r>
                <w:rPr>
                  <w:rStyle w:val="Hyperlink"/>
                </w:rPr>
                <w:t>[48]</w:t>
              </w:r>
            </w:hyperlink>
          </w:p>
        </w:tc>
      </w:tr>
    </w:tbl>
    <w:p w14:paraId="407F9366" w14:textId="77777777" w:rsidR="0042488A" w:rsidRDefault="00000000">
      <w:pPr>
        <w:pStyle w:val="Heading3"/>
      </w:pPr>
      <w:bookmarkStart w:id="30" w:name="X7e24bafe9d5e58394c7f3b1a170fba5d123e2d1"/>
      <w:bookmarkEnd w:id="29"/>
      <w:r>
        <w:t>Non‑IID partitioning procedures (recommended set)</w:t>
      </w:r>
    </w:p>
    <w:p w14:paraId="7946901C" w14:textId="77777777" w:rsidR="0042488A" w:rsidRDefault="00000000">
      <w:pPr>
        <w:pStyle w:val="FirstParagraph"/>
      </w:pPr>
      <w:r>
        <w:t>To evaluate the user’s claim rigorously, include at least three federation conditions, because masquerade attacks are specifically about heterogeneity:</w:t>
      </w:r>
    </w:p>
    <w:p w14:paraId="23137D22" w14:textId="77777777" w:rsidR="0042488A" w:rsidRDefault="00000000">
      <w:pPr>
        <w:pStyle w:val="BodyText"/>
      </w:pPr>
      <w:r>
        <w:t xml:space="preserve">1) </w:t>
      </w:r>
      <w:r>
        <w:rPr>
          <w:b/>
          <w:bCs/>
        </w:rPr>
        <w:t>Dirichlet label-skew</w:t>
      </w:r>
      <w:r>
        <w:t xml:space="preserve"> (vary concentration parameter </w:t>
      </w:r>
      <m:oMath>
        <m:r>
          <w:rPr>
            <w:rFonts w:ascii="Cambria Math" w:hAnsi="Cambria Math"/>
          </w:rPr>
          <m:t>η</m:t>
        </m:r>
      </m:oMath>
      <w:r>
        <w:t xml:space="preserve">)—common, tunable, and easy to reproduce. </w:t>
      </w:r>
      <w:hyperlink r:id="rId72">
        <w:r>
          <w:rPr>
            <w:rStyle w:val="Hyperlink"/>
          </w:rPr>
          <w:t>[49]</w:t>
        </w:r>
      </w:hyperlink>
      <w:r>
        <w:br/>
        <w:t xml:space="preserve">2) </w:t>
      </w:r>
      <w:r>
        <w:rPr>
          <w:b/>
          <w:bCs/>
        </w:rPr>
        <w:t>Device- or scenario-based partitions</w:t>
      </w:r>
      <w:r>
        <w:t xml:space="preserve"> (each client = device/scenario/site), which is more semantically realistic for IoT. </w:t>
      </w:r>
      <w:hyperlink r:id="rId73">
        <w:r>
          <w:rPr>
            <w:rStyle w:val="Hyperlink"/>
          </w:rPr>
          <w:t>[50]</w:t>
        </w:r>
      </w:hyperlink>
      <w:r>
        <w:br/>
        <w:t xml:space="preserve">3) </w:t>
      </w:r>
      <w:r>
        <w:rPr>
          <w:b/>
          <w:bCs/>
        </w:rPr>
        <w:t>Extreme skew stress-test</w:t>
      </w:r>
      <w:r>
        <w:t xml:space="preserve"> (some clients benign-only, others attack-only), which appears in IoT FL‑IDS research as a non‑IID scenario design. </w:t>
      </w:r>
      <w:hyperlink r:id="rId74">
        <w:r>
          <w:rPr>
            <w:rStyle w:val="Hyperlink"/>
          </w:rPr>
          <w:t>[51]</w:t>
        </w:r>
      </w:hyperlink>
    </w:p>
    <w:p w14:paraId="3DB437AD" w14:textId="77777777" w:rsidR="0042488A" w:rsidRDefault="00000000">
      <w:pPr>
        <w:pStyle w:val="Heading3"/>
      </w:pPr>
      <w:bookmarkStart w:id="31" w:name="X747c232092c88552765ecdc21d340311d056658"/>
      <w:bookmarkEnd w:id="30"/>
      <w:r>
        <w:t>Evaluation metrics and experimental protocol</w:t>
      </w:r>
    </w:p>
    <w:p w14:paraId="45C8B5C6" w14:textId="77777777" w:rsidR="0042488A" w:rsidRDefault="00000000">
      <w:pPr>
        <w:pStyle w:val="FirstParagraph"/>
      </w:pPr>
      <w:r>
        <w:rPr>
          <w:b/>
          <w:bCs/>
        </w:rPr>
        <w:t>Core detection metrics (as requested):</w:t>
      </w:r>
      <w:r>
        <w:t xml:space="preserve"> - </w:t>
      </w:r>
      <w:r>
        <w:rPr>
          <w:b/>
          <w:bCs/>
        </w:rPr>
        <w:t>FPR / TPR</w:t>
      </w:r>
      <w:r>
        <w:t xml:space="preserve"> per client and globally; plus </w:t>
      </w:r>
      <w:r>
        <w:rPr>
          <w:b/>
          <w:bCs/>
        </w:rPr>
        <w:t>AUC</w:t>
      </w:r>
      <w:r>
        <w:t xml:space="preserve"> where a continuous score is available. </w:t>
      </w:r>
      <w:hyperlink r:id="rId75">
        <w:r>
          <w:rPr>
            <w:rStyle w:val="Hyperlink"/>
          </w:rPr>
          <w:t>[4]</w:t>
        </w:r>
      </w:hyperlink>
      <w:r>
        <w:br/>
        <w:t xml:space="preserve">- </w:t>
      </w:r>
      <w:r>
        <w:rPr>
          <w:b/>
          <w:bCs/>
        </w:rPr>
        <w:t>Detection delay</w:t>
      </w:r>
      <w:r>
        <w:t xml:space="preserve"> or </w:t>
      </w:r>
      <w:r>
        <w:rPr>
          <w:b/>
          <w:bCs/>
        </w:rPr>
        <w:t>rounds-to-detect</w:t>
      </w:r>
      <w:r>
        <w:t xml:space="preserve">, especially for sequential/trajectory detectors and staged defenses. </w:t>
      </w:r>
      <w:hyperlink r:id="rId76">
        <w:r>
          <w:rPr>
            <w:rStyle w:val="Hyperlink"/>
          </w:rPr>
          <w:t>[52]</w:t>
        </w:r>
      </w:hyperlink>
      <w:r>
        <w:br/>
        <w:t xml:space="preserve">- </w:t>
      </w:r>
      <w:r>
        <w:rPr>
          <w:b/>
          <w:bCs/>
        </w:rPr>
        <w:t>Communication cost</w:t>
      </w:r>
      <w:r>
        <w:t xml:space="preserve">: bytes per round added by transmitting D̂ᵢ summaries, p‑values, or verification artifacts (critical under secure aggregation / ZKP). </w:t>
      </w:r>
      <w:hyperlink r:id="rId77">
        <w:r>
          <w:rPr>
            <w:rStyle w:val="Hyperlink"/>
          </w:rPr>
          <w:t>[53]</w:t>
        </w:r>
      </w:hyperlink>
    </w:p>
    <w:p w14:paraId="3FF2432C" w14:textId="77777777" w:rsidR="0042488A" w:rsidRDefault="00000000">
      <w:pPr>
        <w:pStyle w:val="BodyText"/>
      </w:pPr>
      <w:r>
        <w:rPr>
          <w:b/>
          <w:bCs/>
        </w:rPr>
        <w:t>Recommended protocol structure:</w:t>
      </w:r>
      <w:r>
        <w:t xml:space="preserve"> - Fix a base FL configuration (FedAvg, client fraction, local epochs) and run multiple random seeds. </w:t>
      </w:r>
      <w:hyperlink r:id="rId78">
        <w:r>
          <w:rPr>
            <w:rStyle w:val="Hyperlink"/>
          </w:rPr>
          <w:t>[54]</w:t>
        </w:r>
      </w:hyperlink>
      <w:r>
        <w:br/>
        <w:t xml:space="preserve">- For each federation condition, run: benign baseline; then add masquerade attacker(s) with controlled fraction and schedule (early vs late rounds). </w:t>
      </w:r>
      <w:hyperlink r:id="rId79">
        <w:r>
          <w:rPr>
            <w:rStyle w:val="Hyperlink"/>
          </w:rPr>
          <w:t>[55]</w:t>
        </w:r>
      </w:hyperlink>
      <w:r>
        <w:br/>
        <w:t xml:space="preserve">- Report </w:t>
      </w:r>
      <w:r>
        <w:rPr>
          <w:b/>
          <w:bCs/>
        </w:rPr>
        <w:t>per‑client</w:t>
      </w:r>
      <w:r>
        <w:t xml:space="preserve"> FPR/TPR distributions (not just averages), because minority clients are where global thresholds break. </w:t>
      </w:r>
      <w:hyperlink r:id="rId80">
        <w:r>
          <w:rPr>
            <w:rStyle w:val="Hyperlink"/>
          </w:rPr>
          <w:t>[11]</w:t>
        </w:r>
      </w:hyperlink>
    </w:p>
    <w:p w14:paraId="4C07CB72" w14:textId="77777777" w:rsidR="0042488A" w:rsidRDefault="00000000">
      <w:pPr>
        <w:pStyle w:val="Heading3"/>
      </w:pPr>
      <w:bookmarkStart w:id="32" w:name="X0fe64fc0172531188794d2ed744139b02ec490f"/>
      <w:bookmarkEnd w:id="31"/>
      <w:r>
        <w:lastRenderedPageBreak/>
        <w:t>Attack methodologies to instantiate “non‑IID masquerade”</w:t>
      </w:r>
    </w:p>
    <w:p w14:paraId="6214B3CC" w14:textId="77777777" w:rsidR="0042488A" w:rsidRDefault="00000000">
      <w:pPr>
        <w:pStyle w:val="FirstParagraph"/>
      </w:pPr>
      <w:r>
        <w:t>To test the specific claim (“attacker imitates legitimate non‑IID client behavior”), include at least:</w:t>
      </w:r>
    </w:p>
    <w:p w14:paraId="4F427BB7" w14:textId="77777777" w:rsidR="0042488A" w:rsidRDefault="00000000">
      <w:pPr>
        <w:pStyle w:val="Compact"/>
        <w:numPr>
          <w:ilvl w:val="0"/>
          <w:numId w:val="9"/>
        </w:numPr>
      </w:pPr>
      <w:r>
        <w:rPr>
          <w:b/>
          <w:bCs/>
        </w:rPr>
        <w:t>Stealthy model poisoning with explicit stealth objective:</w:t>
      </w:r>
      <w:r>
        <w:t xml:space="preserve"> model poisoning that alternates between optimizing attack loss and staying close to benign updates; foundational stealthy attack patterns are described in adversarial-lens FL work. </w:t>
      </w:r>
      <w:hyperlink r:id="rId81">
        <w:r>
          <w:rPr>
            <w:rStyle w:val="Hyperlink"/>
          </w:rPr>
          <w:t>[56]</w:t>
        </w:r>
      </w:hyperlink>
    </w:p>
    <w:p w14:paraId="4490F6D1" w14:textId="77777777" w:rsidR="0042488A" w:rsidRDefault="00000000">
      <w:pPr>
        <w:pStyle w:val="Compact"/>
        <w:numPr>
          <w:ilvl w:val="0"/>
          <w:numId w:val="9"/>
        </w:numPr>
      </w:pPr>
      <w:r>
        <w:rPr>
          <w:b/>
          <w:bCs/>
        </w:rPr>
        <w:t>Small-change evasion of defenses:</w:t>
      </w:r>
      <w:r>
        <w:t xml:space="preserve"> attacks designed to stay within acceptance ranges while achieving disruption/backdoor. </w:t>
      </w:r>
      <w:hyperlink r:id="rId82">
        <w:r>
          <w:rPr>
            <w:rStyle w:val="Hyperlink"/>
          </w:rPr>
          <w:t>[57]</w:t>
        </w:r>
      </w:hyperlink>
    </w:p>
    <w:p w14:paraId="085999E1" w14:textId="77777777" w:rsidR="0042488A" w:rsidRDefault="00000000">
      <w:pPr>
        <w:pStyle w:val="Compact"/>
        <w:numPr>
          <w:ilvl w:val="0"/>
          <w:numId w:val="9"/>
        </w:numPr>
      </w:pPr>
      <w:r>
        <w:rPr>
          <w:b/>
          <w:bCs/>
        </w:rPr>
        <w:t>Multi‑round consistent and magnitude‑adaptive poisoning:</w:t>
      </w:r>
      <w:r>
        <w:t xml:space="preserve"> explicitly designed to bypass filtering/clipping defenses and even defeat cross-round inconsistency detectors. </w:t>
      </w:r>
      <w:hyperlink r:id="rId83">
        <w:r>
          <w:rPr>
            <w:rStyle w:val="Hyperlink"/>
          </w:rPr>
          <w:t>[17]</w:t>
        </w:r>
      </w:hyperlink>
    </w:p>
    <w:p w14:paraId="7070FA11" w14:textId="77777777" w:rsidR="0042488A" w:rsidRDefault="00000000">
      <w:pPr>
        <w:pStyle w:val="Compact"/>
        <w:numPr>
          <w:ilvl w:val="0"/>
          <w:numId w:val="9"/>
        </w:numPr>
      </w:pPr>
      <w:r>
        <w:rPr>
          <w:b/>
          <w:bCs/>
        </w:rPr>
        <w:t>Defense-adaptive constrained attacks:</w:t>
      </w:r>
      <w:r>
        <w:t xml:space="preserve"> attacks that optimize under multiple server metric constraints. </w:t>
      </w:r>
      <w:hyperlink r:id="rId84">
        <w:r>
          <w:rPr>
            <w:rStyle w:val="Hyperlink"/>
          </w:rPr>
          <w:t>[58]</w:t>
        </w:r>
      </w:hyperlink>
    </w:p>
    <w:p w14:paraId="39365A42" w14:textId="77777777" w:rsidR="0042488A" w:rsidRDefault="00000000">
      <w:pPr>
        <w:pStyle w:val="FirstParagraph"/>
      </w:pPr>
      <w:r>
        <w:t xml:space="preserve">These are credible “masquerade” instantiations because they all emphasize staying </w:t>
      </w:r>
      <w:r>
        <w:rPr>
          <w:i/>
          <w:iCs/>
        </w:rPr>
        <w:t>benign-looking</w:t>
      </w:r>
      <w:r>
        <w:t xml:space="preserve"> to the server while still achieving an attack objective. </w:t>
      </w:r>
      <w:hyperlink r:id="rId85">
        <w:r>
          <w:rPr>
            <w:rStyle w:val="Hyperlink"/>
          </w:rPr>
          <w:t>[55]</w:t>
        </w:r>
      </w:hyperlink>
    </w:p>
    <w:p w14:paraId="75316805" w14:textId="77777777" w:rsidR="0042488A" w:rsidRDefault="00000000">
      <w:pPr>
        <w:pStyle w:val="Heading2"/>
      </w:pPr>
      <w:bookmarkStart w:id="33" w:name="Xe74ad4a8ba8c586998bac8a42c58a002523def2"/>
      <w:bookmarkEnd w:id="28"/>
      <w:bookmarkEnd w:id="32"/>
      <w:r>
        <w:t>Trade-offs, reproducibility, and deployment guidance</w:t>
      </w:r>
    </w:p>
    <w:p w14:paraId="0370840D" w14:textId="77777777" w:rsidR="0042488A" w:rsidRDefault="00000000">
      <w:pPr>
        <w:pStyle w:val="Heading3"/>
      </w:pPr>
      <w:bookmarkStart w:id="34" w:name="explicit-assumptions-as-requested"/>
      <w:r>
        <w:t>Explicit assumptions (as requested)</w:t>
      </w:r>
    </w:p>
    <w:p w14:paraId="0E86A059" w14:textId="77777777" w:rsidR="0042488A" w:rsidRDefault="00000000">
      <w:pPr>
        <w:pStyle w:val="FirstParagraph"/>
      </w:pPr>
      <w:r>
        <w:t>Because deployment constraints are unspecified, this report’s reference design assumes:</w:t>
      </w:r>
    </w:p>
    <w:p w14:paraId="5DC21D98" w14:textId="77777777" w:rsidR="0042488A" w:rsidRDefault="00000000">
      <w:pPr>
        <w:pStyle w:val="Compact"/>
        <w:numPr>
          <w:ilvl w:val="0"/>
          <w:numId w:val="10"/>
        </w:numPr>
      </w:pPr>
      <w:r>
        <w:rPr>
          <w:b/>
          <w:bCs/>
        </w:rPr>
        <w:t>Client identity:</w:t>
      </w:r>
      <w:r>
        <w:t xml:space="preserve"> Clients have stable identities across rounds. If Sybils are possible, treat “new client arrivals” as suspicious and/or require enrollment controls. </w:t>
      </w:r>
      <w:hyperlink r:id="rId86">
        <w:r>
          <w:rPr>
            <w:rStyle w:val="Hyperlink"/>
          </w:rPr>
          <w:t>[19]</w:t>
        </w:r>
      </w:hyperlink>
    </w:p>
    <w:p w14:paraId="7AF630F3" w14:textId="77777777" w:rsidR="0042488A" w:rsidRDefault="00000000">
      <w:pPr>
        <w:pStyle w:val="Compact"/>
        <w:numPr>
          <w:ilvl w:val="0"/>
          <w:numId w:val="10"/>
        </w:numPr>
      </w:pPr>
      <w:r>
        <w:rPr>
          <w:b/>
          <w:bCs/>
        </w:rPr>
        <w:t>Visibility:</w:t>
      </w:r>
      <w:r>
        <w:t xml:space="preserve"> The server can observe per-client updates </w:t>
      </w:r>
      <m:oMath>
        <m:sSub>
          <m:sSubPr>
            <m:ctrlPr>
              <w:rPr>
                <w:rFonts w:ascii="Cambria Math" w:hAnsi="Cambria Math"/>
              </w:rPr>
            </m:ctrlPr>
          </m:sSubPr>
          <m:e>
            <m:r>
              <w:rPr>
                <w:rFonts w:ascii="Cambria Math" w:hAnsi="Cambria Math"/>
              </w:rPr>
              <m:t>Δ</m:t>
            </m:r>
          </m:e>
          <m:sub>
            <m:r>
              <w:rPr>
                <w:rFonts w:ascii="Cambria Math" w:hAnsi="Cambria Math"/>
              </w:rPr>
              <m:t>i</m:t>
            </m:r>
            <m:r>
              <m:rPr>
                <m:sty m:val="p"/>
              </m:rPr>
              <w:rPr>
                <w:rFonts w:ascii="Cambria Math" w:hAnsi="Cambria Math"/>
              </w:rPr>
              <m:t>,</m:t>
            </m:r>
            <m:r>
              <w:rPr>
                <w:rFonts w:ascii="Cambria Math" w:hAnsi="Cambria Math"/>
              </w:rPr>
              <m:t>t</m:t>
            </m:r>
          </m:sub>
        </m:sSub>
      </m:oMath>
      <w:r>
        <w:t xml:space="preserve">. If secure aggregation hides individual updates, move to client-side detection with verification, trusted enclaves, or verifiable server execution. </w:t>
      </w:r>
      <w:hyperlink r:id="rId87">
        <w:r>
          <w:rPr>
            <w:rStyle w:val="Hyperlink"/>
          </w:rPr>
          <w:t>[32]</w:t>
        </w:r>
      </w:hyperlink>
    </w:p>
    <w:p w14:paraId="51C0C739" w14:textId="77777777" w:rsidR="0042488A" w:rsidRDefault="00000000">
      <w:pPr>
        <w:pStyle w:val="Compact"/>
        <w:numPr>
          <w:ilvl w:val="0"/>
          <w:numId w:val="10"/>
        </w:numPr>
      </w:pPr>
      <w:r>
        <w:rPr>
          <w:b/>
          <w:bCs/>
        </w:rPr>
        <w:t>Calibration data:</w:t>
      </w:r>
      <w:r>
        <w:t xml:space="preserve"> No labeled server-side validation set is assumed (common in FL). If labeled validation exists (client-side), leverage it to calibrate thresholds (Laridi-style summary statistics + federated selection). </w:t>
      </w:r>
      <w:hyperlink r:id="rId88">
        <w:r>
          <w:rPr>
            <w:rStyle w:val="Hyperlink"/>
          </w:rPr>
          <w:t>[4]</w:t>
        </w:r>
      </w:hyperlink>
    </w:p>
    <w:p w14:paraId="6BA7B397" w14:textId="77777777" w:rsidR="0042488A" w:rsidRDefault="00000000">
      <w:pPr>
        <w:pStyle w:val="Compact"/>
        <w:numPr>
          <w:ilvl w:val="0"/>
          <w:numId w:val="10"/>
        </w:numPr>
      </w:pPr>
      <w:r>
        <w:rPr>
          <w:b/>
          <w:bCs/>
        </w:rPr>
        <w:t>Burn-in:</w:t>
      </w:r>
      <w:r>
        <w:t xml:space="preserve"> There exists a startup period sufficiently benign to estimate D̂ᵢ (or robust estimation tolerates some contamination). </w:t>
      </w:r>
      <w:hyperlink r:id="rId89">
        <w:r>
          <w:rPr>
            <w:rStyle w:val="Hyperlink"/>
          </w:rPr>
          <w:t>[17]</w:t>
        </w:r>
      </w:hyperlink>
    </w:p>
    <w:p w14:paraId="1BA1988D" w14:textId="77777777" w:rsidR="0042488A" w:rsidRDefault="00000000">
      <w:pPr>
        <w:pStyle w:val="Compact"/>
        <w:numPr>
          <w:ilvl w:val="0"/>
          <w:numId w:val="10"/>
        </w:numPr>
      </w:pPr>
      <w:r>
        <w:rPr>
          <w:b/>
          <w:bCs/>
        </w:rPr>
        <w:t>Client count:</w:t>
      </w:r>
      <w:r>
        <w:t xml:space="preserve"> Cross-silo IoT deployment sizes (tens of clients) are typical for many FL‑IDS papers; for large cross-device IoT, assume partial participation and stragglers. </w:t>
      </w:r>
      <w:hyperlink r:id="rId90">
        <w:r>
          <w:rPr>
            <w:rStyle w:val="Hyperlink"/>
          </w:rPr>
          <w:t>[59]</w:t>
        </w:r>
      </w:hyperlink>
    </w:p>
    <w:p w14:paraId="216613E5" w14:textId="77777777" w:rsidR="0042488A" w:rsidRDefault="00000000">
      <w:pPr>
        <w:pStyle w:val="Heading3"/>
      </w:pPr>
      <w:bookmarkStart w:id="35" w:name="trade-offs-and-failure-modes"/>
      <w:bookmarkEnd w:id="34"/>
      <w:r>
        <w:t>Trade-offs and failure modes</w:t>
      </w:r>
    </w:p>
    <w:p w14:paraId="6415F448" w14:textId="77777777" w:rsidR="0042488A" w:rsidRDefault="00000000">
      <w:pPr>
        <w:pStyle w:val="FirstParagraph"/>
      </w:pPr>
      <w:r>
        <w:rPr>
          <w:b/>
          <w:bCs/>
        </w:rPr>
        <w:t>Sensitivity vs specificity under heterogeneity.</w:t>
      </w:r>
      <w:r>
        <w:t xml:space="preserve"> Client‑specific thresholds improve specificity for minority clients (lower false alarms), but can reduce sensitivity if the attacker perfectly knows and mimics the client’s expected band. This is why robust estimation and sequential evidence accumulation are important. </w:t>
      </w:r>
      <w:hyperlink r:id="rId91">
        <w:r>
          <w:rPr>
            <w:rStyle w:val="Hyperlink"/>
          </w:rPr>
          <w:t>[5]</w:t>
        </w:r>
      </w:hyperlink>
    </w:p>
    <w:p w14:paraId="394961EC" w14:textId="77777777" w:rsidR="0042488A" w:rsidRDefault="00000000">
      <w:pPr>
        <w:pStyle w:val="BodyText"/>
      </w:pPr>
      <w:r>
        <w:rPr>
          <w:b/>
          <w:bCs/>
        </w:rPr>
        <w:lastRenderedPageBreak/>
        <w:t>Adaptive attackers can “learn your metrics.”</w:t>
      </w:r>
      <w:r>
        <w:t xml:space="preserve"> Work on automatic adversarial adaptation shows attackers can satisfy multiple inequality constraints of defense metrics, so any single-score threshold is risky; designs should combine multiple conditionally independent features (direction, norm profile, residual low-rank structure, trajectory differences) and/or incorporate randomization. </w:t>
      </w:r>
      <w:hyperlink r:id="rId92">
        <w:r>
          <w:rPr>
            <w:rStyle w:val="Hyperlink"/>
          </w:rPr>
          <w:t>[60]</w:t>
        </w:r>
      </w:hyperlink>
    </w:p>
    <w:p w14:paraId="4F3E6690" w14:textId="77777777" w:rsidR="0042488A" w:rsidRDefault="00000000">
      <w:pPr>
        <w:pStyle w:val="BodyText"/>
      </w:pPr>
      <w:r>
        <w:rPr>
          <w:b/>
          <w:bCs/>
        </w:rPr>
        <w:t>Stateful defenses are fragile if their assumptions are violated.</w:t>
      </w:r>
      <w:r>
        <w:t xml:space="preserve"> PoisonedFL demonstrates that a defense relying on detecting cross-round inconsistency can fail if the attack is consistent, directly motivating the need for D̂ᵢ‑conditioned expectations that are client-specific rather than generic “inconsistency.” </w:t>
      </w:r>
      <w:hyperlink r:id="rId93">
        <w:r>
          <w:rPr>
            <w:rStyle w:val="Hyperlink"/>
          </w:rPr>
          <w:t>[38]</w:t>
        </w:r>
      </w:hyperlink>
    </w:p>
    <w:p w14:paraId="27F17543" w14:textId="77777777" w:rsidR="0042488A" w:rsidRDefault="00000000">
      <w:pPr>
        <w:pStyle w:val="BodyText"/>
      </w:pPr>
      <w:r>
        <w:rPr>
          <w:b/>
          <w:bCs/>
        </w:rPr>
        <w:t>Secure aggregation reduces visibility.</w:t>
      </w:r>
      <w:r>
        <w:t xml:space="preserve"> If the server only sees an aggregate, per-client thresholding cannot be applied directly. Recent work proposes verification mechanisms (e.g., zero-knowledge proofs) for server-side detection steps, highlighting a path to “trustable detection” under limited trust—but this is still early for FL‑IDS deployments. </w:t>
      </w:r>
      <w:hyperlink r:id="rId94">
        <w:r>
          <w:rPr>
            <w:rStyle w:val="Hyperlink"/>
          </w:rPr>
          <w:t>[8]</w:t>
        </w:r>
      </w:hyperlink>
    </w:p>
    <w:p w14:paraId="752C41BC" w14:textId="77777777" w:rsidR="0042488A" w:rsidRDefault="00000000">
      <w:pPr>
        <w:pStyle w:val="Heading3"/>
      </w:pPr>
      <w:bookmarkStart w:id="36" w:name="implementation-and-reproducibility-notes"/>
      <w:bookmarkEnd w:id="35"/>
      <w:r>
        <w:t>Implementation and reproducibility notes</w:t>
      </w:r>
    </w:p>
    <w:p w14:paraId="3DE2C48E" w14:textId="77777777" w:rsidR="0042488A" w:rsidRDefault="00000000">
      <w:pPr>
        <w:pStyle w:val="FirstParagraph"/>
      </w:pPr>
      <w:r>
        <w:t>A reproducible evaluation should log and fix:</w:t>
      </w:r>
    </w:p>
    <w:p w14:paraId="3F9B4DC8" w14:textId="77777777" w:rsidR="0042488A" w:rsidRDefault="00000000">
      <w:pPr>
        <w:pStyle w:val="Compact"/>
        <w:numPr>
          <w:ilvl w:val="0"/>
          <w:numId w:val="11"/>
        </w:numPr>
      </w:pPr>
      <w:r>
        <w:rPr>
          <w:b/>
          <w:bCs/>
        </w:rPr>
        <w:t>Federation parameters:</w:t>
      </w:r>
      <w:r>
        <w:t xml:space="preserve"> number of clients, selection fraction, local epochs, optimizer, learning rate schedule. </w:t>
      </w:r>
      <w:hyperlink r:id="rId95">
        <w:r>
          <w:rPr>
            <w:rStyle w:val="Hyperlink"/>
          </w:rPr>
          <w:t>[61]</w:t>
        </w:r>
      </w:hyperlink>
    </w:p>
    <w:p w14:paraId="4403D576" w14:textId="77777777" w:rsidR="0042488A" w:rsidRDefault="00000000">
      <w:pPr>
        <w:pStyle w:val="Compact"/>
        <w:numPr>
          <w:ilvl w:val="0"/>
          <w:numId w:val="11"/>
        </w:numPr>
      </w:pPr>
      <w:r>
        <w:rPr>
          <w:b/>
          <w:bCs/>
        </w:rPr>
        <w:t>Non‑IID partitioning seeds and scheme parameters:</w:t>
      </w:r>
      <w:r>
        <w:t xml:space="preserve"> Dirichlet </w:t>
      </w:r>
      <m:oMath>
        <m:r>
          <w:rPr>
            <w:rFonts w:ascii="Cambria Math" w:hAnsi="Cambria Math"/>
          </w:rPr>
          <m:t>η</m:t>
        </m:r>
      </m:oMath>
      <w:r>
        <w:t xml:space="preserve">, device/scenario mapping, time windows. </w:t>
      </w:r>
      <w:hyperlink r:id="rId96">
        <w:r>
          <w:rPr>
            <w:rStyle w:val="Hyperlink"/>
          </w:rPr>
          <w:t>[62]</w:t>
        </w:r>
      </w:hyperlink>
    </w:p>
    <w:p w14:paraId="6220E79B" w14:textId="77777777" w:rsidR="0042488A" w:rsidRDefault="00000000">
      <w:pPr>
        <w:pStyle w:val="Compact"/>
        <w:numPr>
          <w:ilvl w:val="0"/>
          <w:numId w:val="11"/>
        </w:numPr>
      </w:pPr>
      <w:r>
        <w:rPr>
          <w:b/>
          <w:bCs/>
        </w:rPr>
        <w:t>Detector hyperparameters:</w:t>
      </w:r>
      <w:r>
        <w:t xml:space="preserve"> per-client target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robust estimation window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sequential detection parameters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e>
        </m:d>
      </m:oMath>
      <w:r>
        <w:t xml:space="preserve">, or conformal calibration batch sizes. </w:t>
      </w:r>
      <w:hyperlink r:id="rId97">
        <w:r>
          <w:rPr>
            <w:rStyle w:val="Hyperlink"/>
          </w:rPr>
          <w:t>[63]</w:t>
        </w:r>
      </w:hyperlink>
    </w:p>
    <w:p w14:paraId="23621A0D" w14:textId="77777777" w:rsidR="0042488A" w:rsidRDefault="00000000">
      <w:pPr>
        <w:pStyle w:val="Compact"/>
        <w:numPr>
          <w:ilvl w:val="0"/>
          <w:numId w:val="11"/>
        </w:numPr>
      </w:pPr>
      <w:r>
        <w:rPr>
          <w:b/>
          <w:bCs/>
        </w:rPr>
        <w:t>Attack configuration:</w:t>
      </w:r>
      <w:r>
        <w:t xml:space="preserve"> number of malicious clients/Sybils, attack schedule, adaptation budget, objective definition (availability vs targeted misclassification), and whether the attacker sees the defense rule. </w:t>
      </w:r>
      <w:hyperlink r:id="rId98">
        <w:r>
          <w:rPr>
            <w:rStyle w:val="Hyperlink"/>
          </w:rPr>
          <w:t>[64]</w:t>
        </w:r>
      </w:hyperlink>
    </w:p>
    <w:p w14:paraId="058E180D" w14:textId="77777777" w:rsidR="0042488A" w:rsidRDefault="00000000">
      <w:pPr>
        <w:pStyle w:val="FirstParagraph"/>
      </w:pPr>
      <w:r>
        <w:t xml:space="preserve">Open-source artifacts exist for some FL‑IDS defenses (e.g., SecFedNIDS provides a public repository and environment requirements), which can be used as baselines. </w:t>
      </w:r>
      <w:hyperlink r:id="rId99">
        <w:r>
          <w:rPr>
            <w:rStyle w:val="Hyperlink"/>
          </w:rPr>
          <w:t>[65]</w:t>
        </w:r>
      </w:hyperlink>
    </w:p>
    <w:p w14:paraId="373D6E75" w14:textId="77777777" w:rsidR="0042488A" w:rsidRDefault="00000000">
      <w:pPr>
        <w:pStyle w:val="Heading3"/>
      </w:pPr>
      <w:bookmarkStart w:id="37" w:name="Xba0be9a0e98eb8b93f69080a5b5cd18153d117e"/>
      <w:bookmarkEnd w:id="36"/>
      <w:r>
        <w:t>Practical deployment recommendations (defense-in-depth)</w:t>
      </w:r>
    </w:p>
    <w:p w14:paraId="4AC36023" w14:textId="77777777" w:rsidR="0042488A" w:rsidRDefault="00000000">
      <w:pPr>
        <w:pStyle w:val="FirstParagraph"/>
      </w:pPr>
      <w:r>
        <w:t xml:space="preserve">1) </w:t>
      </w:r>
      <w:r>
        <w:rPr>
          <w:b/>
          <w:bCs/>
        </w:rPr>
        <w:t>Model your heterogeneity explicitly first.</w:t>
      </w:r>
      <w:r>
        <w:t xml:space="preserve"> Before deploying anomaly thresholds, quantify client drift using gradient/score differences and cluster benign clients into “heterogeneity regimes.” Fair detection work shows you otherwise risk rejecting legitimate minority clients and degrading model quality. </w:t>
      </w:r>
      <w:hyperlink r:id="rId100">
        <w:r>
          <w:rPr>
            <w:rStyle w:val="Hyperlink"/>
          </w:rPr>
          <w:t>[11]</w:t>
        </w:r>
      </w:hyperlink>
    </w:p>
    <w:p w14:paraId="444BEC31" w14:textId="77777777" w:rsidR="0042488A" w:rsidRDefault="00000000">
      <w:pPr>
        <w:pStyle w:val="BodyText"/>
      </w:pPr>
      <w:r>
        <w:t xml:space="preserve">2) </w:t>
      </w:r>
      <w:r>
        <w:rPr>
          <w:b/>
          <w:bCs/>
        </w:rPr>
        <w:t>Adopt D̂ᵢ‑conditioned thresholds with sequential evidence.</w:t>
      </w:r>
      <w:r>
        <w:t xml:space="preserve"> Use per-client thresholds to control false alarms, but also layer a sequential/trajectory mechanism to detect persistent low-amplitude poisoning that stays within per-round bands. </w:t>
      </w:r>
      <w:hyperlink r:id="rId101">
        <w:r>
          <w:rPr>
            <w:rStyle w:val="Hyperlink"/>
          </w:rPr>
          <w:t>[66]</w:t>
        </w:r>
      </w:hyperlink>
    </w:p>
    <w:p w14:paraId="2FB0E699" w14:textId="77777777" w:rsidR="0042488A" w:rsidRDefault="00000000">
      <w:pPr>
        <w:pStyle w:val="BodyText"/>
      </w:pPr>
      <w:r>
        <w:t xml:space="preserve">3) </w:t>
      </w:r>
      <w:r>
        <w:rPr>
          <w:b/>
          <w:bCs/>
        </w:rPr>
        <w:t>Use multi-feature scoring rather than a single distance metric.</w:t>
      </w:r>
      <w:r>
        <w:t xml:space="preserve"> Adaptive attacks can satisfy multiple constraints; robustness improves when the attacker must simultaneously </w:t>
      </w:r>
      <w:r>
        <w:lastRenderedPageBreak/>
        <w:t xml:space="preserve">match several independent statistics conditioned on D̂ᵢ (e.g., per-layer norm profile + direction residual + difference-trajectory features). </w:t>
      </w:r>
      <w:hyperlink r:id="rId102">
        <w:r>
          <w:rPr>
            <w:rStyle w:val="Hyperlink"/>
          </w:rPr>
          <w:t>[67]</w:t>
        </w:r>
      </w:hyperlink>
    </w:p>
    <w:p w14:paraId="308B4A68" w14:textId="77777777" w:rsidR="0042488A" w:rsidRDefault="00000000">
      <w:pPr>
        <w:pStyle w:val="BodyText"/>
      </w:pPr>
      <w:r>
        <w:t xml:space="preserve">4) </w:t>
      </w:r>
      <w:r>
        <w:rPr>
          <w:b/>
          <w:bCs/>
        </w:rPr>
        <w:t>Plan for Sybils and enrollment control.</w:t>
      </w:r>
      <w:r>
        <w:t xml:space="preserve"> If the attacker can spawn clients, incorporate admission control, reputational gating, or identity proofs; PoisonedFL highlights that attacks can work even with minimal knowledge and fake clients. </w:t>
      </w:r>
      <w:hyperlink r:id="rId103">
        <w:r>
          <w:rPr>
            <w:rStyle w:val="Hyperlink"/>
          </w:rPr>
          <w:t>[19]</w:t>
        </w:r>
      </w:hyperlink>
    </w:p>
    <w:p w14:paraId="6AB254EA" w14:textId="77777777" w:rsidR="0042488A" w:rsidRDefault="00000000">
      <w:pPr>
        <w:pStyle w:val="BodyText"/>
      </w:pPr>
      <w:r>
        <w:t xml:space="preserve">5) </w:t>
      </w:r>
      <w:r>
        <w:rPr>
          <w:b/>
          <w:bCs/>
        </w:rPr>
        <w:t>If secure aggregation is required, redesign detection around verifiable summaries.</w:t>
      </w:r>
      <w:r>
        <w:t xml:space="preserve"> Either (a) compute per-client anomaly features locally and submit verifiable proofs, or (b) use a two-stage server-side mechanism with verifiable execution for the steps that affect client inclusion (as a design direction). </w:t>
      </w:r>
      <w:hyperlink r:id="rId104">
        <w:r>
          <w:rPr>
            <w:rStyle w:val="Hyperlink"/>
          </w:rPr>
          <w:t>[32]</w:t>
        </w:r>
      </w:hyperlink>
    </w:p>
    <w:p w14:paraId="56708CBE" w14:textId="77777777" w:rsidR="0042488A" w:rsidRDefault="00000000">
      <w:pPr>
        <w:pStyle w:val="BodyText"/>
      </w:pPr>
      <w:r>
        <w:t xml:space="preserve">6) </w:t>
      </w:r>
      <w:r>
        <w:rPr>
          <w:b/>
          <w:bCs/>
        </w:rPr>
        <w:t>Operationalize alerts:</w:t>
      </w:r>
      <w:r>
        <w:t xml:space="preserve"> Treat client-flagging as an incident signal, not just a training-time filter. Maintain audit logs of D̂ᵢ evolution, threshold crossings, and quarantines, and feed these into IoT security operations workflows.</w:t>
      </w:r>
    </w:p>
    <w:p w14:paraId="36D438E7" w14:textId="77777777" w:rsidR="0042488A" w:rsidRDefault="00000000">
      <w:pPr>
        <w:pStyle w:val="Heading2"/>
      </w:pPr>
      <w:bookmarkStart w:id="38" w:name="prioritized-reading-list"/>
      <w:bookmarkEnd w:id="33"/>
      <w:bookmarkEnd w:id="37"/>
      <w:r>
        <w:t>Prioritized reading list</w:t>
      </w:r>
    </w:p>
    <w:p w14:paraId="0697D4A2" w14:textId="77777777" w:rsidR="0042488A" w:rsidRDefault="00000000">
      <w:pPr>
        <w:pStyle w:val="FirstParagraph"/>
      </w:pPr>
      <w:r>
        <w:t xml:space="preserve">1) </w:t>
      </w:r>
      <w:r>
        <w:rPr>
          <w:b/>
          <w:bCs/>
        </w:rPr>
        <w:t>Fair detection of poisoning attacks in federated learning on non‑IID data</w:t>
      </w:r>
      <w:r>
        <w:t xml:space="preserve"> — establishes why global outlier rejection can be unfair/incorrect under heterogeneity and proposes more nuanced clustering-based detection. </w:t>
      </w:r>
      <w:hyperlink r:id="rId105">
        <w:r>
          <w:rPr>
            <w:rStyle w:val="Hyperlink"/>
          </w:rPr>
          <w:t>[11]</w:t>
        </w:r>
      </w:hyperlink>
      <w:r>
        <w:br/>
        <w:t xml:space="preserve">2) </w:t>
      </w:r>
      <w:r>
        <w:rPr>
          <w:b/>
          <w:bCs/>
        </w:rPr>
        <w:t>PoisonedFL: model poisoning via multi-round consistency (2024)</w:t>
      </w:r>
      <w:r>
        <w:t xml:space="preserve"> — exemplifies stealthy, defense-agnostic poisoning that defeats stateful defenses by remaining consistent; highly relevant to masquerade threat models. </w:t>
      </w:r>
      <w:hyperlink r:id="rId106">
        <w:r>
          <w:rPr>
            <w:rStyle w:val="Hyperlink"/>
          </w:rPr>
          <w:t>[68]</w:t>
        </w:r>
      </w:hyperlink>
      <w:r>
        <w:br/>
        <w:t xml:space="preserve">3) </w:t>
      </w:r>
      <w:r>
        <w:rPr>
          <w:b/>
          <w:bCs/>
        </w:rPr>
        <w:t>Automatic Adversarial Adaption for Stealthy Poisoning Attacks (NDSS 2024)</w:t>
      </w:r>
      <w:r>
        <w:t xml:space="preserve"> — shows how attackers can automatically satisfy multiple defense constraints, stressing the need for robust, multi-signal detectors. </w:t>
      </w:r>
      <w:hyperlink r:id="rId107">
        <w:r>
          <w:rPr>
            <w:rStyle w:val="Hyperlink"/>
          </w:rPr>
          <w:t>[58]</w:t>
        </w:r>
      </w:hyperlink>
      <w:r>
        <w:br/>
        <w:t xml:space="preserve">4) </w:t>
      </w:r>
      <w:r>
        <w:rPr>
          <w:b/>
          <w:bCs/>
        </w:rPr>
        <w:t>Identifying alternately poisoning attacks online using trajectory anomaly detection (2024)</w:t>
      </w:r>
      <w:r>
        <w:t xml:space="preserve"> — directly studies covert attacks that bypass cosine similarity/clustering and proposes trajectory/difference-based detection. </w:t>
      </w:r>
      <w:hyperlink r:id="rId108">
        <w:r>
          <w:rPr>
            <w:rStyle w:val="Hyperlink"/>
          </w:rPr>
          <w:t>[24]</w:t>
        </w:r>
      </w:hyperlink>
      <w:r>
        <w:br/>
        <w:t xml:space="preserve">5) </w:t>
      </w:r>
      <w:r>
        <w:rPr>
          <w:b/>
          <w:bCs/>
        </w:rPr>
        <w:t>Poisoning attacks on federated learning-based IoT intrusion detection (DISS 2020)</w:t>
      </w:r>
      <w:r>
        <w:t xml:space="preserve"> — a primary FL‑IDS attack paper that motivates why FL‑IDS is vulnerable to poisoning/backdoors. </w:t>
      </w:r>
      <w:hyperlink r:id="rId109">
        <w:r>
          <w:rPr>
            <w:rStyle w:val="Hyperlink"/>
          </w:rPr>
          <w:t>[69]</w:t>
        </w:r>
      </w:hyperlink>
      <w:r>
        <w:br/>
        <w:t xml:space="preserve">6) </w:t>
      </w:r>
      <w:r>
        <w:rPr>
          <w:b/>
          <w:bCs/>
        </w:rPr>
        <w:t>pFL‑IDS (2024)</w:t>
      </w:r>
      <w:r>
        <w:t xml:space="preserve"> — IoT FL‑IDS paper emphasizing non‑IID client drift and poisoning, and proposing similarity-based poisoned-client detection (useful baseline). </w:t>
      </w:r>
      <w:hyperlink r:id="rId110">
        <w:r>
          <w:rPr>
            <w:rStyle w:val="Hyperlink"/>
          </w:rPr>
          <w:t>[51]</w:t>
        </w:r>
      </w:hyperlink>
      <w:r>
        <w:br/>
        <w:t xml:space="preserve">7) </w:t>
      </w:r>
      <w:r>
        <w:rPr>
          <w:b/>
          <w:bCs/>
        </w:rPr>
        <w:t>Enhanced federated anomaly detection thresholding (Scientific Reports 2024)</w:t>
      </w:r>
      <w:r>
        <w:t xml:space="preserve"> — provides a rigorous, recent blueprint for threshold calibration under non‑IID using aggregated summary statistics; transferable to update-score thresholding. </w:t>
      </w:r>
      <w:hyperlink r:id="rId111">
        <w:r>
          <w:rPr>
            <w:rStyle w:val="Hyperlink"/>
          </w:rPr>
          <w:t>[15]</w:t>
        </w:r>
      </w:hyperlink>
      <w:r>
        <w:br/>
        <w:t xml:space="preserve">8) </w:t>
      </w:r>
      <w:r>
        <w:rPr>
          <w:b/>
          <w:bCs/>
        </w:rPr>
        <w:t>Krum / Byzantine-tolerant aggregation (NeurIPS 2017)</w:t>
      </w:r>
      <w:r>
        <w:t xml:space="preserve"> — seminal robust aggregation baseline, still commonly compared against in FL security evaluations. </w:t>
      </w:r>
      <w:hyperlink r:id="rId112">
        <w:r>
          <w:rPr>
            <w:rStyle w:val="Hyperlink"/>
          </w:rPr>
          <w:t>[70]</w:t>
        </w:r>
      </w:hyperlink>
    </w:p>
    <w:bookmarkEnd w:id="1"/>
    <w:bookmarkEnd w:id="2"/>
    <w:bookmarkEnd w:id="38"/>
    <w:p w14:paraId="09C4EEBF" w14:textId="77777777" w:rsidR="0042488A" w:rsidRDefault="00F2357D">
      <w:r>
        <w:rPr>
          <w:noProof/>
        </w:rPr>
        <w:pict w14:anchorId="4CCE6435">
          <v:rect id="_x0000_i1025" alt="" style="width:468pt;height:.05pt;mso-width-percent:0;mso-height-percent:0;mso-width-percent:0;mso-height-percent:0" o:hralign="center" o:hrstd="t" o:hr="t"/>
        </w:pict>
      </w:r>
    </w:p>
    <w:bookmarkStart w:id="39" w:name="citations"/>
    <w:p w14:paraId="6307C916" w14:textId="77777777" w:rsidR="0042488A" w:rsidRDefault="00000000">
      <w:pPr>
        <w:pStyle w:val="FirstParagraph"/>
      </w:pPr>
      <w:r>
        <w:fldChar w:fldCharType="begin"/>
      </w:r>
      <w:r>
        <w:instrText>HYPERLINK "https://proceedings.mlr.press/v54/mcmahan17a/mcmahan17a.pdf" \h</w:instrText>
      </w:r>
      <w:r>
        <w:fldChar w:fldCharType="separate"/>
      </w:r>
      <w:r>
        <w:rPr>
          <w:rStyle w:val="Hyperlink"/>
        </w:rPr>
        <w:t>[1]</w:t>
      </w:r>
      <w:r>
        <w:fldChar w:fldCharType="end"/>
      </w:r>
      <w:r>
        <w:t xml:space="preserve"> </w:t>
      </w:r>
      <w:hyperlink r:id="rId113">
        <w:r>
          <w:rPr>
            <w:rStyle w:val="Hyperlink"/>
          </w:rPr>
          <w:t>[9]</w:t>
        </w:r>
      </w:hyperlink>
      <w:r>
        <w:t xml:space="preserve"> </w:t>
      </w:r>
      <w:hyperlink r:id="rId114">
        <w:r>
          <w:rPr>
            <w:rStyle w:val="Hyperlink"/>
          </w:rPr>
          <w:t>[54]</w:t>
        </w:r>
      </w:hyperlink>
      <w:r>
        <w:t xml:space="preserve"> </w:t>
      </w:r>
      <w:hyperlink r:id="rId115">
        <w:r>
          <w:rPr>
            <w:rStyle w:val="Hyperlink"/>
          </w:rPr>
          <w:t>[59]</w:t>
        </w:r>
      </w:hyperlink>
      <w:r>
        <w:t xml:space="preserve"> </w:t>
      </w:r>
      <w:hyperlink r:id="rId116">
        <w:r>
          <w:rPr>
            <w:rStyle w:val="Hyperlink"/>
          </w:rPr>
          <w:t>[61]</w:t>
        </w:r>
      </w:hyperlink>
      <w:r>
        <w:t xml:space="preserve"> https://proceedings.mlr.press/v54/mcmahan17a/mcmahan17a.pdf</w:t>
      </w:r>
    </w:p>
    <w:p w14:paraId="3CBA3792" w14:textId="77777777" w:rsidR="0042488A" w:rsidRDefault="00000000">
      <w:pPr>
        <w:pStyle w:val="BodyText"/>
      </w:pPr>
      <w:hyperlink r:id="rId117">
        <w:r>
          <w:rPr>
            <w:rStyle w:val="Hyperlink"/>
          </w:rPr>
          <w:t>https://proceedings.mlr.press/v54/mcmahan17a/mcmahan17a.pdf</w:t>
        </w:r>
      </w:hyperlink>
    </w:p>
    <w:p w14:paraId="4EF2A911" w14:textId="77777777" w:rsidR="0042488A" w:rsidRDefault="00000000">
      <w:pPr>
        <w:pStyle w:val="BodyText"/>
      </w:pPr>
      <w:hyperlink r:id="rId118">
        <w:r>
          <w:rPr>
            <w:rStyle w:val="Hyperlink"/>
          </w:rPr>
          <w:t>[2]</w:t>
        </w:r>
      </w:hyperlink>
      <w:r>
        <w:t xml:space="preserve"> </w:t>
      </w:r>
      <w:hyperlink r:id="rId119">
        <w:r>
          <w:rPr>
            <w:rStyle w:val="Hyperlink"/>
          </w:rPr>
          <w:t>[4]</w:t>
        </w:r>
      </w:hyperlink>
      <w:r>
        <w:t xml:space="preserve"> </w:t>
      </w:r>
      <w:hyperlink r:id="rId120">
        <w:r>
          <w:rPr>
            <w:rStyle w:val="Hyperlink"/>
          </w:rPr>
          <w:t>[5]</w:t>
        </w:r>
      </w:hyperlink>
      <w:r>
        <w:t xml:space="preserve"> </w:t>
      </w:r>
      <w:hyperlink r:id="rId121">
        <w:r>
          <w:rPr>
            <w:rStyle w:val="Hyperlink"/>
          </w:rPr>
          <w:t>[11]</w:t>
        </w:r>
      </w:hyperlink>
      <w:r>
        <w:t xml:space="preserve"> </w:t>
      </w:r>
      <w:hyperlink r:id="rId122">
        <w:r>
          <w:rPr>
            <w:rStyle w:val="Hyperlink"/>
          </w:rPr>
          <w:t>[25]</w:t>
        </w:r>
      </w:hyperlink>
      <w:r>
        <w:t xml:space="preserve"> </w:t>
      </w:r>
      <w:hyperlink r:id="rId123">
        <w:r>
          <w:rPr>
            <w:rStyle w:val="Hyperlink"/>
          </w:rPr>
          <w:t>[35]</w:t>
        </w:r>
      </w:hyperlink>
      <w:r>
        <w:t xml:space="preserve"> </w:t>
      </w:r>
      <w:hyperlink r:id="rId124">
        <w:r>
          <w:rPr>
            <w:rStyle w:val="Hyperlink"/>
          </w:rPr>
          <w:t>[39]</w:t>
        </w:r>
      </w:hyperlink>
      <w:r>
        <w:t xml:space="preserve"> </w:t>
      </w:r>
      <w:hyperlink r:id="rId125">
        <w:r>
          <w:rPr>
            <w:rStyle w:val="Hyperlink"/>
          </w:rPr>
          <w:t>[40]</w:t>
        </w:r>
      </w:hyperlink>
      <w:r>
        <w:t xml:space="preserve"> https://pmc.ncbi.nlm.nih.gov/articles/PMC9812008/</w:t>
      </w:r>
    </w:p>
    <w:p w14:paraId="4E4CC086" w14:textId="77777777" w:rsidR="0042488A" w:rsidRDefault="00000000">
      <w:pPr>
        <w:pStyle w:val="BodyText"/>
      </w:pPr>
      <w:hyperlink r:id="rId126">
        <w:r>
          <w:rPr>
            <w:rStyle w:val="Hyperlink"/>
          </w:rPr>
          <w:t>https://pmc.ncbi.nlm.nih.gov/articles/PMC9812008/</w:t>
        </w:r>
      </w:hyperlink>
    </w:p>
    <w:p w14:paraId="7182BC3A" w14:textId="77777777" w:rsidR="0042488A" w:rsidRDefault="00000000">
      <w:pPr>
        <w:pStyle w:val="BodyText"/>
      </w:pPr>
      <w:hyperlink r:id="rId127">
        <w:r>
          <w:rPr>
            <w:rStyle w:val="Hyperlink"/>
          </w:rPr>
          <w:t>[3]</w:t>
        </w:r>
      </w:hyperlink>
      <w:r>
        <w:t xml:space="preserve"> </w:t>
      </w:r>
      <w:hyperlink r:id="rId128">
        <w:r>
          <w:rPr>
            <w:rStyle w:val="Hyperlink"/>
          </w:rPr>
          <w:t>[13]</w:t>
        </w:r>
      </w:hyperlink>
      <w:r>
        <w:t xml:space="preserve"> </w:t>
      </w:r>
      <w:hyperlink r:id="rId129">
        <w:r>
          <w:rPr>
            <w:rStyle w:val="Hyperlink"/>
          </w:rPr>
          <w:t>[34]</w:t>
        </w:r>
      </w:hyperlink>
      <w:r>
        <w:t xml:space="preserve"> </w:t>
      </w:r>
      <w:hyperlink r:id="rId130">
        <w:r>
          <w:rPr>
            <w:rStyle w:val="Hyperlink"/>
          </w:rPr>
          <w:t>[55]</w:t>
        </w:r>
      </w:hyperlink>
      <w:r>
        <w:t xml:space="preserve"> </w:t>
      </w:r>
      <w:hyperlink r:id="rId131">
        <w:r>
          <w:rPr>
            <w:rStyle w:val="Hyperlink"/>
          </w:rPr>
          <w:t>[56]</w:t>
        </w:r>
      </w:hyperlink>
      <w:r>
        <w:t xml:space="preserve"> https://www.princeton.edu/~pmittal/publications/bhagoji-icml19.pdf</w:t>
      </w:r>
    </w:p>
    <w:p w14:paraId="3F7BFE52" w14:textId="77777777" w:rsidR="0042488A" w:rsidRDefault="00000000">
      <w:pPr>
        <w:pStyle w:val="BodyText"/>
      </w:pPr>
      <w:hyperlink r:id="rId132">
        <w:r>
          <w:rPr>
            <w:rStyle w:val="Hyperlink"/>
          </w:rPr>
          <w:t>https://www.princeton.edu/~pmittal/publications/bhagoji-icml19.pdf</w:t>
        </w:r>
      </w:hyperlink>
    </w:p>
    <w:p w14:paraId="12D8765E" w14:textId="77777777" w:rsidR="0042488A" w:rsidRDefault="00000000">
      <w:pPr>
        <w:pStyle w:val="BodyText"/>
      </w:pPr>
      <w:hyperlink r:id="rId133">
        <w:r>
          <w:rPr>
            <w:rStyle w:val="Hyperlink"/>
          </w:rPr>
          <w:t>[6]</w:t>
        </w:r>
      </w:hyperlink>
      <w:r>
        <w:t xml:space="preserve"> </w:t>
      </w:r>
      <w:hyperlink r:id="rId134">
        <w:r>
          <w:rPr>
            <w:rStyle w:val="Hyperlink"/>
          </w:rPr>
          <w:t>[15]</w:t>
        </w:r>
      </w:hyperlink>
      <w:r>
        <w:t xml:space="preserve"> </w:t>
      </w:r>
      <w:hyperlink r:id="rId135">
        <w:r>
          <w:rPr>
            <w:rStyle w:val="Hyperlink"/>
          </w:rPr>
          <w:t>[26]</w:t>
        </w:r>
      </w:hyperlink>
      <w:r>
        <w:t xml:space="preserve"> </w:t>
      </w:r>
      <w:hyperlink r:id="rId136">
        <w:r>
          <w:rPr>
            <w:rStyle w:val="Hyperlink"/>
          </w:rPr>
          <w:t>[53]</w:t>
        </w:r>
      </w:hyperlink>
      <w:r>
        <w:t xml:space="preserve"> </w:t>
      </w:r>
      <w:hyperlink r:id="rId137">
        <w:r>
          <w:rPr>
            <w:rStyle w:val="Hyperlink"/>
          </w:rPr>
          <w:t>[63]</w:t>
        </w:r>
      </w:hyperlink>
      <w:r>
        <w:t xml:space="preserve"> https://www.nature.com/articles/s41598-024-76961-2</w:t>
      </w:r>
    </w:p>
    <w:p w14:paraId="1541C12D" w14:textId="77777777" w:rsidR="0042488A" w:rsidRDefault="00000000">
      <w:pPr>
        <w:pStyle w:val="BodyText"/>
      </w:pPr>
      <w:hyperlink r:id="rId138">
        <w:r>
          <w:rPr>
            <w:rStyle w:val="Hyperlink"/>
          </w:rPr>
          <w:t>https://www.nature.com/articles/s41598-024-76961-2</w:t>
        </w:r>
      </w:hyperlink>
    </w:p>
    <w:p w14:paraId="169CAAB3" w14:textId="77777777" w:rsidR="0042488A" w:rsidRDefault="00000000">
      <w:pPr>
        <w:pStyle w:val="BodyText"/>
      </w:pPr>
      <w:hyperlink r:id="rId139">
        <w:r>
          <w:rPr>
            <w:rStyle w:val="Hyperlink"/>
          </w:rPr>
          <w:t>[7]</w:t>
        </w:r>
      </w:hyperlink>
      <w:r>
        <w:t xml:space="preserve"> </w:t>
      </w:r>
      <w:hyperlink r:id="rId140">
        <w:r>
          <w:rPr>
            <w:rStyle w:val="Hyperlink"/>
          </w:rPr>
          <w:t>[17]</w:t>
        </w:r>
      </w:hyperlink>
      <w:r>
        <w:t xml:space="preserve"> </w:t>
      </w:r>
      <w:hyperlink r:id="rId141">
        <w:r>
          <w:rPr>
            <w:rStyle w:val="Hyperlink"/>
          </w:rPr>
          <w:t>[19]</w:t>
        </w:r>
      </w:hyperlink>
      <w:r>
        <w:t xml:space="preserve"> </w:t>
      </w:r>
      <w:hyperlink r:id="rId142">
        <w:r>
          <w:rPr>
            <w:rStyle w:val="Hyperlink"/>
          </w:rPr>
          <w:t>[20]</w:t>
        </w:r>
      </w:hyperlink>
      <w:r>
        <w:t xml:space="preserve"> </w:t>
      </w:r>
      <w:hyperlink r:id="rId143">
        <w:r>
          <w:rPr>
            <w:rStyle w:val="Hyperlink"/>
          </w:rPr>
          <w:t>[22]</w:t>
        </w:r>
      </w:hyperlink>
      <w:r>
        <w:t xml:space="preserve"> </w:t>
      </w:r>
      <w:hyperlink r:id="rId144">
        <w:r>
          <w:rPr>
            <w:rStyle w:val="Hyperlink"/>
          </w:rPr>
          <w:t>[33]</w:t>
        </w:r>
      </w:hyperlink>
      <w:r>
        <w:t xml:space="preserve"> </w:t>
      </w:r>
      <w:hyperlink r:id="rId145">
        <w:r>
          <w:rPr>
            <w:rStyle w:val="Hyperlink"/>
          </w:rPr>
          <w:t>[38]</w:t>
        </w:r>
      </w:hyperlink>
      <w:r>
        <w:t xml:space="preserve"> </w:t>
      </w:r>
      <w:hyperlink r:id="rId146">
        <w:r>
          <w:rPr>
            <w:rStyle w:val="Hyperlink"/>
          </w:rPr>
          <w:t>[68]</w:t>
        </w:r>
      </w:hyperlink>
      <w:r>
        <w:t xml:space="preserve"> https://arxiv.org/html/2404.15611v1</w:t>
      </w:r>
    </w:p>
    <w:p w14:paraId="134D5638" w14:textId="77777777" w:rsidR="0042488A" w:rsidRDefault="00000000">
      <w:pPr>
        <w:pStyle w:val="BodyText"/>
      </w:pPr>
      <w:hyperlink r:id="rId147">
        <w:r>
          <w:rPr>
            <w:rStyle w:val="Hyperlink"/>
          </w:rPr>
          <w:t>https://arxiv.org/html/2404.15611v1</w:t>
        </w:r>
      </w:hyperlink>
    </w:p>
    <w:p w14:paraId="18F156DF" w14:textId="77777777" w:rsidR="0042488A" w:rsidRDefault="00000000">
      <w:pPr>
        <w:pStyle w:val="BodyText"/>
      </w:pPr>
      <w:hyperlink r:id="rId148">
        <w:r>
          <w:rPr>
            <w:rStyle w:val="Hyperlink"/>
          </w:rPr>
          <w:t>[8]</w:t>
        </w:r>
      </w:hyperlink>
      <w:r>
        <w:t xml:space="preserve"> </w:t>
      </w:r>
      <w:hyperlink r:id="rId149">
        <w:r>
          <w:rPr>
            <w:rStyle w:val="Hyperlink"/>
          </w:rPr>
          <w:t>[32]</w:t>
        </w:r>
      </w:hyperlink>
      <w:r>
        <w:t xml:space="preserve"> https://www.ndss-symposium.org/wp-content/uploads/prism2026-13.pdf</w:t>
      </w:r>
    </w:p>
    <w:p w14:paraId="7D9E6926" w14:textId="77777777" w:rsidR="0042488A" w:rsidRDefault="00000000">
      <w:pPr>
        <w:pStyle w:val="BodyText"/>
      </w:pPr>
      <w:hyperlink r:id="rId150">
        <w:r>
          <w:rPr>
            <w:rStyle w:val="Hyperlink"/>
          </w:rPr>
          <w:t>https://www.ndss-symposium.org/wp-content/uploads/prism2026-13.pdf</w:t>
        </w:r>
      </w:hyperlink>
    </w:p>
    <w:p w14:paraId="4134C33A" w14:textId="77777777" w:rsidR="0042488A" w:rsidRDefault="00000000">
      <w:pPr>
        <w:pStyle w:val="BodyText"/>
      </w:pPr>
      <w:hyperlink r:id="rId151">
        <w:r>
          <w:rPr>
            <w:rStyle w:val="Hyperlink"/>
          </w:rPr>
          <w:t>[10]</w:t>
        </w:r>
      </w:hyperlink>
      <w:r>
        <w:t xml:space="preserve"> </w:t>
      </w:r>
      <w:hyperlink r:id="rId152">
        <w:r>
          <w:rPr>
            <w:rStyle w:val="Hyperlink"/>
          </w:rPr>
          <w:t>[16]</w:t>
        </w:r>
      </w:hyperlink>
      <w:r>
        <w:t xml:space="preserve"> </w:t>
      </w:r>
      <w:hyperlink r:id="rId153">
        <w:r>
          <w:rPr>
            <w:rStyle w:val="Hyperlink"/>
          </w:rPr>
          <w:t>[42]</w:t>
        </w:r>
      </w:hyperlink>
      <w:r>
        <w:t xml:space="preserve"> </w:t>
      </w:r>
      <w:hyperlink r:id="rId154">
        <w:r>
          <w:rPr>
            <w:rStyle w:val="Hyperlink"/>
          </w:rPr>
          <w:t>[49]</w:t>
        </w:r>
      </w:hyperlink>
      <w:r>
        <w:t xml:space="preserve"> </w:t>
      </w:r>
      <w:hyperlink r:id="rId155">
        <w:r>
          <w:rPr>
            <w:rStyle w:val="Hyperlink"/>
          </w:rPr>
          <w:t>[51]</w:t>
        </w:r>
      </w:hyperlink>
      <w:r>
        <w:t xml:space="preserve"> </w:t>
      </w:r>
      <w:hyperlink r:id="rId156">
        <w:r>
          <w:rPr>
            <w:rStyle w:val="Hyperlink"/>
          </w:rPr>
          <w:t>[62]</w:t>
        </w:r>
      </w:hyperlink>
      <w:r>
        <w:t xml:space="preserve"> https://www.sciencedirect.com/science/article/pii/S0167739X23003783</w:t>
      </w:r>
    </w:p>
    <w:p w14:paraId="20325B9E" w14:textId="77777777" w:rsidR="0042488A" w:rsidRDefault="00000000">
      <w:pPr>
        <w:pStyle w:val="BodyText"/>
      </w:pPr>
      <w:hyperlink r:id="rId157">
        <w:r>
          <w:rPr>
            <w:rStyle w:val="Hyperlink"/>
          </w:rPr>
          <w:t>https://www.sciencedirect.com/science/article/pii/S0167739X23003783</w:t>
        </w:r>
      </w:hyperlink>
    </w:p>
    <w:p w14:paraId="46F1842E" w14:textId="77777777" w:rsidR="0042488A" w:rsidRDefault="00000000">
      <w:pPr>
        <w:pStyle w:val="BodyText"/>
      </w:pPr>
      <w:hyperlink r:id="rId158">
        <w:r>
          <w:rPr>
            <w:rStyle w:val="Hyperlink"/>
          </w:rPr>
          <w:t>[12]</w:t>
        </w:r>
      </w:hyperlink>
      <w:r>
        <w:t xml:space="preserve"> https://www.schonlau.net/publication/01statscigalley.pdf</w:t>
      </w:r>
    </w:p>
    <w:p w14:paraId="3A68B300" w14:textId="77777777" w:rsidR="0042488A" w:rsidRDefault="00000000">
      <w:pPr>
        <w:pStyle w:val="BodyText"/>
      </w:pPr>
      <w:hyperlink r:id="rId159">
        <w:r>
          <w:rPr>
            <w:rStyle w:val="Hyperlink"/>
          </w:rPr>
          <w:t>https://www.schonlau.net/publication/01statscigalley.pdf</w:t>
        </w:r>
      </w:hyperlink>
    </w:p>
    <w:p w14:paraId="5DA7DC1E" w14:textId="77777777" w:rsidR="0042488A" w:rsidRDefault="00000000">
      <w:pPr>
        <w:pStyle w:val="BodyText"/>
      </w:pPr>
      <w:hyperlink r:id="rId160">
        <w:r>
          <w:rPr>
            <w:rStyle w:val="Hyperlink"/>
          </w:rPr>
          <w:t>[14]</w:t>
        </w:r>
      </w:hyperlink>
      <w:r>
        <w:t xml:space="preserve"> </w:t>
      </w:r>
      <w:hyperlink r:id="rId161">
        <w:r>
          <w:rPr>
            <w:rStyle w:val="Hyperlink"/>
          </w:rPr>
          <w:t>[23]</w:t>
        </w:r>
      </w:hyperlink>
      <w:r>
        <w:t xml:space="preserve"> </w:t>
      </w:r>
      <w:hyperlink r:id="rId162">
        <w:r>
          <w:rPr>
            <w:rStyle w:val="Hyperlink"/>
          </w:rPr>
          <w:t>[24]</w:t>
        </w:r>
      </w:hyperlink>
      <w:r>
        <w:t xml:space="preserve"> </w:t>
      </w:r>
      <w:hyperlink r:id="rId163">
        <w:r>
          <w:rPr>
            <w:rStyle w:val="Hyperlink"/>
          </w:rPr>
          <w:t>[36]</w:t>
        </w:r>
      </w:hyperlink>
      <w:r>
        <w:t xml:space="preserve"> </w:t>
      </w:r>
      <w:hyperlink r:id="rId164">
        <w:r>
          <w:rPr>
            <w:rStyle w:val="Hyperlink"/>
          </w:rPr>
          <w:t>[52]</w:t>
        </w:r>
      </w:hyperlink>
      <w:r>
        <w:t xml:space="preserve"> </w:t>
      </w:r>
      <w:hyperlink r:id="rId165">
        <w:r>
          <w:rPr>
            <w:rStyle w:val="Hyperlink"/>
          </w:rPr>
          <w:t>[66]</w:t>
        </w:r>
      </w:hyperlink>
      <w:r>
        <w:t xml:space="preserve"> https://pmc.ncbi.nlm.nih.gov/articles/PMC11366002/</w:t>
      </w:r>
    </w:p>
    <w:p w14:paraId="0BB451EE" w14:textId="77777777" w:rsidR="0042488A" w:rsidRDefault="00000000">
      <w:pPr>
        <w:pStyle w:val="BodyText"/>
      </w:pPr>
      <w:hyperlink r:id="rId166">
        <w:r>
          <w:rPr>
            <w:rStyle w:val="Hyperlink"/>
          </w:rPr>
          <w:t>https://pmc.ncbi.nlm.nih.gov/articles/PMC11366002/</w:t>
        </w:r>
      </w:hyperlink>
    </w:p>
    <w:p w14:paraId="1FB7C193" w14:textId="77777777" w:rsidR="0042488A" w:rsidRDefault="00000000">
      <w:pPr>
        <w:pStyle w:val="BodyText"/>
      </w:pPr>
      <w:hyperlink r:id="rId167">
        <w:r>
          <w:rPr>
            <w:rStyle w:val="Hyperlink"/>
          </w:rPr>
          <w:t>[18]</w:t>
        </w:r>
      </w:hyperlink>
      <w:r>
        <w:t xml:space="preserve"> </w:t>
      </w:r>
      <w:hyperlink r:id="rId168">
        <w:r>
          <w:rPr>
            <w:rStyle w:val="Hyperlink"/>
          </w:rPr>
          <w:t>[69]</w:t>
        </w:r>
      </w:hyperlink>
      <w:r>
        <w:t xml:space="preserve"> https://www.ndss-symposium.org/wp-content/uploads/2020/04/diss2020-23003-paper.pdf</w:t>
      </w:r>
    </w:p>
    <w:p w14:paraId="6789DB06" w14:textId="77777777" w:rsidR="0042488A" w:rsidRDefault="00000000">
      <w:pPr>
        <w:pStyle w:val="BodyText"/>
      </w:pPr>
      <w:hyperlink r:id="rId169">
        <w:r>
          <w:rPr>
            <w:rStyle w:val="Hyperlink"/>
          </w:rPr>
          <w:t>https://www.ndss-symposium.org/wp-content/uploads/2020/04/diss2020-23003-paper.pdf</w:t>
        </w:r>
      </w:hyperlink>
    </w:p>
    <w:p w14:paraId="2EA45EFB" w14:textId="77777777" w:rsidR="0042488A" w:rsidRDefault="00000000">
      <w:pPr>
        <w:pStyle w:val="BodyText"/>
      </w:pPr>
      <w:hyperlink r:id="rId170">
        <w:r>
          <w:rPr>
            <w:rStyle w:val="Hyperlink"/>
          </w:rPr>
          <w:t>[21]</w:t>
        </w:r>
      </w:hyperlink>
      <w:r>
        <w:t xml:space="preserve"> </w:t>
      </w:r>
      <w:hyperlink r:id="rId171">
        <w:r>
          <w:rPr>
            <w:rStyle w:val="Hyperlink"/>
          </w:rPr>
          <w:t>[58]</w:t>
        </w:r>
      </w:hyperlink>
      <w:r>
        <w:t xml:space="preserve"> </w:t>
      </w:r>
      <w:hyperlink r:id="rId172">
        <w:r>
          <w:rPr>
            <w:rStyle w:val="Hyperlink"/>
          </w:rPr>
          <w:t>[60]</w:t>
        </w:r>
      </w:hyperlink>
      <w:r>
        <w:t xml:space="preserve"> </w:t>
      </w:r>
      <w:hyperlink r:id="rId173">
        <w:r>
          <w:rPr>
            <w:rStyle w:val="Hyperlink"/>
          </w:rPr>
          <w:t>[64]</w:t>
        </w:r>
      </w:hyperlink>
      <w:r>
        <w:t xml:space="preserve"> </w:t>
      </w:r>
      <w:hyperlink r:id="rId174">
        <w:r>
          <w:rPr>
            <w:rStyle w:val="Hyperlink"/>
          </w:rPr>
          <w:t>[67]</w:t>
        </w:r>
      </w:hyperlink>
      <w:r>
        <w:t xml:space="preserve"> https://www.ndss-symposium.org/wp-content/uploads/2024-1366-paper.pdf</w:t>
      </w:r>
    </w:p>
    <w:p w14:paraId="72DC88F0" w14:textId="77777777" w:rsidR="0042488A" w:rsidRDefault="00000000">
      <w:pPr>
        <w:pStyle w:val="BodyText"/>
      </w:pPr>
      <w:hyperlink r:id="rId175">
        <w:r>
          <w:rPr>
            <w:rStyle w:val="Hyperlink"/>
          </w:rPr>
          <w:t>https://www.ndss-symposium.org/wp-content/uploads/2024-1366-paper.pdf</w:t>
        </w:r>
      </w:hyperlink>
    </w:p>
    <w:p w14:paraId="117E6384" w14:textId="77777777" w:rsidR="0042488A" w:rsidRDefault="00000000">
      <w:pPr>
        <w:pStyle w:val="BodyText"/>
      </w:pPr>
      <w:hyperlink r:id="rId176">
        <w:r>
          <w:rPr>
            <w:rStyle w:val="Hyperlink"/>
          </w:rPr>
          <w:t>[27]</w:t>
        </w:r>
      </w:hyperlink>
      <w:r>
        <w:t xml:space="preserve"> </w:t>
      </w:r>
      <w:hyperlink r:id="rId177">
        <w:r>
          <w:rPr>
            <w:rStyle w:val="Hyperlink"/>
          </w:rPr>
          <w:t>[31]</w:t>
        </w:r>
      </w:hyperlink>
      <w:r>
        <w:t xml:space="preserve"> https://proceedings.mlr.press/v162/fisch22a/fisch22a.pdf</w:t>
      </w:r>
    </w:p>
    <w:p w14:paraId="38BC69E3" w14:textId="77777777" w:rsidR="0042488A" w:rsidRDefault="00000000">
      <w:pPr>
        <w:pStyle w:val="BodyText"/>
      </w:pPr>
      <w:hyperlink r:id="rId178">
        <w:r>
          <w:rPr>
            <w:rStyle w:val="Hyperlink"/>
          </w:rPr>
          <w:t>https://proceedings.mlr.press/v162/fisch22a/fisch22a.pdf</w:t>
        </w:r>
      </w:hyperlink>
    </w:p>
    <w:p w14:paraId="2F370661" w14:textId="77777777" w:rsidR="0042488A" w:rsidRDefault="00000000">
      <w:pPr>
        <w:pStyle w:val="BodyText"/>
      </w:pPr>
      <w:hyperlink r:id="rId179">
        <w:r>
          <w:rPr>
            <w:rStyle w:val="Hyperlink"/>
          </w:rPr>
          <w:t>[28]</w:t>
        </w:r>
      </w:hyperlink>
      <w:r>
        <w:t xml:space="preserve"> </w:t>
      </w:r>
      <w:hyperlink r:id="rId180">
        <w:r>
          <w:rPr>
            <w:rStyle w:val="Hyperlink"/>
          </w:rPr>
          <w:t>[29]</w:t>
        </w:r>
      </w:hyperlink>
      <w:r>
        <w:t xml:space="preserve"> https://openreview.net/pdf/19ef2f8be77fee9cce8f818f295d64104702fbb6.pdf</w:t>
      </w:r>
    </w:p>
    <w:p w14:paraId="6CFC73B4" w14:textId="77777777" w:rsidR="0042488A" w:rsidRDefault="00000000">
      <w:pPr>
        <w:pStyle w:val="BodyText"/>
      </w:pPr>
      <w:hyperlink r:id="rId181">
        <w:r>
          <w:rPr>
            <w:rStyle w:val="Hyperlink"/>
          </w:rPr>
          <w:t>https://openreview.net/pdf/19ef2f8be77fee9cce8f818f295d64104702fbb6.pdf</w:t>
        </w:r>
      </w:hyperlink>
    </w:p>
    <w:p w14:paraId="2BEFB0A2" w14:textId="77777777" w:rsidR="0042488A" w:rsidRDefault="00000000">
      <w:pPr>
        <w:pStyle w:val="BodyText"/>
      </w:pPr>
      <w:hyperlink r:id="rId182">
        <w:r>
          <w:rPr>
            <w:rStyle w:val="Hyperlink"/>
          </w:rPr>
          <w:t>[30]</w:t>
        </w:r>
      </w:hyperlink>
      <w:r>
        <w:t xml:space="preserve"> https://www.cec.health.nsw.gov.au/__data/assets/pdf_file/0011/605657/Understanding-Variation-with-Shewart-Charts.pdf</w:t>
      </w:r>
    </w:p>
    <w:p w14:paraId="25581470" w14:textId="77777777" w:rsidR="0042488A" w:rsidRDefault="00000000">
      <w:pPr>
        <w:pStyle w:val="BodyText"/>
      </w:pPr>
      <w:hyperlink r:id="rId183">
        <w:r>
          <w:rPr>
            <w:rStyle w:val="Hyperlink"/>
          </w:rPr>
          <w:t>https://www.cec.health.nsw.gov.au/__data/assets/pdf_file/0011/605657/Understanding-Variation-with-Shewart-Charts.pdf</w:t>
        </w:r>
      </w:hyperlink>
    </w:p>
    <w:p w14:paraId="3F14E182" w14:textId="77777777" w:rsidR="0042488A" w:rsidRDefault="00000000">
      <w:pPr>
        <w:pStyle w:val="BodyText"/>
      </w:pPr>
      <w:hyperlink r:id="rId184">
        <w:r>
          <w:rPr>
            <w:rStyle w:val="Hyperlink"/>
          </w:rPr>
          <w:t>[37]</w:t>
        </w:r>
      </w:hyperlink>
      <w:r>
        <w:t xml:space="preserve"> </w:t>
      </w:r>
      <w:hyperlink r:id="rId185">
        <w:r>
          <w:rPr>
            <w:rStyle w:val="Hyperlink"/>
          </w:rPr>
          <w:t>[70]</w:t>
        </w:r>
      </w:hyperlink>
      <w:r>
        <w:t xml:space="preserve"> https://papers.neurips.cc/paper/6617-machine-learning-with-adversaries-byzantine-tolerant-gradient-descent.pdf</w:t>
      </w:r>
    </w:p>
    <w:p w14:paraId="1F1C0362" w14:textId="77777777" w:rsidR="0042488A" w:rsidRDefault="00000000">
      <w:pPr>
        <w:pStyle w:val="BodyText"/>
      </w:pPr>
      <w:hyperlink r:id="rId186">
        <w:r>
          <w:rPr>
            <w:rStyle w:val="Hyperlink"/>
          </w:rPr>
          <w:t>https://papers.neurips.cc/paper/6617-machine-learning-with-adversaries-byzantine-tolerant-gradient-descent.pdf</w:t>
        </w:r>
      </w:hyperlink>
    </w:p>
    <w:p w14:paraId="10BA8133" w14:textId="77777777" w:rsidR="0042488A" w:rsidRDefault="00000000">
      <w:pPr>
        <w:pStyle w:val="BodyText"/>
      </w:pPr>
      <w:hyperlink r:id="rId187">
        <w:r>
          <w:rPr>
            <w:rStyle w:val="Hyperlink"/>
          </w:rPr>
          <w:t>[41]</w:t>
        </w:r>
      </w:hyperlink>
      <w:r>
        <w:t xml:space="preserve"> </w:t>
      </w:r>
      <w:hyperlink r:id="rId188">
        <w:r>
          <w:rPr>
            <w:rStyle w:val="Hyperlink"/>
          </w:rPr>
          <w:t>[50]</w:t>
        </w:r>
      </w:hyperlink>
      <w:r>
        <w:t xml:space="preserve"> https://www.mdpi.com/1424-8220/23/13/5941</w:t>
      </w:r>
    </w:p>
    <w:p w14:paraId="5DFB36A6" w14:textId="77777777" w:rsidR="0042488A" w:rsidRDefault="00000000">
      <w:pPr>
        <w:pStyle w:val="BodyText"/>
      </w:pPr>
      <w:hyperlink r:id="rId189">
        <w:r>
          <w:rPr>
            <w:rStyle w:val="Hyperlink"/>
          </w:rPr>
          <w:t>https://www.mdpi.com/1424-8220/23/13/5941</w:t>
        </w:r>
      </w:hyperlink>
    </w:p>
    <w:p w14:paraId="096C7632" w14:textId="77777777" w:rsidR="0042488A" w:rsidRDefault="00000000">
      <w:pPr>
        <w:pStyle w:val="BodyText"/>
      </w:pPr>
      <w:hyperlink r:id="rId190">
        <w:r>
          <w:rPr>
            <w:rStyle w:val="Hyperlink"/>
          </w:rPr>
          <w:t>[43]</w:t>
        </w:r>
      </w:hyperlink>
      <w:r>
        <w:t xml:space="preserve"> </w:t>
      </w:r>
      <w:hyperlink r:id="rId191">
        <w:r>
          <w:rPr>
            <w:rStyle w:val="Hyperlink"/>
          </w:rPr>
          <w:t>[45]</w:t>
        </w:r>
      </w:hyperlink>
      <w:r>
        <w:t xml:space="preserve"> https://research.unsw.edu.au/projects/toniot-datasets</w:t>
      </w:r>
    </w:p>
    <w:p w14:paraId="20FF0141" w14:textId="77777777" w:rsidR="0042488A" w:rsidRDefault="00000000">
      <w:pPr>
        <w:pStyle w:val="BodyText"/>
      </w:pPr>
      <w:hyperlink r:id="rId192">
        <w:r>
          <w:rPr>
            <w:rStyle w:val="Hyperlink"/>
          </w:rPr>
          <w:t>https://research.unsw.edu.au/projects/toniot-datasets</w:t>
        </w:r>
      </w:hyperlink>
    </w:p>
    <w:p w14:paraId="71DFF114" w14:textId="77777777" w:rsidR="0042488A" w:rsidRDefault="00000000">
      <w:pPr>
        <w:pStyle w:val="BodyText"/>
      </w:pPr>
      <w:hyperlink r:id="rId193">
        <w:r>
          <w:rPr>
            <w:rStyle w:val="Hyperlink"/>
          </w:rPr>
          <w:t>[44]</w:t>
        </w:r>
      </w:hyperlink>
      <w:r>
        <w:t xml:space="preserve"> https://arxiv.org/html/2502.04057v3</w:t>
      </w:r>
    </w:p>
    <w:p w14:paraId="37307DA2" w14:textId="77777777" w:rsidR="0042488A" w:rsidRDefault="00000000">
      <w:pPr>
        <w:pStyle w:val="BodyText"/>
      </w:pPr>
      <w:hyperlink r:id="rId194">
        <w:r>
          <w:rPr>
            <w:rStyle w:val="Hyperlink"/>
          </w:rPr>
          <w:t>https://arxiv.org/html/2502.04057v3</w:t>
        </w:r>
      </w:hyperlink>
    </w:p>
    <w:p w14:paraId="5A5082F2" w14:textId="77777777" w:rsidR="0042488A" w:rsidRDefault="00000000">
      <w:pPr>
        <w:pStyle w:val="BodyText"/>
      </w:pPr>
      <w:hyperlink r:id="rId195">
        <w:r>
          <w:rPr>
            <w:rStyle w:val="Hyperlink"/>
          </w:rPr>
          <w:t>[46]</w:t>
        </w:r>
      </w:hyperlink>
      <w:r>
        <w:t xml:space="preserve"> https://staff.itee.uq.edu.au/marius/NIDS_datasets/</w:t>
      </w:r>
    </w:p>
    <w:p w14:paraId="5DBC689C" w14:textId="77777777" w:rsidR="0042488A" w:rsidRDefault="00000000">
      <w:pPr>
        <w:pStyle w:val="BodyText"/>
      </w:pPr>
      <w:hyperlink r:id="rId196">
        <w:r>
          <w:rPr>
            <w:rStyle w:val="Hyperlink"/>
          </w:rPr>
          <w:t>https://staff.itee.uq.edu.au/marius/NIDS_datasets/</w:t>
        </w:r>
      </w:hyperlink>
    </w:p>
    <w:p w14:paraId="20061BB0" w14:textId="77777777" w:rsidR="0042488A" w:rsidRDefault="00000000">
      <w:pPr>
        <w:pStyle w:val="BodyText"/>
      </w:pPr>
      <w:hyperlink r:id="rId197">
        <w:r>
          <w:rPr>
            <w:rStyle w:val="Hyperlink"/>
          </w:rPr>
          <w:t>[47]</w:t>
        </w:r>
      </w:hyperlink>
      <w:r>
        <w:t xml:space="preserve"> https://www.unb.ca/cic/datasets/iotdataset-2023.html</w:t>
      </w:r>
    </w:p>
    <w:p w14:paraId="256101CF" w14:textId="77777777" w:rsidR="0042488A" w:rsidRDefault="00000000">
      <w:pPr>
        <w:pStyle w:val="BodyText"/>
      </w:pPr>
      <w:hyperlink r:id="rId198">
        <w:r>
          <w:rPr>
            <w:rStyle w:val="Hyperlink"/>
          </w:rPr>
          <w:t>https://www.unb.ca/cic/datasets/iotdataset-2023.html</w:t>
        </w:r>
      </w:hyperlink>
    </w:p>
    <w:p w14:paraId="158F37FF" w14:textId="77777777" w:rsidR="0042488A" w:rsidRDefault="00000000">
      <w:pPr>
        <w:pStyle w:val="BodyText"/>
      </w:pPr>
      <w:hyperlink r:id="rId199">
        <w:r>
          <w:rPr>
            <w:rStyle w:val="Hyperlink"/>
          </w:rPr>
          <w:t>[48]</w:t>
        </w:r>
      </w:hyperlink>
      <w:r>
        <w:t xml:space="preserve"> https://speed.cs.nycu.edu.tw/~ydlin/Two-phase_Defense_Against_Poisoning_Attacks_on_Federated.pdf</w:t>
      </w:r>
    </w:p>
    <w:p w14:paraId="3263E44A" w14:textId="77777777" w:rsidR="0042488A" w:rsidRDefault="00000000">
      <w:pPr>
        <w:pStyle w:val="BodyText"/>
      </w:pPr>
      <w:hyperlink r:id="rId200">
        <w:r>
          <w:rPr>
            <w:rStyle w:val="Hyperlink"/>
          </w:rPr>
          <w:t>https://speed.cs.nycu.edu.tw/~ydlin/Two-phase_Defense_Against_Poisoning_Attacks_on_Federated.pdf</w:t>
        </w:r>
      </w:hyperlink>
    </w:p>
    <w:p w14:paraId="3D39BCA1" w14:textId="77777777" w:rsidR="0042488A" w:rsidRDefault="00000000">
      <w:pPr>
        <w:pStyle w:val="BodyText"/>
      </w:pPr>
      <w:hyperlink r:id="rId201">
        <w:r>
          <w:rPr>
            <w:rStyle w:val="Hyperlink"/>
          </w:rPr>
          <w:t>[57]</w:t>
        </w:r>
      </w:hyperlink>
      <w:r>
        <w:t xml:space="preserve"> https://papers.neurips.cc/paper/9069-a-little-is-enough-circumventing-defenses-for-distributed-learning.pdf</w:t>
      </w:r>
    </w:p>
    <w:p w14:paraId="6B064CD8" w14:textId="77777777" w:rsidR="0042488A" w:rsidRDefault="00000000">
      <w:pPr>
        <w:pStyle w:val="BodyText"/>
      </w:pPr>
      <w:hyperlink r:id="rId202">
        <w:r>
          <w:rPr>
            <w:rStyle w:val="Hyperlink"/>
          </w:rPr>
          <w:t>https://papers.neurips.cc/paper/9069-a-little-is-enough-circumventing-defenses-for-distributed-learning.pdf</w:t>
        </w:r>
      </w:hyperlink>
    </w:p>
    <w:p w14:paraId="6BBEEAEF" w14:textId="77777777" w:rsidR="0042488A" w:rsidRDefault="00000000">
      <w:pPr>
        <w:pStyle w:val="BodyText"/>
      </w:pPr>
      <w:hyperlink r:id="rId203">
        <w:r>
          <w:rPr>
            <w:rStyle w:val="Hyperlink"/>
          </w:rPr>
          <w:t>[65]</w:t>
        </w:r>
      </w:hyperlink>
      <w:r>
        <w:t xml:space="preserve"> https://github.com/zhangzhao156/SecFedNIDS</w:t>
      </w:r>
    </w:p>
    <w:p w14:paraId="1647C564" w14:textId="77777777" w:rsidR="0042488A" w:rsidRDefault="00000000">
      <w:pPr>
        <w:pStyle w:val="BodyText"/>
      </w:pPr>
      <w:hyperlink r:id="rId204">
        <w:r>
          <w:rPr>
            <w:rStyle w:val="Hyperlink"/>
          </w:rPr>
          <w:t>https://github.com/zhangzhao156/SecFedNIDS</w:t>
        </w:r>
      </w:hyperlink>
      <w:bookmarkEnd w:id="39"/>
    </w:p>
    <w:sectPr w:rsidR="0042488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347D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044F9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85653417">
    <w:abstractNumId w:val="0"/>
  </w:num>
  <w:num w:numId="2" w16cid:durableId="527910036">
    <w:abstractNumId w:val="1"/>
  </w:num>
  <w:num w:numId="3" w16cid:durableId="332952793">
    <w:abstractNumId w:val="1"/>
  </w:num>
  <w:num w:numId="4" w16cid:durableId="517087051">
    <w:abstractNumId w:val="1"/>
  </w:num>
  <w:num w:numId="5" w16cid:durableId="160703510">
    <w:abstractNumId w:val="1"/>
  </w:num>
  <w:num w:numId="6" w16cid:durableId="1746731128">
    <w:abstractNumId w:val="1"/>
  </w:num>
  <w:num w:numId="7" w16cid:durableId="446462834">
    <w:abstractNumId w:val="1"/>
  </w:num>
  <w:num w:numId="8" w16cid:durableId="1075249566">
    <w:abstractNumId w:val="1"/>
  </w:num>
  <w:num w:numId="9" w16cid:durableId="556936663">
    <w:abstractNumId w:val="1"/>
  </w:num>
  <w:num w:numId="10" w16cid:durableId="683630206">
    <w:abstractNumId w:val="1"/>
  </w:num>
  <w:num w:numId="11" w16cid:durableId="2129810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2488A"/>
    <w:rsid w:val="00077EDE"/>
    <w:rsid w:val="000A4F62"/>
    <w:rsid w:val="0042488A"/>
    <w:rsid w:val="00B3214B"/>
    <w:rsid w:val="00F23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4FABA"/>
  <w15:docId w15:val="{9AEB2421-11D0-444E-830E-CF640B098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roceedings.mlr.press/v54/mcmahan17a/mcmahan17a.pdf" TargetMode="External"/><Relationship Id="rId21" Type="http://schemas.openxmlformats.org/officeDocument/2006/relationships/hyperlink" Target="https://www.sciencedirect.com/science/article/pii/S0167739X23003783" TargetMode="External"/><Relationship Id="rId42" Type="http://schemas.openxmlformats.org/officeDocument/2006/relationships/hyperlink" Target="https://openreview.net/pdf/19ef2f8be77fee9cce8f818f295d64104702fbb6.pdf" TargetMode="External"/><Relationship Id="rId63" Type="http://schemas.openxmlformats.org/officeDocument/2006/relationships/hyperlink" Target="https://pmc.ncbi.nlm.nih.gov/articles/PMC9812008/" TargetMode="External"/><Relationship Id="rId84" Type="http://schemas.openxmlformats.org/officeDocument/2006/relationships/hyperlink" Target="https://www.ndss-symposium.org/wp-content/uploads/2024-1366-paper.pdf" TargetMode="External"/><Relationship Id="rId138" Type="http://schemas.openxmlformats.org/officeDocument/2006/relationships/hyperlink" Target="https://www.nature.com/articles/s41598-024-76961-2" TargetMode="External"/><Relationship Id="rId159" Type="http://schemas.openxmlformats.org/officeDocument/2006/relationships/hyperlink" Target="https://www.schonlau.net/publication/01statscigalley.pdf" TargetMode="External"/><Relationship Id="rId170" Type="http://schemas.openxmlformats.org/officeDocument/2006/relationships/hyperlink" Target="https://www.ndss-symposium.org/wp-content/uploads/2024-1366-paper.pdf" TargetMode="External"/><Relationship Id="rId191" Type="http://schemas.openxmlformats.org/officeDocument/2006/relationships/hyperlink" Target="https://research.unsw.edu.au/projects/toniot-datasets" TargetMode="External"/><Relationship Id="rId205" Type="http://schemas.openxmlformats.org/officeDocument/2006/relationships/fontTable" Target="fontTable.xml"/><Relationship Id="rId107" Type="http://schemas.openxmlformats.org/officeDocument/2006/relationships/hyperlink" Target="https://www.ndss-symposium.org/wp-content/uploads/2024-1366-paper.pdf" TargetMode="External"/><Relationship Id="rId11" Type="http://schemas.openxmlformats.org/officeDocument/2006/relationships/hyperlink" Target="https://arxiv.org/html/2404.15611v1" TargetMode="External"/><Relationship Id="rId32" Type="http://schemas.openxmlformats.org/officeDocument/2006/relationships/hyperlink" Target="https://pmc.ncbi.nlm.nih.gov/articles/PMC9812008/" TargetMode="External"/><Relationship Id="rId53" Type="http://schemas.openxmlformats.org/officeDocument/2006/relationships/hyperlink" Target="https://www.ndss-symposium.org/wp-content/uploads/prism2026-13.pdf" TargetMode="External"/><Relationship Id="rId74" Type="http://schemas.openxmlformats.org/officeDocument/2006/relationships/hyperlink" Target="https://www.sciencedirect.com/science/article/pii/S0167739X23003783" TargetMode="External"/><Relationship Id="rId128" Type="http://schemas.openxmlformats.org/officeDocument/2006/relationships/hyperlink" Target="https://www.princeton.edu/~pmittal/publications/bhagoji-icml19.pdf" TargetMode="External"/><Relationship Id="rId149" Type="http://schemas.openxmlformats.org/officeDocument/2006/relationships/hyperlink" Target="https://www.ndss-symposium.org/wp-content/uploads/prism2026-13.pdf" TargetMode="External"/><Relationship Id="rId5" Type="http://schemas.openxmlformats.org/officeDocument/2006/relationships/hyperlink" Target="https://proceedings.mlr.press/v54/mcmahan17a/mcmahan17a.pdf" TargetMode="External"/><Relationship Id="rId95" Type="http://schemas.openxmlformats.org/officeDocument/2006/relationships/hyperlink" Target="https://proceedings.mlr.press/v54/mcmahan17a/mcmahan17a.pdf" TargetMode="External"/><Relationship Id="rId160" Type="http://schemas.openxmlformats.org/officeDocument/2006/relationships/hyperlink" Target="https://pmc.ncbi.nlm.nih.gov/articles/PMC11366002/" TargetMode="External"/><Relationship Id="rId181" Type="http://schemas.openxmlformats.org/officeDocument/2006/relationships/hyperlink" Target="https://openreview.net/pdf/19ef2f8be77fee9cce8f818f295d64104702fbb6.pdf" TargetMode="External"/><Relationship Id="rId22" Type="http://schemas.openxmlformats.org/officeDocument/2006/relationships/hyperlink" Target="https://arxiv.org/html/2404.15611v1" TargetMode="External"/><Relationship Id="rId43" Type="http://schemas.openxmlformats.org/officeDocument/2006/relationships/hyperlink" Target="https://www.cec.health.nsw.gov.au/__data/assets/pdf_file/0011/605657/Understanding-Variation-with-Shewart-Charts.pdf" TargetMode="External"/><Relationship Id="rId64" Type="http://schemas.openxmlformats.org/officeDocument/2006/relationships/hyperlink" Target="https://www.mdpi.com/1424-8220/23/13/5941" TargetMode="External"/><Relationship Id="rId118" Type="http://schemas.openxmlformats.org/officeDocument/2006/relationships/hyperlink" Target="https://pmc.ncbi.nlm.nih.gov/articles/PMC9812008/" TargetMode="External"/><Relationship Id="rId139" Type="http://schemas.openxmlformats.org/officeDocument/2006/relationships/hyperlink" Target="https://arxiv.org/html/2404.15611v1" TargetMode="External"/><Relationship Id="rId85" Type="http://schemas.openxmlformats.org/officeDocument/2006/relationships/hyperlink" Target="https://www.princeton.edu/~pmittal/publications/bhagoji-icml19.pdf" TargetMode="External"/><Relationship Id="rId150" Type="http://schemas.openxmlformats.org/officeDocument/2006/relationships/hyperlink" Target="https://www.ndss-symposium.org/wp-content/uploads/prism2026-13.pdf" TargetMode="External"/><Relationship Id="rId171" Type="http://schemas.openxmlformats.org/officeDocument/2006/relationships/hyperlink" Target="https://www.ndss-symposium.org/wp-content/uploads/2024-1366-paper.pdf" TargetMode="External"/><Relationship Id="rId192" Type="http://schemas.openxmlformats.org/officeDocument/2006/relationships/hyperlink" Target="https://research.unsw.edu.au/projects/toniot-datasets" TargetMode="External"/><Relationship Id="rId206" Type="http://schemas.openxmlformats.org/officeDocument/2006/relationships/theme" Target="theme/theme1.xml"/><Relationship Id="rId12" Type="http://schemas.openxmlformats.org/officeDocument/2006/relationships/hyperlink" Target="https://www.ndss-symposium.org/wp-content/uploads/prism2026-13.pdf" TargetMode="External"/><Relationship Id="rId33" Type="http://schemas.openxmlformats.org/officeDocument/2006/relationships/hyperlink" Target="https://pmc.ncbi.nlm.nih.gov/articles/PMC9812008/" TargetMode="External"/><Relationship Id="rId108" Type="http://schemas.openxmlformats.org/officeDocument/2006/relationships/hyperlink" Target="https://pmc.ncbi.nlm.nih.gov/articles/PMC11366002/" TargetMode="External"/><Relationship Id="rId129" Type="http://schemas.openxmlformats.org/officeDocument/2006/relationships/hyperlink" Target="https://www.princeton.edu/~pmittal/publications/bhagoji-icml19.pdf" TargetMode="External"/><Relationship Id="rId54" Type="http://schemas.openxmlformats.org/officeDocument/2006/relationships/hyperlink" Target="https://www.nature.com/articles/s41598-024-76961-2" TargetMode="External"/><Relationship Id="rId75" Type="http://schemas.openxmlformats.org/officeDocument/2006/relationships/hyperlink" Target="https://pmc.ncbi.nlm.nih.gov/articles/PMC9812008/" TargetMode="External"/><Relationship Id="rId96" Type="http://schemas.openxmlformats.org/officeDocument/2006/relationships/hyperlink" Target="https://www.sciencedirect.com/science/article/pii/S0167739X23003783" TargetMode="External"/><Relationship Id="rId140" Type="http://schemas.openxmlformats.org/officeDocument/2006/relationships/hyperlink" Target="https://arxiv.org/html/2404.15611v1" TargetMode="External"/><Relationship Id="rId161" Type="http://schemas.openxmlformats.org/officeDocument/2006/relationships/hyperlink" Target="https://pmc.ncbi.nlm.nih.gov/articles/PMC11366002/" TargetMode="External"/><Relationship Id="rId182" Type="http://schemas.openxmlformats.org/officeDocument/2006/relationships/hyperlink" Target="https://www.cec.health.nsw.gov.au/__data/assets/pdf_file/0011/605657/Understanding-Variation-with-Shewart-Charts.pdf" TargetMode="External"/><Relationship Id="rId6" Type="http://schemas.openxmlformats.org/officeDocument/2006/relationships/hyperlink" Target="https://pmc.ncbi.nlm.nih.gov/articles/PMC9812008/" TargetMode="External"/><Relationship Id="rId23" Type="http://schemas.openxmlformats.org/officeDocument/2006/relationships/hyperlink" Target="https://www.ndss-symposium.org/wp-content/uploads/2020/04/diss2020-23003-paper.pdf" TargetMode="External"/><Relationship Id="rId119" Type="http://schemas.openxmlformats.org/officeDocument/2006/relationships/hyperlink" Target="https://pmc.ncbi.nlm.nih.gov/articles/PMC9812008/" TargetMode="External"/><Relationship Id="rId44" Type="http://schemas.openxmlformats.org/officeDocument/2006/relationships/hyperlink" Target="https://arxiv.org/html/2404.15611v1" TargetMode="External"/><Relationship Id="rId65" Type="http://schemas.openxmlformats.org/officeDocument/2006/relationships/hyperlink" Target="https://www.sciencedirect.com/science/article/pii/S0167739X23003783" TargetMode="External"/><Relationship Id="rId86" Type="http://schemas.openxmlformats.org/officeDocument/2006/relationships/hyperlink" Target="https://arxiv.org/html/2404.15611v1" TargetMode="External"/><Relationship Id="rId130" Type="http://schemas.openxmlformats.org/officeDocument/2006/relationships/hyperlink" Target="https://www.princeton.edu/~pmittal/publications/bhagoji-icml19.pdf" TargetMode="External"/><Relationship Id="rId151" Type="http://schemas.openxmlformats.org/officeDocument/2006/relationships/hyperlink" Target="https://www.sciencedirect.com/science/article/pii/S0167739X23003783" TargetMode="External"/><Relationship Id="rId172" Type="http://schemas.openxmlformats.org/officeDocument/2006/relationships/hyperlink" Target="https://www.ndss-symposium.org/wp-content/uploads/2024-1366-paper.pdf" TargetMode="External"/><Relationship Id="rId193" Type="http://schemas.openxmlformats.org/officeDocument/2006/relationships/hyperlink" Target="https://arxiv.org/html/2502.04057v3" TargetMode="External"/><Relationship Id="rId13" Type="http://schemas.openxmlformats.org/officeDocument/2006/relationships/hyperlink" Target="https://proceedings.mlr.press/v54/mcmahan17a/mcmahan17a.pdf" TargetMode="External"/><Relationship Id="rId109" Type="http://schemas.openxmlformats.org/officeDocument/2006/relationships/hyperlink" Target="https://www.ndss-symposium.org/wp-content/uploads/2020/04/diss2020-23003-paper.pdf" TargetMode="External"/><Relationship Id="rId34" Type="http://schemas.openxmlformats.org/officeDocument/2006/relationships/hyperlink" Target="https://pmc.ncbi.nlm.nih.gov/articles/PMC9812008/" TargetMode="External"/><Relationship Id="rId55" Type="http://schemas.openxmlformats.org/officeDocument/2006/relationships/hyperlink" Target="https://pmc.ncbi.nlm.nih.gov/articles/PMC9812008/" TargetMode="External"/><Relationship Id="rId76" Type="http://schemas.openxmlformats.org/officeDocument/2006/relationships/hyperlink" Target="https://pmc.ncbi.nlm.nih.gov/articles/PMC11366002/" TargetMode="External"/><Relationship Id="rId97" Type="http://schemas.openxmlformats.org/officeDocument/2006/relationships/hyperlink" Target="https://www.nature.com/articles/s41598-024-76961-2" TargetMode="External"/><Relationship Id="rId120" Type="http://schemas.openxmlformats.org/officeDocument/2006/relationships/hyperlink" Target="https://pmc.ncbi.nlm.nih.gov/articles/PMC9812008/" TargetMode="External"/><Relationship Id="rId141" Type="http://schemas.openxmlformats.org/officeDocument/2006/relationships/hyperlink" Target="https://arxiv.org/html/2404.15611v1" TargetMode="External"/><Relationship Id="rId7" Type="http://schemas.openxmlformats.org/officeDocument/2006/relationships/hyperlink" Target="https://www.princeton.edu/~pmittal/publications/bhagoji-icml19.pdf" TargetMode="External"/><Relationship Id="rId162" Type="http://schemas.openxmlformats.org/officeDocument/2006/relationships/hyperlink" Target="https://pmc.ncbi.nlm.nih.gov/articles/PMC11366002/" TargetMode="External"/><Relationship Id="rId183" Type="http://schemas.openxmlformats.org/officeDocument/2006/relationships/hyperlink" Target="https://www.cec.health.nsw.gov.au/__data/assets/pdf_file/0011/605657/Understanding-Variation-with-Shewart-Charts.pdf" TargetMode="External"/><Relationship Id="rId24" Type="http://schemas.openxmlformats.org/officeDocument/2006/relationships/hyperlink" Target="https://arxiv.org/html/2404.15611v1" TargetMode="External"/><Relationship Id="rId40" Type="http://schemas.openxmlformats.org/officeDocument/2006/relationships/hyperlink" Target="https://proceedings.mlr.press/v162/fisch22a/fisch22a.pdf" TargetMode="External"/><Relationship Id="rId45" Type="http://schemas.openxmlformats.org/officeDocument/2006/relationships/hyperlink" Target="https://proceedings.mlr.press/v162/fisch22a/fisch22a.pdf" TargetMode="External"/><Relationship Id="rId66" Type="http://schemas.openxmlformats.org/officeDocument/2006/relationships/hyperlink" Target="https://research.unsw.edu.au/projects/toniot-datasets" TargetMode="External"/><Relationship Id="rId87" Type="http://schemas.openxmlformats.org/officeDocument/2006/relationships/hyperlink" Target="https://www.ndss-symposium.org/wp-content/uploads/prism2026-13.pdf" TargetMode="External"/><Relationship Id="rId110" Type="http://schemas.openxmlformats.org/officeDocument/2006/relationships/hyperlink" Target="https://www.sciencedirect.com/science/article/pii/S0167739X23003783" TargetMode="External"/><Relationship Id="rId115" Type="http://schemas.openxmlformats.org/officeDocument/2006/relationships/hyperlink" Target="https://proceedings.mlr.press/v54/mcmahan17a/mcmahan17a.pdf" TargetMode="External"/><Relationship Id="rId131" Type="http://schemas.openxmlformats.org/officeDocument/2006/relationships/hyperlink" Target="https://www.princeton.edu/~pmittal/publications/bhagoji-icml19.pdf" TargetMode="External"/><Relationship Id="rId136" Type="http://schemas.openxmlformats.org/officeDocument/2006/relationships/hyperlink" Target="https://www.nature.com/articles/s41598-024-76961-2" TargetMode="External"/><Relationship Id="rId157" Type="http://schemas.openxmlformats.org/officeDocument/2006/relationships/hyperlink" Target="https://www.sciencedirect.com/science/article/pii/S0167739X23003783" TargetMode="External"/><Relationship Id="rId178" Type="http://schemas.openxmlformats.org/officeDocument/2006/relationships/hyperlink" Target="https://proceedings.mlr.press/v162/fisch22a/fisch22a.pdf" TargetMode="External"/><Relationship Id="rId61" Type="http://schemas.openxmlformats.org/officeDocument/2006/relationships/hyperlink" Target="https://www.ndss-symposium.org/wp-content/uploads/prism2026-13.pdf" TargetMode="External"/><Relationship Id="rId82" Type="http://schemas.openxmlformats.org/officeDocument/2006/relationships/hyperlink" Target="https://papers.neurips.cc/paper/9069-a-little-is-enough-circumventing-defenses-for-distributed-learning.pdf" TargetMode="External"/><Relationship Id="rId152" Type="http://schemas.openxmlformats.org/officeDocument/2006/relationships/hyperlink" Target="https://www.sciencedirect.com/science/article/pii/S0167739X23003783" TargetMode="External"/><Relationship Id="rId173" Type="http://schemas.openxmlformats.org/officeDocument/2006/relationships/hyperlink" Target="https://www.ndss-symposium.org/wp-content/uploads/2024-1366-paper.pdf" TargetMode="External"/><Relationship Id="rId194" Type="http://schemas.openxmlformats.org/officeDocument/2006/relationships/hyperlink" Target="https://arxiv.org/html/2502.04057v3" TargetMode="External"/><Relationship Id="rId199" Type="http://schemas.openxmlformats.org/officeDocument/2006/relationships/hyperlink" Target="https://speed.cs.nycu.edu.tw/~ydlin/Two-phase_Defense_Against_Poisoning_Attacks_on_Federated.pdf" TargetMode="External"/><Relationship Id="rId203" Type="http://schemas.openxmlformats.org/officeDocument/2006/relationships/hyperlink" Target="https://github.com/zhangzhao156/SecFedNIDS" TargetMode="External"/><Relationship Id="rId19" Type="http://schemas.openxmlformats.org/officeDocument/2006/relationships/hyperlink" Target="https://pmc.ncbi.nlm.nih.gov/articles/PMC9812008/" TargetMode="External"/><Relationship Id="rId14" Type="http://schemas.openxmlformats.org/officeDocument/2006/relationships/hyperlink" Target="https://www.sciencedirect.com/science/article/pii/S0167739X23003783" TargetMode="External"/><Relationship Id="rId30" Type="http://schemas.openxmlformats.org/officeDocument/2006/relationships/hyperlink" Target="https://pmc.ncbi.nlm.nih.gov/articles/PMC11366002/" TargetMode="External"/><Relationship Id="rId35" Type="http://schemas.openxmlformats.org/officeDocument/2006/relationships/hyperlink" Target="https://www.nature.com/articles/s41598-024-76961-2" TargetMode="External"/><Relationship Id="rId56" Type="http://schemas.openxmlformats.org/officeDocument/2006/relationships/hyperlink" Target="https://pmc.ncbi.nlm.nih.gov/articles/PMC11366002/" TargetMode="External"/><Relationship Id="rId77" Type="http://schemas.openxmlformats.org/officeDocument/2006/relationships/hyperlink" Target="https://www.nature.com/articles/s41598-024-76961-2" TargetMode="External"/><Relationship Id="rId100" Type="http://schemas.openxmlformats.org/officeDocument/2006/relationships/hyperlink" Target="https://pmc.ncbi.nlm.nih.gov/articles/PMC9812008/" TargetMode="External"/><Relationship Id="rId105" Type="http://schemas.openxmlformats.org/officeDocument/2006/relationships/hyperlink" Target="https://pmc.ncbi.nlm.nih.gov/articles/PMC9812008/" TargetMode="External"/><Relationship Id="rId126" Type="http://schemas.openxmlformats.org/officeDocument/2006/relationships/hyperlink" Target="https://pmc.ncbi.nlm.nih.gov/articles/PMC9812008/" TargetMode="External"/><Relationship Id="rId147" Type="http://schemas.openxmlformats.org/officeDocument/2006/relationships/hyperlink" Target="https://arxiv.org/html/2404.15611v1" TargetMode="External"/><Relationship Id="rId168" Type="http://schemas.openxmlformats.org/officeDocument/2006/relationships/hyperlink" Target="https://www.ndss-symposium.org/wp-content/uploads/2020/04/diss2020-23003-paper.pdf" TargetMode="External"/><Relationship Id="rId8" Type="http://schemas.openxmlformats.org/officeDocument/2006/relationships/hyperlink" Target="https://pmc.ncbi.nlm.nih.gov/articles/PMC9812008/" TargetMode="External"/><Relationship Id="rId51" Type="http://schemas.openxmlformats.org/officeDocument/2006/relationships/hyperlink" Target="https://pmc.ncbi.nlm.nih.gov/articles/PMC11366002/" TargetMode="External"/><Relationship Id="rId72" Type="http://schemas.openxmlformats.org/officeDocument/2006/relationships/hyperlink" Target="https://www.sciencedirect.com/science/article/pii/S0167739X23003783" TargetMode="External"/><Relationship Id="rId93" Type="http://schemas.openxmlformats.org/officeDocument/2006/relationships/hyperlink" Target="https://arxiv.org/html/2404.15611v1" TargetMode="External"/><Relationship Id="rId98" Type="http://schemas.openxmlformats.org/officeDocument/2006/relationships/hyperlink" Target="https://www.ndss-symposium.org/wp-content/uploads/2024-1366-paper.pdf" TargetMode="External"/><Relationship Id="rId121" Type="http://schemas.openxmlformats.org/officeDocument/2006/relationships/hyperlink" Target="https://pmc.ncbi.nlm.nih.gov/articles/PMC9812008/" TargetMode="External"/><Relationship Id="rId142" Type="http://schemas.openxmlformats.org/officeDocument/2006/relationships/hyperlink" Target="https://arxiv.org/html/2404.15611v1" TargetMode="External"/><Relationship Id="rId163" Type="http://schemas.openxmlformats.org/officeDocument/2006/relationships/hyperlink" Target="https://pmc.ncbi.nlm.nih.gov/articles/PMC11366002/" TargetMode="External"/><Relationship Id="rId184" Type="http://schemas.openxmlformats.org/officeDocument/2006/relationships/hyperlink" Target="https://papers.neurips.cc/paper/6617-machine-learning-with-adversaries-byzantine-tolerant-gradient-descent.pdf" TargetMode="External"/><Relationship Id="rId189" Type="http://schemas.openxmlformats.org/officeDocument/2006/relationships/hyperlink" Target="https://www.mdpi.com/1424-8220/23/13/5941" TargetMode="External"/><Relationship Id="rId3" Type="http://schemas.openxmlformats.org/officeDocument/2006/relationships/settings" Target="settings.xml"/><Relationship Id="rId25" Type="http://schemas.openxmlformats.org/officeDocument/2006/relationships/hyperlink" Target="https://arxiv.org/html/2404.15611v1" TargetMode="External"/><Relationship Id="rId46" Type="http://schemas.openxmlformats.org/officeDocument/2006/relationships/hyperlink" Target="https://pmc.ncbi.nlm.nih.gov/articles/PMC9812008/" TargetMode="External"/><Relationship Id="rId67" Type="http://schemas.openxmlformats.org/officeDocument/2006/relationships/hyperlink" Target="https://arxiv.org/html/2502.04057v3" TargetMode="External"/><Relationship Id="rId116" Type="http://schemas.openxmlformats.org/officeDocument/2006/relationships/hyperlink" Target="https://proceedings.mlr.press/v54/mcmahan17a/mcmahan17a.pdf" TargetMode="External"/><Relationship Id="rId137" Type="http://schemas.openxmlformats.org/officeDocument/2006/relationships/hyperlink" Target="https://www.nature.com/articles/s41598-024-76961-2" TargetMode="External"/><Relationship Id="rId158" Type="http://schemas.openxmlformats.org/officeDocument/2006/relationships/hyperlink" Target="https://www.schonlau.net/publication/01statscigalley.pdf" TargetMode="External"/><Relationship Id="rId20" Type="http://schemas.openxmlformats.org/officeDocument/2006/relationships/hyperlink" Target="https://www.nature.com/articles/s41598-024-76961-2" TargetMode="External"/><Relationship Id="rId41" Type="http://schemas.openxmlformats.org/officeDocument/2006/relationships/hyperlink" Target="https://openreview.net/pdf/19ef2f8be77fee9cce8f818f295d64104702fbb6.pdf" TargetMode="External"/><Relationship Id="rId62" Type="http://schemas.openxmlformats.org/officeDocument/2006/relationships/hyperlink" Target="https://pmc.ncbi.nlm.nih.gov/articles/PMC9812008/" TargetMode="External"/><Relationship Id="rId83" Type="http://schemas.openxmlformats.org/officeDocument/2006/relationships/hyperlink" Target="https://arxiv.org/html/2404.15611v1" TargetMode="External"/><Relationship Id="rId88" Type="http://schemas.openxmlformats.org/officeDocument/2006/relationships/hyperlink" Target="https://pmc.ncbi.nlm.nih.gov/articles/PMC9812008/" TargetMode="External"/><Relationship Id="rId111" Type="http://schemas.openxmlformats.org/officeDocument/2006/relationships/hyperlink" Target="https://www.nature.com/articles/s41598-024-76961-2" TargetMode="External"/><Relationship Id="rId132" Type="http://schemas.openxmlformats.org/officeDocument/2006/relationships/hyperlink" Target="https://www.princeton.edu/~pmittal/publications/bhagoji-icml19.pdf" TargetMode="External"/><Relationship Id="rId153" Type="http://schemas.openxmlformats.org/officeDocument/2006/relationships/hyperlink" Target="https://www.sciencedirect.com/science/article/pii/S0167739X23003783" TargetMode="External"/><Relationship Id="rId174" Type="http://schemas.openxmlformats.org/officeDocument/2006/relationships/hyperlink" Target="https://www.ndss-symposium.org/wp-content/uploads/2024-1366-paper.pdf" TargetMode="External"/><Relationship Id="rId179" Type="http://schemas.openxmlformats.org/officeDocument/2006/relationships/hyperlink" Target="https://openreview.net/pdf/19ef2f8be77fee9cce8f818f295d64104702fbb6.pdf" TargetMode="External"/><Relationship Id="rId195" Type="http://schemas.openxmlformats.org/officeDocument/2006/relationships/hyperlink" Target="https://staff.itee.uq.edu.au/marius/NIDS_datasets/" TargetMode="External"/><Relationship Id="rId190" Type="http://schemas.openxmlformats.org/officeDocument/2006/relationships/hyperlink" Target="https://research.unsw.edu.au/projects/toniot-datasets" TargetMode="External"/><Relationship Id="rId204" Type="http://schemas.openxmlformats.org/officeDocument/2006/relationships/hyperlink" Target="https://github.com/zhangzhao156/SecFedNIDS" TargetMode="External"/><Relationship Id="rId15" Type="http://schemas.openxmlformats.org/officeDocument/2006/relationships/hyperlink" Target="https://pmc.ncbi.nlm.nih.gov/articles/PMC9812008/" TargetMode="External"/><Relationship Id="rId36" Type="http://schemas.openxmlformats.org/officeDocument/2006/relationships/hyperlink" Target="https://arxiv.org/html/2404.15611v1" TargetMode="External"/><Relationship Id="rId57" Type="http://schemas.openxmlformats.org/officeDocument/2006/relationships/hyperlink" Target="https://papers.neurips.cc/paper/6617-machine-learning-with-adversaries-byzantine-tolerant-gradient-descent.pdf" TargetMode="External"/><Relationship Id="rId106" Type="http://schemas.openxmlformats.org/officeDocument/2006/relationships/hyperlink" Target="https://arxiv.org/html/2404.15611v1" TargetMode="External"/><Relationship Id="rId127" Type="http://schemas.openxmlformats.org/officeDocument/2006/relationships/hyperlink" Target="https://www.princeton.edu/~pmittal/publications/bhagoji-icml19.pdf" TargetMode="External"/><Relationship Id="rId10" Type="http://schemas.openxmlformats.org/officeDocument/2006/relationships/hyperlink" Target="https://www.nature.com/articles/s41598-024-76961-2" TargetMode="External"/><Relationship Id="rId31" Type="http://schemas.openxmlformats.org/officeDocument/2006/relationships/hyperlink" Target="https://pmc.ncbi.nlm.nih.gov/articles/PMC11366002/" TargetMode="External"/><Relationship Id="rId52" Type="http://schemas.openxmlformats.org/officeDocument/2006/relationships/hyperlink" Target="https://www.princeton.edu/~pmittal/publications/bhagoji-icml19.pdf" TargetMode="External"/><Relationship Id="rId73" Type="http://schemas.openxmlformats.org/officeDocument/2006/relationships/hyperlink" Target="https://www.mdpi.com/1424-8220/23/13/5941" TargetMode="External"/><Relationship Id="rId78" Type="http://schemas.openxmlformats.org/officeDocument/2006/relationships/hyperlink" Target="https://proceedings.mlr.press/v54/mcmahan17a/mcmahan17a.pdf" TargetMode="External"/><Relationship Id="rId94" Type="http://schemas.openxmlformats.org/officeDocument/2006/relationships/hyperlink" Target="https://www.ndss-symposium.org/wp-content/uploads/prism2026-13.pdf" TargetMode="External"/><Relationship Id="rId99" Type="http://schemas.openxmlformats.org/officeDocument/2006/relationships/hyperlink" Target="https://github.com/zhangzhao156/SecFedNIDS" TargetMode="External"/><Relationship Id="rId101" Type="http://schemas.openxmlformats.org/officeDocument/2006/relationships/hyperlink" Target="https://pmc.ncbi.nlm.nih.gov/articles/PMC11366002/" TargetMode="External"/><Relationship Id="rId122" Type="http://schemas.openxmlformats.org/officeDocument/2006/relationships/hyperlink" Target="https://pmc.ncbi.nlm.nih.gov/articles/PMC9812008/" TargetMode="External"/><Relationship Id="rId143" Type="http://schemas.openxmlformats.org/officeDocument/2006/relationships/hyperlink" Target="https://arxiv.org/html/2404.15611v1" TargetMode="External"/><Relationship Id="rId148" Type="http://schemas.openxmlformats.org/officeDocument/2006/relationships/hyperlink" Target="https://www.ndss-symposium.org/wp-content/uploads/prism2026-13.pdf" TargetMode="External"/><Relationship Id="rId164" Type="http://schemas.openxmlformats.org/officeDocument/2006/relationships/hyperlink" Target="https://pmc.ncbi.nlm.nih.gov/articles/PMC11366002/" TargetMode="External"/><Relationship Id="rId169" Type="http://schemas.openxmlformats.org/officeDocument/2006/relationships/hyperlink" Target="https://www.ndss-symposium.org/wp-content/uploads/2020/04/diss2020-23003-paper.pdf" TargetMode="External"/><Relationship Id="rId185" Type="http://schemas.openxmlformats.org/officeDocument/2006/relationships/hyperlink" Target="https://papers.neurips.cc/paper/6617-machine-learning-with-adversaries-byzantine-tolerant-gradient-descent.pdf" TargetMode="External"/><Relationship Id="rId4" Type="http://schemas.openxmlformats.org/officeDocument/2006/relationships/webSettings" Target="webSettings.xml"/><Relationship Id="rId9" Type="http://schemas.openxmlformats.org/officeDocument/2006/relationships/hyperlink" Target="https://pmc.ncbi.nlm.nih.gov/articles/PMC9812008/" TargetMode="External"/><Relationship Id="rId180" Type="http://schemas.openxmlformats.org/officeDocument/2006/relationships/hyperlink" Target="https://openreview.net/pdf/19ef2f8be77fee9cce8f818f295d64104702fbb6.pdf" TargetMode="External"/><Relationship Id="rId26" Type="http://schemas.openxmlformats.org/officeDocument/2006/relationships/hyperlink" Target="https://www.ndss-symposium.org/wp-content/uploads/2024-1366-paper.pdf" TargetMode="External"/><Relationship Id="rId47" Type="http://schemas.openxmlformats.org/officeDocument/2006/relationships/hyperlink" Target="https://www.ndss-symposium.org/wp-content/uploads/prism2026-13.pdf" TargetMode="External"/><Relationship Id="rId68" Type="http://schemas.openxmlformats.org/officeDocument/2006/relationships/hyperlink" Target="https://research.unsw.edu.au/projects/toniot-datasets" TargetMode="External"/><Relationship Id="rId89" Type="http://schemas.openxmlformats.org/officeDocument/2006/relationships/hyperlink" Target="https://arxiv.org/html/2404.15611v1" TargetMode="External"/><Relationship Id="rId112" Type="http://schemas.openxmlformats.org/officeDocument/2006/relationships/hyperlink" Target="https://papers.neurips.cc/paper/6617-machine-learning-with-adversaries-byzantine-tolerant-gradient-descent.pdf" TargetMode="External"/><Relationship Id="rId133" Type="http://schemas.openxmlformats.org/officeDocument/2006/relationships/hyperlink" Target="https://www.nature.com/articles/s41598-024-76961-2" TargetMode="External"/><Relationship Id="rId154" Type="http://schemas.openxmlformats.org/officeDocument/2006/relationships/hyperlink" Target="https://www.sciencedirect.com/science/article/pii/S0167739X23003783" TargetMode="External"/><Relationship Id="rId175" Type="http://schemas.openxmlformats.org/officeDocument/2006/relationships/hyperlink" Target="https://www.ndss-symposium.org/wp-content/uploads/2024-1366-paper.pdf" TargetMode="External"/><Relationship Id="rId196" Type="http://schemas.openxmlformats.org/officeDocument/2006/relationships/hyperlink" Target="https://staff.itee.uq.edu.au/marius/NIDS_datasets/" TargetMode="External"/><Relationship Id="rId200" Type="http://schemas.openxmlformats.org/officeDocument/2006/relationships/hyperlink" Target="https://speed.cs.nycu.edu.tw/~ydlin/Two-phase_Defense_Against_Poisoning_Attacks_on_Federated.pdf" TargetMode="External"/><Relationship Id="rId16" Type="http://schemas.openxmlformats.org/officeDocument/2006/relationships/hyperlink" Target="https://www.schonlau.net/publication/01statscigalley.pdf" TargetMode="External"/><Relationship Id="rId37" Type="http://schemas.openxmlformats.org/officeDocument/2006/relationships/hyperlink" Target="https://www.nature.com/articles/s41598-024-76961-2" TargetMode="External"/><Relationship Id="rId58" Type="http://schemas.openxmlformats.org/officeDocument/2006/relationships/hyperlink" Target="https://arxiv.org/html/2404.15611v1" TargetMode="External"/><Relationship Id="rId79" Type="http://schemas.openxmlformats.org/officeDocument/2006/relationships/hyperlink" Target="https://www.princeton.edu/~pmittal/publications/bhagoji-icml19.pdf" TargetMode="External"/><Relationship Id="rId102" Type="http://schemas.openxmlformats.org/officeDocument/2006/relationships/hyperlink" Target="https://www.ndss-symposium.org/wp-content/uploads/2024-1366-paper.pdf" TargetMode="External"/><Relationship Id="rId123" Type="http://schemas.openxmlformats.org/officeDocument/2006/relationships/hyperlink" Target="https://pmc.ncbi.nlm.nih.gov/articles/PMC9812008/" TargetMode="External"/><Relationship Id="rId144" Type="http://schemas.openxmlformats.org/officeDocument/2006/relationships/hyperlink" Target="https://arxiv.org/html/2404.15611v1" TargetMode="External"/><Relationship Id="rId90" Type="http://schemas.openxmlformats.org/officeDocument/2006/relationships/hyperlink" Target="https://proceedings.mlr.press/v54/mcmahan17a/mcmahan17a.pdf" TargetMode="External"/><Relationship Id="rId165" Type="http://schemas.openxmlformats.org/officeDocument/2006/relationships/hyperlink" Target="https://pmc.ncbi.nlm.nih.gov/articles/PMC11366002/" TargetMode="External"/><Relationship Id="rId186" Type="http://schemas.openxmlformats.org/officeDocument/2006/relationships/hyperlink" Target="https://papers.neurips.cc/paper/6617-machine-learning-with-adversaries-byzantine-tolerant-gradient-descent.pdf" TargetMode="External"/><Relationship Id="rId27" Type="http://schemas.openxmlformats.org/officeDocument/2006/relationships/hyperlink" Target="https://www.ndss-symposium.org/wp-content/uploads/prism2026-13.pdf" TargetMode="External"/><Relationship Id="rId48" Type="http://schemas.openxmlformats.org/officeDocument/2006/relationships/hyperlink" Target="https://arxiv.org/html/2404.15611v1" TargetMode="External"/><Relationship Id="rId69" Type="http://schemas.openxmlformats.org/officeDocument/2006/relationships/hyperlink" Target="https://staff.itee.uq.edu.au/marius/NIDS_datasets/" TargetMode="External"/><Relationship Id="rId113" Type="http://schemas.openxmlformats.org/officeDocument/2006/relationships/hyperlink" Target="https://proceedings.mlr.press/v54/mcmahan17a/mcmahan17a.pdf" TargetMode="External"/><Relationship Id="rId134" Type="http://schemas.openxmlformats.org/officeDocument/2006/relationships/hyperlink" Target="https://www.nature.com/articles/s41598-024-76961-2" TargetMode="External"/><Relationship Id="rId80" Type="http://schemas.openxmlformats.org/officeDocument/2006/relationships/hyperlink" Target="https://pmc.ncbi.nlm.nih.gov/articles/PMC9812008/" TargetMode="External"/><Relationship Id="rId155" Type="http://schemas.openxmlformats.org/officeDocument/2006/relationships/hyperlink" Target="https://www.sciencedirect.com/science/article/pii/S0167739X23003783" TargetMode="External"/><Relationship Id="rId176" Type="http://schemas.openxmlformats.org/officeDocument/2006/relationships/hyperlink" Target="https://proceedings.mlr.press/v162/fisch22a/fisch22a.pdf" TargetMode="External"/><Relationship Id="rId197" Type="http://schemas.openxmlformats.org/officeDocument/2006/relationships/hyperlink" Target="https://www.unb.ca/cic/datasets/iotdataset-2023.html" TargetMode="External"/><Relationship Id="rId201" Type="http://schemas.openxmlformats.org/officeDocument/2006/relationships/hyperlink" Target="https://papers.neurips.cc/paper/9069-a-little-is-enough-circumventing-defenses-for-distributed-learning.pdf" TargetMode="External"/><Relationship Id="rId17" Type="http://schemas.openxmlformats.org/officeDocument/2006/relationships/hyperlink" Target="https://www.princeton.edu/~pmittal/publications/bhagoji-icml19.pdf" TargetMode="External"/><Relationship Id="rId38" Type="http://schemas.openxmlformats.org/officeDocument/2006/relationships/hyperlink" Target="https://www.ndss-symposium.org/wp-content/uploads/prism2026-13.pdf" TargetMode="External"/><Relationship Id="rId59" Type="http://schemas.openxmlformats.org/officeDocument/2006/relationships/hyperlink" Target="https://pmc.ncbi.nlm.nih.gov/articles/PMC11366002/" TargetMode="External"/><Relationship Id="rId103" Type="http://schemas.openxmlformats.org/officeDocument/2006/relationships/hyperlink" Target="https://arxiv.org/html/2404.15611v1" TargetMode="External"/><Relationship Id="rId124" Type="http://schemas.openxmlformats.org/officeDocument/2006/relationships/hyperlink" Target="https://pmc.ncbi.nlm.nih.gov/articles/PMC9812008/" TargetMode="External"/><Relationship Id="rId70" Type="http://schemas.openxmlformats.org/officeDocument/2006/relationships/hyperlink" Target="https://www.unb.ca/cic/datasets/iotdataset-2023.html" TargetMode="External"/><Relationship Id="rId91" Type="http://schemas.openxmlformats.org/officeDocument/2006/relationships/hyperlink" Target="https://pmc.ncbi.nlm.nih.gov/articles/PMC9812008/" TargetMode="External"/><Relationship Id="rId145" Type="http://schemas.openxmlformats.org/officeDocument/2006/relationships/hyperlink" Target="https://arxiv.org/html/2404.15611v1" TargetMode="External"/><Relationship Id="rId166" Type="http://schemas.openxmlformats.org/officeDocument/2006/relationships/hyperlink" Target="https://pmc.ncbi.nlm.nih.gov/articles/PMC11366002/" TargetMode="External"/><Relationship Id="rId187" Type="http://schemas.openxmlformats.org/officeDocument/2006/relationships/hyperlink" Target="https://www.mdpi.com/1424-8220/23/13/5941" TargetMode="External"/><Relationship Id="rId1" Type="http://schemas.openxmlformats.org/officeDocument/2006/relationships/numbering" Target="numbering.xml"/><Relationship Id="rId28" Type="http://schemas.openxmlformats.org/officeDocument/2006/relationships/hyperlink" Target="https://pmc.ncbi.nlm.nih.gov/articles/PMC9812008/" TargetMode="External"/><Relationship Id="rId49" Type="http://schemas.openxmlformats.org/officeDocument/2006/relationships/hyperlink" Target="https://arxiv.org/html/2404.15611v1" TargetMode="External"/><Relationship Id="rId114" Type="http://schemas.openxmlformats.org/officeDocument/2006/relationships/hyperlink" Target="https://proceedings.mlr.press/v54/mcmahan17a/mcmahan17a.pdf" TargetMode="External"/><Relationship Id="rId60" Type="http://schemas.openxmlformats.org/officeDocument/2006/relationships/hyperlink" Target="https://pmc.ncbi.nlm.nih.gov/articles/PMC9812008/" TargetMode="External"/><Relationship Id="rId81" Type="http://schemas.openxmlformats.org/officeDocument/2006/relationships/hyperlink" Target="https://www.princeton.edu/~pmittal/publications/bhagoji-icml19.pdf" TargetMode="External"/><Relationship Id="rId135" Type="http://schemas.openxmlformats.org/officeDocument/2006/relationships/hyperlink" Target="https://www.nature.com/articles/s41598-024-76961-2" TargetMode="External"/><Relationship Id="rId156" Type="http://schemas.openxmlformats.org/officeDocument/2006/relationships/hyperlink" Target="https://www.sciencedirect.com/science/article/pii/S0167739X23003783" TargetMode="External"/><Relationship Id="rId177" Type="http://schemas.openxmlformats.org/officeDocument/2006/relationships/hyperlink" Target="https://proceedings.mlr.press/v162/fisch22a/fisch22a.pdf" TargetMode="External"/><Relationship Id="rId198" Type="http://schemas.openxmlformats.org/officeDocument/2006/relationships/hyperlink" Target="https://www.unb.ca/cic/datasets/iotdataset-2023.html" TargetMode="External"/><Relationship Id="rId202" Type="http://schemas.openxmlformats.org/officeDocument/2006/relationships/hyperlink" Target="https://papers.neurips.cc/paper/9069-a-little-is-enough-circumventing-defenses-for-distributed-learning.pdf" TargetMode="External"/><Relationship Id="rId18" Type="http://schemas.openxmlformats.org/officeDocument/2006/relationships/hyperlink" Target="https://pmc.ncbi.nlm.nih.gov/articles/PMC11366002/" TargetMode="External"/><Relationship Id="rId39" Type="http://schemas.openxmlformats.org/officeDocument/2006/relationships/hyperlink" Target="https://pmc.ncbi.nlm.nih.gov/articles/PMC9812008/" TargetMode="External"/><Relationship Id="rId50" Type="http://schemas.openxmlformats.org/officeDocument/2006/relationships/hyperlink" Target="https://pmc.ncbi.nlm.nih.gov/articles/PMC11366002/" TargetMode="External"/><Relationship Id="rId104" Type="http://schemas.openxmlformats.org/officeDocument/2006/relationships/hyperlink" Target="https://www.ndss-symposium.org/wp-content/uploads/prism2026-13.pdf" TargetMode="External"/><Relationship Id="rId125" Type="http://schemas.openxmlformats.org/officeDocument/2006/relationships/hyperlink" Target="https://pmc.ncbi.nlm.nih.gov/articles/PMC9812008/" TargetMode="External"/><Relationship Id="rId146" Type="http://schemas.openxmlformats.org/officeDocument/2006/relationships/hyperlink" Target="https://arxiv.org/html/2404.15611v1" TargetMode="External"/><Relationship Id="rId167" Type="http://schemas.openxmlformats.org/officeDocument/2006/relationships/hyperlink" Target="https://www.ndss-symposium.org/wp-content/uploads/2020/04/diss2020-23003-paper.pdf" TargetMode="External"/><Relationship Id="rId188" Type="http://schemas.openxmlformats.org/officeDocument/2006/relationships/hyperlink" Target="https://www.mdpi.com/1424-8220/23/13/5941" TargetMode="External"/><Relationship Id="rId71" Type="http://schemas.openxmlformats.org/officeDocument/2006/relationships/hyperlink" Target="https://speed.cs.nycu.edu.tw/~ydlin/Two-phase_Defense_Against_Poisoning_Attacks_on_Federated.pdf" TargetMode="External"/><Relationship Id="rId92" Type="http://schemas.openxmlformats.org/officeDocument/2006/relationships/hyperlink" Target="https://www.ndss-symposium.org/wp-content/uploads/2024-1366-paper.pdf" TargetMode="External"/><Relationship Id="rId2" Type="http://schemas.openxmlformats.org/officeDocument/2006/relationships/styles" Target="styles.xml"/><Relationship Id="rId29" Type="http://schemas.openxmlformats.org/officeDocument/2006/relationships/hyperlink" Target="https://arxiv.org/html/2404.15611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2666</TotalTime>
  <Pages>17</Pages>
  <Words>7600</Words>
  <Characters>44081</Characters>
  <Application>Microsoft Office Word</Application>
  <DocSecurity>0</DocSecurity>
  <Lines>2204</Lines>
  <Paragraphs>1325</Paragraphs>
  <ScaleCrop>false</ScaleCrop>
  <Company/>
  <LinksUpToDate>false</LinksUpToDate>
  <CharactersWithSpaces>50356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Satyam Dwivedi</cp:lastModifiedBy>
  <cp:revision>2</cp:revision>
  <dcterms:created xsi:type="dcterms:W3CDTF">2026-03-24T19:23:00Z</dcterms:created>
  <dcterms:modified xsi:type="dcterms:W3CDTF">2026-03-27T17:02:00Z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