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74E7" w14:textId="77777777" w:rsidR="005A257D" w:rsidRDefault="00000000">
      <w:pPr>
        <w:spacing w:before="720" w:after="160" w:line="240" w:lineRule="auto"/>
        <w:jc w:val="center"/>
      </w:pPr>
      <w:r>
        <w:rPr>
          <w:b/>
          <w:color w:val="1B4A7A"/>
          <w:sz w:val="44"/>
        </w:rPr>
        <w:t>Comparative Analysis of Older and Newer IoT Security Datasets</w:t>
      </w:r>
    </w:p>
    <w:p w14:paraId="0DA7F841" w14:textId="4B5DC1D9" w:rsidR="005A257D" w:rsidRDefault="00000000" w:rsidP="008A0B01">
      <w:pPr>
        <w:spacing w:after="360"/>
        <w:jc w:val="center"/>
      </w:pPr>
      <w:r>
        <w:rPr>
          <w:i/>
          <w:color w:val="5A5A5A"/>
          <w:sz w:val="23"/>
        </w:rPr>
        <w:t xml:space="preserve">A research-style briefing for dataset selection in federated intrusion detection and </w:t>
      </w:r>
      <w:proofErr w:type="spellStart"/>
      <w:r>
        <w:rPr>
          <w:i/>
          <w:color w:val="5A5A5A"/>
          <w:sz w:val="23"/>
        </w:rPr>
        <w:t>adversarially</w:t>
      </w:r>
      <w:proofErr w:type="spellEnd"/>
      <w:r>
        <w:rPr>
          <w:i/>
          <w:color w:val="5A5A5A"/>
          <w:sz w:val="23"/>
        </w:rPr>
        <w:t xml:space="preserve"> robust FL-IDS experiments</w:t>
      </w:r>
      <w:r>
        <w:rPr>
          <w:color w:val="505050"/>
        </w:rPr>
        <w:br/>
        <w:t>Purpose: compare original datasets with newer official or reprocessed variants</w:t>
      </w:r>
      <w:r>
        <w:rPr>
          <w:color w:val="505050"/>
        </w:rPr>
        <w:br/>
        <w:t>Date: March 17, 2026</w:t>
      </w:r>
    </w:p>
    <w:tbl>
      <w:tblPr>
        <w:tblW w:w="0" w:type="auto"/>
        <w:jc w:val="center"/>
        <w:tblLayout w:type="fixed"/>
        <w:tblLook w:val="04A0" w:firstRow="1" w:lastRow="0" w:firstColumn="1" w:lastColumn="0" w:noHBand="0" w:noVBand="1"/>
      </w:tblPr>
      <w:tblGrid>
        <w:gridCol w:w="9072"/>
      </w:tblGrid>
      <w:tr w:rsidR="005A257D" w14:paraId="0B081CBF" w14:textId="77777777">
        <w:trPr>
          <w:jc w:val="center"/>
        </w:trPr>
        <w:tc>
          <w:tcPr>
            <w:tcW w:w="9072" w:type="dxa"/>
            <w:shd w:val="clear" w:color="auto" w:fill="EEF4FA"/>
            <w:tcMar>
              <w:top w:w="110" w:type="dxa"/>
              <w:left w:w="140" w:type="dxa"/>
              <w:bottom w:w="110" w:type="dxa"/>
              <w:right w:w="140" w:type="dxa"/>
            </w:tcMar>
            <w:vAlign w:val="center"/>
          </w:tcPr>
          <w:p w14:paraId="7FEB9034" w14:textId="77777777" w:rsidR="005A257D" w:rsidRDefault="00000000">
            <w:pPr>
              <w:spacing w:after="0"/>
            </w:pPr>
            <w:r>
              <w:rPr>
                <w:b/>
                <w:color w:val="1B4A7A"/>
                <w:sz w:val="22"/>
              </w:rPr>
              <w:t xml:space="preserve">Core takeaway. </w:t>
            </w:r>
            <w:r>
              <w:t>The phrase "new dataset" does not mean the same thing across all families. CIC IoT-DIAD 2024 is a newer official CIC benchmark, while NF-ToN-IoT-v3 and NF-BoT-IoT-v3 are newer standardized NetFlow-based derivatives of older datasets rather than simple version replacements. Edge-IIoTset remains a currently used benchmark with no clearly established official successor.</w:t>
            </w:r>
          </w:p>
        </w:tc>
      </w:tr>
    </w:tbl>
    <w:p w14:paraId="5143769F" w14:textId="77777777" w:rsidR="005A257D" w:rsidRDefault="00000000">
      <w:r>
        <w:br w:type="page"/>
      </w:r>
    </w:p>
    <w:p w14:paraId="242A842F" w14:textId="77777777" w:rsidR="005A257D" w:rsidRDefault="00000000">
      <w:pPr>
        <w:pStyle w:val="Heading1"/>
        <w:spacing w:before="0" w:after="160"/>
      </w:pPr>
      <w:r>
        <w:lastRenderedPageBreak/>
        <w:t>Abstract</w:t>
      </w:r>
    </w:p>
    <w:p w14:paraId="0E1DD16C" w14:textId="77777777" w:rsidR="005A257D" w:rsidRDefault="00000000">
      <w:pPr>
        <w:spacing w:line="283" w:lineRule="auto"/>
      </w:pPr>
      <w:r>
        <w:t>This report compares selected older and newer datasets relevant to Internet of Things (IoT) and Industrial IoT intrusion detection research, with particular attention to their suitability for federated learning, poisoning defense, anomaly detection, and attack classification. The comparison is organized around four dataset families: CICIoT2023 versus CIC IoT-DIAD 2024, TON_IoT versus NF-ToN-IoT-v3, BoT-IoT versus NF-BoT-IoT-v3, and Edge-IIoTset as a benchmark without an obvious official successor. The report distinguishes two different kinds of dataset evolution: true newer benchmarks in the same family and standardized, reformulated derivatives. It then compares the families across task orientation, data modality, feature representation, preprocessing philosophy, practical research trade-offs, and implications for a federated intrusion detection paper.</w:t>
      </w:r>
    </w:p>
    <w:p w14:paraId="28F7E79D" w14:textId="77777777" w:rsidR="005A257D" w:rsidRDefault="00000000">
      <w:pPr>
        <w:pStyle w:val="Heading1"/>
      </w:pPr>
      <w:r>
        <w:t>1. Introduction</w:t>
      </w:r>
    </w:p>
    <w:p w14:paraId="497D4189" w14:textId="77777777" w:rsidR="005A257D" w:rsidRDefault="00000000">
      <w:pPr>
        <w:spacing w:after="120" w:line="283" w:lineRule="auto"/>
      </w:pPr>
      <w:r>
        <w:t>In current IDS literature, researchers often describe a dataset as "newer" without clarifying whether the newer resource is a direct successor, a benchmark with a shifted task definition, or a reprocessed version designed to standardize representation. That distinction is important because dataset choice affects the problem framing, the label space, the type of model that can be trained, and the credibility of the final research claims. For a federated intrusion detection paper, the main questions are not only which dataset is most recent, but also which dataset best matches the intended task: attack classification, anomaly detection, device identification, or cross-dataset generalization.</w:t>
      </w:r>
    </w:p>
    <w:p w14:paraId="6547F3E4" w14:textId="77777777" w:rsidR="005A257D" w:rsidRDefault="00000000">
      <w:pPr>
        <w:pStyle w:val="Heading2"/>
      </w:pPr>
      <w:r>
        <w:t>1.1 Two different meanings of "new"</w:t>
      </w:r>
    </w:p>
    <w:p w14:paraId="14646AD7" w14:textId="77777777" w:rsidR="005A257D" w:rsidRDefault="005A257D"/>
    <w:p w14:paraId="6B637AFE" w14:textId="77777777" w:rsidR="005A257D" w:rsidRDefault="00000000">
      <w:pPr>
        <w:spacing w:after="100"/>
        <w:ind w:left="360"/>
      </w:pPr>
      <w:r>
        <w:t>• True newer benchmark in the same family. This means the newer dataset is an official follow-on benchmark from the same ecosystem, with overlapping scale or design lineage but often with an updated task orientation.</w:t>
      </w:r>
    </w:p>
    <w:p w14:paraId="627247A6" w14:textId="77777777" w:rsidR="005A257D" w:rsidRDefault="00000000">
      <w:pPr>
        <w:spacing w:after="100"/>
        <w:ind w:left="360"/>
      </w:pPr>
      <w:r>
        <w:t>• Reprocessed or reformulated derivative. This means researchers took an older benchmark and converted it into a different standardized representation, usually for easier comparability or improved feature engineering.</w:t>
      </w:r>
    </w:p>
    <w:p w14:paraId="5533A25D" w14:textId="77777777" w:rsidR="005A257D" w:rsidRDefault="00000000">
      <w:pPr>
        <w:pStyle w:val="Heading1"/>
      </w:pPr>
      <w:r>
        <w:t>2. High-Level Relationship Map</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958"/>
        <w:gridCol w:w="1958"/>
        <w:gridCol w:w="2088"/>
        <w:gridCol w:w="1958"/>
        <w:gridCol w:w="2448"/>
      </w:tblGrid>
      <w:tr w:rsidR="005A257D" w14:paraId="03DED51A" w14:textId="77777777" w:rsidTr="008A0B01">
        <w:trPr>
          <w:jc w:val="center"/>
        </w:trPr>
        <w:tc>
          <w:tcPr>
            <w:tcW w:w="1800" w:type="dxa"/>
            <w:shd w:val="clear" w:color="auto" w:fill="DCE6F1"/>
            <w:tcMar>
              <w:top w:w="90" w:type="dxa"/>
              <w:left w:w="95" w:type="dxa"/>
              <w:bottom w:w="90" w:type="dxa"/>
              <w:right w:w="95" w:type="dxa"/>
            </w:tcMar>
            <w:vAlign w:val="center"/>
          </w:tcPr>
          <w:p w14:paraId="38E8BBAD" w14:textId="77777777" w:rsidR="005A257D" w:rsidRDefault="00000000">
            <w:pPr>
              <w:jc w:val="center"/>
            </w:pPr>
            <w:r>
              <w:rPr>
                <w:b/>
                <w:sz w:val="19"/>
              </w:rPr>
              <w:t>Dataset Family</w:t>
            </w:r>
          </w:p>
        </w:tc>
        <w:tc>
          <w:tcPr>
            <w:tcW w:w="1944" w:type="dxa"/>
            <w:shd w:val="clear" w:color="auto" w:fill="DCE6F1"/>
            <w:tcMar>
              <w:top w:w="90" w:type="dxa"/>
              <w:left w:w="95" w:type="dxa"/>
              <w:bottom w:w="90" w:type="dxa"/>
              <w:right w:w="95" w:type="dxa"/>
            </w:tcMar>
            <w:vAlign w:val="center"/>
          </w:tcPr>
          <w:p w14:paraId="5374B948" w14:textId="77777777" w:rsidR="005A257D" w:rsidRDefault="00000000" w:rsidP="008A0B01">
            <w:r>
              <w:rPr>
                <w:b/>
                <w:sz w:val="19"/>
              </w:rPr>
              <w:t>Older Dataset</w:t>
            </w:r>
          </w:p>
        </w:tc>
        <w:tc>
          <w:tcPr>
            <w:tcW w:w="2088" w:type="dxa"/>
            <w:shd w:val="clear" w:color="auto" w:fill="DCE6F1"/>
            <w:tcMar>
              <w:top w:w="90" w:type="dxa"/>
              <w:left w:w="95" w:type="dxa"/>
              <w:bottom w:w="90" w:type="dxa"/>
              <w:right w:w="95" w:type="dxa"/>
            </w:tcMar>
            <w:vAlign w:val="center"/>
          </w:tcPr>
          <w:p w14:paraId="3FF4EC67" w14:textId="77777777" w:rsidR="005A257D" w:rsidRDefault="00000000" w:rsidP="008A0B01">
            <w:r>
              <w:rPr>
                <w:b/>
                <w:sz w:val="19"/>
              </w:rPr>
              <w:t>Newer Dataset</w:t>
            </w:r>
          </w:p>
        </w:tc>
        <w:tc>
          <w:tcPr>
            <w:tcW w:w="1800" w:type="dxa"/>
            <w:shd w:val="clear" w:color="auto" w:fill="DCE6F1"/>
            <w:tcMar>
              <w:top w:w="90" w:type="dxa"/>
              <w:left w:w="95" w:type="dxa"/>
              <w:bottom w:w="90" w:type="dxa"/>
              <w:right w:w="95" w:type="dxa"/>
            </w:tcMar>
            <w:vAlign w:val="center"/>
          </w:tcPr>
          <w:p w14:paraId="321DFED0" w14:textId="77777777" w:rsidR="005A257D" w:rsidRDefault="00000000" w:rsidP="008A0B01">
            <w:r>
              <w:rPr>
                <w:b/>
                <w:sz w:val="19"/>
              </w:rPr>
              <w:t>Relationship Type</w:t>
            </w:r>
          </w:p>
        </w:tc>
        <w:tc>
          <w:tcPr>
            <w:tcW w:w="2448" w:type="dxa"/>
            <w:shd w:val="clear" w:color="auto" w:fill="DCE6F1"/>
            <w:tcMar>
              <w:top w:w="90" w:type="dxa"/>
              <w:left w:w="95" w:type="dxa"/>
              <w:bottom w:w="90" w:type="dxa"/>
              <w:right w:w="95" w:type="dxa"/>
            </w:tcMar>
            <w:vAlign w:val="center"/>
          </w:tcPr>
          <w:p w14:paraId="43C551C5" w14:textId="77777777" w:rsidR="005A257D" w:rsidRDefault="00000000">
            <w:pPr>
              <w:jc w:val="center"/>
            </w:pPr>
            <w:r>
              <w:rPr>
                <w:b/>
                <w:sz w:val="19"/>
              </w:rPr>
              <w:t>Most Important Difference</w:t>
            </w:r>
          </w:p>
        </w:tc>
      </w:tr>
      <w:tr w:rsidR="005A257D" w14:paraId="6A189051" w14:textId="77777777" w:rsidTr="008A0B01">
        <w:trPr>
          <w:jc w:val="center"/>
        </w:trPr>
        <w:tc>
          <w:tcPr>
            <w:tcW w:w="1958" w:type="dxa"/>
            <w:tcMar>
              <w:top w:w="80" w:type="dxa"/>
              <w:left w:w="90" w:type="dxa"/>
              <w:bottom w:w="80" w:type="dxa"/>
              <w:right w:w="90" w:type="dxa"/>
            </w:tcMar>
            <w:vAlign w:val="center"/>
          </w:tcPr>
          <w:p w14:paraId="16A1F474" w14:textId="77777777" w:rsidR="005A257D" w:rsidRDefault="00000000">
            <w:pPr>
              <w:spacing w:after="0" w:line="264" w:lineRule="auto"/>
              <w:jc w:val="center"/>
            </w:pPr>
            <w:r w:rsidRPr="008A0B01">
              <w:rPr>
                <w:color w:val="EE0000"/>
                <w:sz w:val="18"/>
              </w:rPr>
              <w:t>CIC</w:t>
            </w:r>
          </w:p>
        </w:tc>
        <w:tc>
          <w:tcPr>
            <w:tcW w:w="1958" w:type="dxa"/>
            <w:tcMar>
              <w:top w:w="80" w:type="dxa"/>
              <w:left w:w="90" w:type="dxa"/>
              <w:bottom w:w="80" w:type="dxa"/>
              <w:right w:w="90" w:type="dxa"/>
            </w:tcMar>
            <w:vAlign w:val="center"/>
          </w:tcPr>
          <w:p w14:paraId="5E2BCDD8" w14:textId="77777777" w:rsidR="005A257D" w:rsidRPr="008A0B01" w:rsidRDefault="00000000">
            <w:pPr>
              <w:spacing w:after="0" w:line="264" w:lineRule="auto"/>
              <w:rPr>
                <w:color w:val="EE0000"/>
              </w:rPr>
            </w:pPr>
            <w:r w:rsidRPr="008A0B01">
              <w:rPr>
                <w:color w:val="EE0000"/>
                <w:sz w:val="18"/>
              </w:rPr>
              <w:t>CICIoT2023</w:t>
            </w:r>
          </w:p>
        </w:tc>
        <w:tc>
          <w:tcPr>
            <w:tcW w:w="1958" w:type="dxa"/>
            <w:tcMar>
              <w:top w:w="80" w:type="dxa"/>
              <w:left w:w="90" w:type="dxa"/>
              <w:bottom w:w="80" w:type="dxa"/>
              <w:right w:w="90" w:type="dxa"/>
            </w:tcMar>
            <w:vAlign w:val="center"/>
          </w:tcPr>
          <w:p w14:paraId="5184D127" w14:textId="77777777" w:rsidR="005A257D" w:rsidRPr="008A0B01" w:rsidRDefault="00000000">
            <w:pPr>
              <w:spacing w:after="0" w:line="264" w:lineRule="auto"/>
              <w:rPr>
                <w:color w:val="EE0000"/>
              </w:rPr>
            </w:pPr>
            <w:r w:rsidRPr="008A0B01">
              <w:rPr>
                <w:color w:val="EE0000"/>
                <w:sz w:val="18"/>
              </w:rPr>
              <w:t>CIC IoT-DIAD 2024</w:t>
            </w:r>
          </w:p>
        </w:tc>
        <w:tc>
          <w:tcPr>
            <w:tcW w:w="1958" w:type="dxa"/>
            <w:tcMar>
              <w:top w:w="80" w:type="dxa"/>
              <w:left w:w="90" w:type="dxa"/>
              <w:bottom w:w="80" w:type="dxa"/>
              <w:right w:w="90" w:type="dxa"/>
            </w:tcMar>
            <w:vAlign w:val="center"/>
          </w:tcPr>
          <w:p w14:paraId="6F589E68" w14:textId="77777777" w:rsidR="005A257D" w:rsidRDefault="00000000">
            <w:pPr>
              <w:spacing w:after="0" w:line="264" w:lineRule="auto"/>
              <w:jc w:val="center"/>
            </w:pPr>
            <w:r>
              <w:rPr>
                <w:sz w:val="18"/>
              </w:rPr>
              <w:t>Official newer benchmark</w:t>
            </w:r>
          </w:p>
        </w:tc>
        <w:tc>
          <w:tcPr>
            <w:tcW w:w="1958" w:type="dxa"/>
            <w:tcMar>
              <w:top w:w="80" w:type="dxa"/>
              <w:left w:w="90" w:type="dxa"/>
              <w:bottom w:w="80" w:type="dxa"/>
              <w:right w:w="90" w:type="dxa"/>
            </w:tcMar>
            <w:vAlign w:val="center"/>
          </w:tcPr>
          <w:p w14:paraId="35C1E26F" w14:textId="77777777" w:rsidR="005A257D" w:rsidRDefault="00000000">
            <w:pPr>
              <w:spacing w:after="0" w:line="264" w:lineRule="auto"/>
            </w:pPr>
            <w:r>
              <w:rPr>
                <w:sz w:val="18"/>
              </w:rPr>
              <w:t xml:space="preserve">Shift from attack-centric benchmarking toward device </w:t>
            </w:r>
            <w:r w:rsidRPr="008A0B01">
              <w:rPr>
                <w:color w:val="EE0000"/>
                <w:sz w:val="18"/>
              </w:rPr>
              <w:t>identification</w:t>
            </w:r>
            <w:r>
              <w:rPr>
                <w:sz w:val="18"/>
              </w:rPr>
              <w:t xml:space="preserve"> plus </w:t>
            </w:r>
            <w:r w:rsidRPr="008A0B01">
              <w:rPr>
                <w:color w:val="EE0000"/>
                <w:sz w:val="18"/>
              </w:rPr>
              <w:t xml:space="preserve">anomaly detection </w:t>
            </w:r>
            <w:r>
              <w:rPr>
                <w:sz w:val="18"/>
              </w:rPr>
              <w:t>framing</w:t>
            </w:r>
          </w:p>
        </w:tc>
      </w:tr>
      <w:tr w:rsidR="005A257D" w14:paraId="7DBB464C" w14:textId="77777777" w:rsidTr="008A0B01">
        <w:trPr>
          <w:jc w:val="center"/>
        </w:trPr>
        <w:tc>
          <w:tcPr>
            <w:tcW w:w="1958" w:type="dxa"/>
            <w:tcMar>
              <w:top w:w="80" w:type="dxa"/>
              <w:left w:w="90" w:type="dxa"/>
              <w:bottom w:w="80" w:type="dxa"/>
              <w:right w:w="90" w:type="dxa"/>
            </w:tcMar>
            <w:vAlign w:val="center"/>
          </w:tcPr>
          <w:p w14:paraId="4B656504" w14:textId="77777777" w:rsidR="005A257D" w:rsidRDefault="00000000">
            <w:pPr>
              <w:spacing w:after="0" w:line="264" w:lineRule="auto"/>
              <w:jc w:val="center"/>
            </w:pPr>
            <w:r w:rsidRPr="008A0B01">
              <w:rPr>
                <w:color w:val="00B050"/>
                <w:sz w:val="18"/>
              </w:rPr>
              <w:t>TON_IoT</w:t>
            </w:r>
          </w:p>
        </w:tc>
        <w:tc>
          <w:tcPr>
            <w:tcW w:w="1958" w:type="dxa"/>
            <w:tcMar>
              <w:top w:w="80" w:type="dxa"/>
              <w:left w:w="90" w:type="dxa"/>
              <w:bottom w:w="80" w:type="dxa"/>
              <w:right w:w="90" w:type="dxa"/>
            </w:tcMar>
            <w:vAlign w:val="center"/>
          </w:tcPr>
          <w:p w14:paraId="0BE13262" w14:textId="77777777" w:rsidR="005A257D" w:rsidRPr="008A0B01" w:rsidRDefault="00000000">
            <w:pPr>
              <w:spacing w:after="0" w:line="264" w:lineRule="auto"/>
              <w:rPr>
                <w:color w:val="00B050"/>
              </w:rPr>
            </w:pPr>
            <w:r w:rsidRPr="008A0B01">
              <w:rPr>
                <w:color w:val="00B050"/>
                <w:sz w:val="18"/>
              </w:rPr>
              <w:t>TON_IoT</w:t>
            </w:r>
          </w:p>
        </w:tc>
        <w:tc>
          <w:tcPr>
            <w:tcW w:w="1958" w:type="dxa"/>
            <w:tcMar>
              <w:top w:w="80" w:type="dxa"/>
              <w:left w:w="90" w:type="dxa"/>
              <w:bottom w:w="80" w:type="dxa"/>
              <w:right w:w="90" w:type="dxa"/>
            </w:tcMar>
            <w:vAlign w:val="center"/>
          </w:tcPr>
          <w:p w14:paraId="59568A9A" w14:textId="77777777" w:rsidR="005A257D" w:rsidRPr="008A0B01" w:rsidRDefault="00000000">
            <w:pPr>
              <w:spacing w:after="0" w:line="264" w:lineRule="auto"/>
              <w:rPr>
                <w:color w:val="00B050"/>
              </w:rPr>
            </w:pPr>
            <w:r w:rsidRPr="008A0B01">
              <w:rPr>
                <w:color w:val="00B050"/>
                <w:sz w:val="18"/>
              </w:rPr>
              <w:t>NF-ToN-IoT-v3</w:t>
            </w:r>
          </w:p>
        </w:tc>
        <w:tc>
          <w:tcPr>
            <w:tcW w:w="1958" w:type="dxa"/>
            <w:tcMar>
              <w:top w:w="80" w:type="dxa"/>
              <w:left w:w="90" w:type="dxa"/>
              <w:bottom w:w="80" w:type="dxa"/>
              <w:right w:w="90" w:type="dxa"/>
            </w:tcMar>
            <w:vAlign w:val="center"/>
          </w:tcPr>
          <w:p w14:paraId="68102E34" w14:textId="77777777" w:rsidR="005A257D" w:rsidRDefault="00000000">
            <w:pPr>
              <w:spacing w:after="0" w:line="264" w:lineRule="auto"/>
              <w:jc w:val="center"/>
            </w:pPr>
            <w:r>
              <w:rPr>
                <w:sz w:val="18"/>
              </w:rPr>
              <w:t>NetFlow derivative</w:t>
            </w:r>
          </w:p>
        </w:tc>
        <w:tc>
          <w:tcPr>
            <w:tcW w:w="1958" w:type="dxa"/>
            <w:tcMar>
              <w:top w:w="80" w:type="dxa"/>
              <w:left w:w="90" w:type="dxa"/>
              <w:bottom w:w="80" w:type="dxa"/>
              <w:right w:w="90" w:type="dxa"/>
            </w:tcMar>
            <w:vAlign w:val="center"/>
          </w:tcPr>
          <w:p w14:paraId="4FC96F2F" w14:textId="77777777" w:rsidR="005A257D" w:rsidRDefault="00000000">
            <w:pPr>
              <w:spacing w:after="0" w:line="264" w:lineRule="auto"/>
            </w:pPr>
            <w:r>
              <w:rPr>
                <w:sz w:val="18"/>
              </w:rPr>
              <w:t>Standardized NetFlow representation with expanded temporal features</w:t>
            </w:r>
          </w:p>
        </w:tc>
      </w:tr>
      <w:tr w:rsidR="005A257D" w14:paraId="64ABBBC0" w14:textId="77777777" w:rsidTr="008A0B01">
        <w:trPr>
          <w:jc w:val="center"/>
        </w:trPr>
        <w:tc>
          <w:tcPr>
            <w:tcW w:w="1958" w:type="dxa"/>
            <w:tcMar>
              <w:top w:w="80" w:type="dxa"/>
              <w:left w:w="90" w:type="dxa"/>
              <w:bottom w:w="80" w:type="dxa"/>
              <w:right w:w="90" w:type="dxa"/>
            </w:tcMar>
            <w:vAlign w:val="center"/>
          </w:tcPr>
          <w:p w14:paraId="1484C4DA" w14:textId="77777777" w:rsidR="005A257D" w:rsidRDefault="00000000">
            <w:pPr>
              <w:spacing w:after="0" w:line="264" w:lineRule="auto"/>
              <w:jc w:val="center"/>
            </w:pPr>
            <w:r w:rsidRPr="008A0B01">
              <w:rPr>
                <w:color w:val="00B0F0"/>
                <w:sz w:val="18"/>
              </w:rPr>
              <w:lastRenderedPageBreak/>
              <w:t>BoT-IoT</w:t>
            </w:r>
          </w:p>
        </w:tc>
        <w:tc>
          <w:tcPr>
            <w:tcW w:w="1958" w:type="dxa"/>
            <w:tcMar>
              <w:top w:w="80" w:type="dxa"/>
              <w:left w:w="90" w:type="dxa"/>
              <w:bottom w:w="80" w:type="dxa"/>
              <w:right w:w="90" w:type="dxa"/>
            </w:tcMar>
            <w:vAlign w:val="center"/>
          </w:tcPr>
          <w:p w14:paraId="4480A09C" w14:textId="77777777" w:rsidR="005A257D" w:rsidRPr="008A0B01" w:rsidRDefault="00000000">
            <w:pPr>
              <w:spacing w:after="0" w:line="264" w:lineRule="auto"/>
              <w:rPr>
                <w:color w:val="00B0F0"/>
              </w:rPr>
            </w:pPr>
            <w:r w:rsidRPr="008A0B01">
              <w:rPr>
                <w:color w:val="00B0F0"/>
                <w:sz w:val="18"/>
              </w:rPr>
              <w:t>BoT-IoT</w:t>
            </w:r>
          </w:p>
        </w:tc>
        <w:tc>
          <w:tcPr>
            <w:tcW w:w="1958" w:type="dxa"/>
            <w:tcMar>
              <w:top w:w="80" w:type="dxa"/>
              <w:left w:w="90" w:type="dxa"/>
              <w:bottom w:w="80" w:type="dxa"/>
              <w:right w:w="90" w:type="dxa"/>
            </w:tcMar>
            <w:vAlign w:val="center"/>
          </w:tcPr>
          <w:p w14:paraId="159E4A1B" w14:textId="77777777" w:rsidR="005A257D" w:rsidRPr="008A0B01" w:rsidRDefault="00000000">
            <w:pPr>
              <w:spacing w:after="0" w:line="264" w:lineRule="auto"/>
              <w:rPr>
                <w:color w:val="00B0F0"/>
              </w:rPr>
            </w:pPr>
            <w:r w:rsidRPr="008A0B01">
              <w:rPr>
                <w:color w:val="00B0F0"/>
                <w:sz w:val="18"/>
              </w:rPr>
              <w:t>NF-BoT-IoT-v3</w:t>
            </w:r>
          </w:p>
        </w:tc>
        <w:tc>
          <w:tcPr>
            <w:tcW w:w="1958" w:type="dxa"/>
            <w:tcMar>
              <w:top w:w="80" w:type="dxa"/>
              <w:left w:w="90" w:type="dxa"/>
              <w:bottom w:w="80" w:type="dxa"/>
              <w:right w:w="90" w:type="dxa"/>
            </w:tcMar>
            <w:vAlign w:val="center"/>
          </w:tcPr>
          <w:p w14:paraId="748DA195" w14:textId="77777777" w:rsidR="005A257D" w:rsidRDefault="00000000">
            <w:pPr>
              <w:spacing w:after="0" w:line="264" w:lineRule="auto"/>
              <w:jc w:val="center"/>
            </w:pPr>
            <w:r>
              <w:rPr>
                <w:sz w:val="18"/>
              </w:rPr>
              <w:t>NetFlow derivative</w:t>
            </w:r>
          </w:p>
        </w:tc>
        <w:tc>
          <w:tcPr>
            <w:tcW w:w="1958" w:type="dxa"/>
            <w:tcMar>
              <w:top w:w="80" w:type="dxa"/>
              <w:left w:w="90" w:type="dxa"/>
              <w:bottom w:w="80" w:type="dxa"/>
              <w:right w:w="90" w:type="dxa"/>
            </w:tcMar>
            <w:vAlign w:val="center"/>
          </w:tcPr>
          <w:p w14:paraId="787CBEAC" w14:textId="77777777" w:rsidR="005A257D" w:rsidRDefault="00000000">
            <w:pPr>
              <w:spacing w:after="0" w:line="264" w:lineRule="auto"/>
            </w:pPr>
            <w:r>
              <w:rPr>
                <w:sz w:val="18"/>
              </w:rPr>
              <w:t>Original botnet benchmark re-expressed in a consistent NetFlow feature space</w:t>
            </w:r>
          </w:p>
        </w:tc>
      </w:tr>
      <w:tr w:rsidR="005A257D" w14:paraId="4E6DA56F" w14:textId="77777777" w:rsidTr="008A0B01">
        <w:trPr>
          <w:jc w:val="center"/>
        </w:trPr>
        <w:tc>
          <w:tcPr>
            <w:tcW w:w="1958" w:type="dxa"/>
            <w:tcMar>
              <w:top w:w="80" w:type="dxa"/>
              <w:left w:w="90" w:type="dxa"/>
              <w:bottom w:w="80" w:type="dxa"/>
              <w:right w:w="90" w:type="dxa"/>
            </w:tcMar>
            <w:vAlign w:val="center"/>
          </w:tcPr>
          <w:p w14:paraId="2B4EAAEA" w14:textId="77777777" w:rsidR="005A257D" w:rsidRDefault="00000000">
            <w:pPr>
              <w:spacing w:after="0" w:line="264" w:lineRule="auto"/>
              <w:jc w:val="center"/>
            </w:pPr>
            <w:r w:rsidRPr="008A0B01">
              <w:rPr>
                <w:color w:val="F79646" w:themeColor="accent6"/>
                <w:sz w:val="18"/>
              </w:rPr>
              <w:t>Edge-IIoTset</w:t>
            </w:r>
          </w:p>
        </w:tc>
        <w:tc>
          <w:tcPr>
            <w:tcW w:w="1958" w:type="dxa"/>
            <w:tcMar>
              <w:top w:w="80" w:type="dxa"/>
              <w:left w:w="90" w:type="dxa"/>
              <w:bottom w:w="80" w:type="dxa"/>
              <w:right w:w="90" w:type="dxa"/>
            </w:tcMar>
            <w:vAlign w:val="center"/>
          </w:tcPr>
          <w:p w14:paraId="03FF97A5" w14:textId="77777777" w:rsidR="005A257D" w:rsidRPr="008A0B01" w:rsidRDefault="00000000">
            <w:pPr>
              <w:spacing w:after="0" w:line="264" w:lineRule="auto"/>
              <w:rPr>
                <w:color w:val="F79646" w:themeColor="accent6"/>
              </w:rPr>
            </w:pPr>
            <w:r w:rsidRPr="008A0B01">
              <w:rPr>
                <w:color w:val="F79646" w:themeColor="accent6"/>
                <w:sz w:val="18"/>
              </w:rPr>
              <w:t>Edge-IIoTset (2022)</w:t>
            </w:r>
          </w:p>
        </w:tc>
        <w:tc>
          <w:tcPr>
            <w:tcW w:w="1958" w:type="dxa"/>
            <w:tcMar>
              <w:top w:w="80" w:type="dxa"/>
              <w:left w:w="90" w:type="dxa"/>
              <w:bottom w:w="80" w:type="dxa"/>
              <w:right w:w="90" w:type="dxa"/>
            </w:tcMar>
            <w:vAlign w:val="center"/>
          </w:tcPr>
          <w:p w14:paraId="7F695719" w14:textId="77777777" w:rsidR="005A257D" w:rsidRPr="008A0B01" w:rsidRDefault="00000000">
            <w:pPr>
              <w:spacing w:after="0" w:line="264" w:lineRule="auto"/>
              <w:rPr>
                <w:color w:val="F79646" w:themeColor="accent6"/>
              </w:rPr>
            </w:pPr>
            <w:r w:rsidRPr="008A0B01">
              <w:rPr>
                <w:color w:val="F79646" w:themeColor="accent6"/>
                <w:sz w:val="18"/>
              </w:rPr>
              <w:t>No clear official successor</w:t>
            </w:r>
          </w:p>
        </w:tc>
        <w:tc>
          <w:tcPr>
            <w:tcW w:w="1958" w:type="dxa"/>
            <w:tcMar>
              <w:top w:w="80" w:type="dxa"/>
              <w:left w:w="90" w:type="dxa"/>
              <w:bottom w:w="80" w:type="dxa"/>
              <w:right w:w="90" w:type="dxa"/>
            </w:tcMar>
            <w:vAlign w:val="center"/>
          </w:tcPr>
          <w:p w14:paraId="073F6933" w14:textId="77777777" w:rsidR="005A257D" w:rsidRDefault="00000000">
            <w:pPr>
              <w:spacing w:after="0" w:line="264" w:lineRule="auto"/>
              <w:jc w:val="center"/>
            </w:pPr>
            <w:r>
              <w:rPr>
                <w:sz w:val="18"/>
              </w:rPr>
              <w:t>Same benchmark still used</w:t>
            </w:r>
          </w:p>
        </w:tc>
        <w:tc>
          <w:tcPr>
            <w:tcW w:w="1958" w:type="dxa"/>
            <w:tcMar>
              <w:top w:w="80" w:type="dxa"/>
              <w:left w:w="90" w:type="dxa"/>
              <w:bottom w:w="80" w:type="dxa"/>
              <w:right w:w="90" w:type="dxa"/>
            </w:tcMar>
            <w:vAlign w:val="center"/>
          </w:tcPr>
          <w:p w14:paraId="26B37A75" w14:textId="77777777" w:rsidR="005A257D" w:rsidRDefault="00000000">
            <w:pPr>
              <w:spacing w:after="0" w:line="264" w:lineRule="auto"/>
            </w:pPr>
            <w:r>
              <w:rPr>
                <w:sz w:val="18"/>
              </w:rPr>
              <w:t>No major family replacement identified; remains relevant for federated IDS work</w:t>
            </w:r>
          </w:p>
        </w:tc>
      </w:tr>
    </w:tbl>
    <w:p w14:paraId="5F705F60" w14:textId="77777777" w:rsidR="005A257D" w:rsidRDefault="005A257D">
      <w:pPr>
        <w:spacing w:after="80"/>
      </w:pPr>
    </w:p>
    <w:p w14:paraId="7507CDB9" w14:textId="77777777" w:rsidR="005A257D" w:rsidRDefault="00000000">
      <w:pPr>
        <w:pStyle w:val="Heading1"/>
      </w:pPr>
      <w:r>
        <w:t>3. CICIoT2023 versus CIC IoT-DIAD 2024</w:t>
      </w:r>
    </w:p>
    <w:p w14:paraId="476C28F8" w14:textId="77777777" w:rsidR="005A257D" w:rsidRDefault="00000000">
      <w:pPr>
        <w:pStyle w:val="Heading2"/>
      </w:pPr>
      <w:r>
        <w:t>3.1 What stayed similar</w:t>
      </w:r>
    </w:p>
    <w:p w14:paraId="1B6C8830" w14:textId="77777777" w:rsidR="005A257D" w:rsidRDefault="00000000">
      <w:pPr>
        <w:spacing w:after="120" w:line="283" w:lineRule="auto"/>
      </w:pPr>
      <w:r>
        <w:t>Both datasets belong to the Canadian Institute for Cybersecurity ecosystem and are described around a deployment involving 105 devices and 33 attacks. This means the newer dataset is not disconnected from the earlier one: the scale, attack richness, and IoT focus remain comparable enough that researchers may be tempted to treat them as directly interchangeable.</w:t>
      </w:r>
    </w:p>
    <w:p w14:paraId="2DB167F7" w14:textId="77777777" w:rsidR="005A257D" w:rsidRDefault="00000000">
      <w:pPr>
        <w:pStyle w:val="Heading2"/>
      </w:pPr>
      <w:r>
        <w:t>3.2 Main difference in research purpose</w:t>
      </w:r>
    </w:p>
    <w:p w14:paraId="09EE2FFF" w14:textId="77777777" w:rsidR="005A257D" w:rsidRDefault="00000000">
      <w:pPr>
        <w:spacing w:after="120" w:line="283" w:lineRule="auto"/>
      </w:pPr>
      <w:r>
        <w:t xml:space="preserve">The older CICIoT2023 dataset is naturally aligned with </w:t>
      </w:r>
      <w:r w:rsidRPr="00A30997">
        <w:rPr>
          <w:b/>
          <w:bCs/>
        </w:rPr>
        <w:t>attack-centric intrusion detection benchmarking</w:t>
      </w:r>
      <w:r>
        <w:t xml:space="preserve">. It is commonly framed around large-scale attack traffic and is suitable for supervised IDS tasks, attack classification, and robustness benchmarking. By contrast, CIC IoT-DIAD 2024 is explicitly framed as a </w:t>
      </w:r>
      <w:r w:rsidRPr="00A30997">
        <w:rPr>
          <w:b/>
          <w:bCs/>
        </w:rPr>
        <w:t>dual-function resource for device identification and anomaly detection</w:t>
      </w:r>
      <w:r>
        <w:t>. As a result, the newer dataset changes the research emphasis rather than merely adding more samples.</w:t>
      </w:r>
    </w:p>
    <w:p w14:paraId="11B40522" w14:textId="77777777" w:rsidR="005A257D" w:rsidRDefault="00000000">
      <w:pPr>
        <w:pStyle w:val="Heading2"/>
      </w:pPr>
      <w:r>
        <w:t>3.3 Difference in practical task fit</w:t>
      </w:r>
    </w:p>
    <w:p w14:paraId="4235A55F" w14:textId="77777777" w:rsidR="005A257D" w:rsidRDefault="00000000">
      <w:pPr>
        <w:spacing w:after="120" w:line="283" w:lineRule="auto"/>
      </w:pPr>
      <w:r>
        <w:t xml:space="preserve">If a study is centered on </w:t>
      </w:r>
      <w:r w:rsidRPr="008A0B01">
        <w:rPr>
          <w:b/>
          <w:bCs/>
        </w:rPr>
        <w:t>federated intrusion detection, attack classification, poisoning robustness, and non-IID client behavior</w:t>
      </w:r>
      <w:r>
        <w:t xml:space="preserve">, CICIoT2023 remains the safer starting point because its problem framing more directly matches those tasks. If the study instead needs </w:t>
      </w:r>
      <w:r w:rsidRPr="008A0B01">
        <w:rPr>
          <w:b/>
          <w:bCs/>
        </w:rPr>
        <w:t>device-aware learning, anomaly detection, or joint identity-and-anomaly objectives</w:t>
      </w:r>
      <w:r>
        <w:t>, IoT-DIAD 2024 may be a stronger fit.</w:t>
      </w:r>
    </w:p>
    <w:p w14:paraId="1F15F3F2" w14:textId="77777777" w:rsidR="005A257D" w:rsidRDefault="00000000">
      <w:pPr>
        <w:pStyle w:val="Heading2"/>
      </w:pPr>
      <w:r>
        <w:t>3.4 Difference in preprocessing transparency</w:t>
      </w:r>
    </w:p>
    <w:p w14:paraId="283C5ADD" w14:textId="77777777" w:rsidR="005A257D" w:rsidRDefault="00000000">
      <w:pPr>
        <w:spacing w:after="120" w:line="283" w:lineRule="auto"/>
      </w:pPr>
      <w:r>
        <w:t>CICIoT2023 has a clearly documented large-scale preprocessing pipeline in the published literature. The original paper describes capture at substantial scale, chunk-based splitting of traffic files, feature extraction from packet data, processing into CSV, and downstream preparation for machine learning. This gives the researcher a clearer trail to reconstruct how the released processed data was built. For DIAD 2024, the official dataset page provides the high-level positioning and scope, but the same degree of immediately visible preprocessing detail is not as evident from the official description alone.</w:t>
      </w:r>
    </w:p>
    <w:p w14:paraId="2E76A2DC" w14:textId="77777777" w:rsidR="005A257D" w:rsidRDefault="00000000">
      <w:pPr>
        <w:pStyle w:val="Heading2"/>
      </w:pPr>
      <w:r>
        <w:t>3.5 Bottom-line interpretation</w:t>
      </w:r>
    </w:p>
    <w:p w14:paraId="18528BD8" w14:textId="77777777" w:rsidR="005A257D" w:rsidRDefault="00000000">
      <w:pPr>
        <w:spacing w:after="120" w:line="283" w:lineRule="auto"/>
      </w:pPr>
      <w:r>
        <w:t>The difference between these two datasets is not merely chronological. The newer dataset is best understood as a task-shifted official benchmark from the same family rather than as a simple direct replacement of the older one.</w:t>
      </w:r>
    </w:p>
    <w:p w14:paraId="31CBA09B" w14:textId="77777777" w:rsidR="005A257D" w:rsidRDefault="00000000">
      <w:pPr>
        <w:pStyle w:val="Heading1"/>
      </w:pPr>
      <w:r>
        <w:lastRenderedPageBreak/>
        <w:t>4. TON_IoT versus NF-ToN-IoT-v3</w:t>
      </w:r>
    </w:p>
    <w:p w14:paraId="6BDD2A8E" w14:textId="77777777" w:rsidR="005A257D" w:rsidRDefault="00000000">
      <w:pPr>
        <w:pStyle w:val="Heading2"/>
      </w:pPr>
      <w:r>
        <w:t>4.1 Nature of the older dataset</w:t>
      </w:r>
    </w:p>
    <w:p w14:paraId="1EB67808" w14:textId="77777777" w:rsidR="005A257D" w:rsidRDefault="00000000">
      <w:pPr>
        <w:spacing w:after="120" w:line="283" w:lineRule="auto"/>
      </w:pPr>
      <w:r>
        <w:t>The original TON_IoT family was designed as a broad next-generation IoT and IIoT security dataset. It is not limited to one uniform tabular network view; instead, it includes multiple information sources such as telemetry, logs, and network-related data. This makes the original dataset family richer in modality and potentially more expressive for broader cyber research.</w:t>
      </w:r>
    </w:p>
    <w:p w14:paraId="59279AB4" w14:textId="77777777" w:rsidR="005A257D" w:rsidRDefault="00000000">
      <w:pPr>
        <w:pStyle w:val="Heading2"/>
      </w:pPr>
      <w:r>
        <w:t>4.2 Nature of the newer dataset</w:t>
      </w:r>
    </w:p>
    <w:p w14:paraId="5F66D663" w14:textId="77777777" w:rsidR="005A257D" w:rsidRDefault="00000000">
      <w:pPr>
        <w:spacing w:after="120" w:line="283" w:lineRule="auto"/>
      </w:pPr>
      <w:r>
        <w:t>NF-ToN-IoT-v3 is not simply the same dataset with a new year tag. It is a newer standardized NetFlow-based derivative that expresses the traffic in a consistent flow-feature representation. The UQ-hosted NF dataset line describes V2 as using 43 enhanced NetFlow features and V3 as extending this to 53 features by adding ten temporal NetFlow features.</w:t>
      </w:r>
    </w:p>
    <w:p w14:paraId="073B7C7E" w14:textId="77777777" w:rsidR="005A257D" w:rsidRDefault="00000000">
      <w:pPr>
        <w:pStyle w:val="Heading2"/>
      </w:pPr>
      <w:r>
        <w:t>4.3 Representation difference</w:t>
      </w:r>
    </w:p>
    <w:p w14:paraId="1023B02A" w14:textId="77777777" w:rsidR="005A257D" w:rsidRDefault="00000000">
      <w:pPr>
        <w:spacing w:after="120" w:line="283" w:lineRule="auto"/>
      </w:pPr>
      <w:r>
        <w:t>The old dataset gives a more original and multi-source view of the environment. The newer NF version gives a cleaner, more controlled, and more comparable tabular representation for network intrusion detection. This is a major design change: researchers trade raw ecosystem richness for consistency of representation.</w:t>
      </w:r>
    </w:p>
    <w:p w14:paraId="4429EC30" w14:textId="77777777" w:rsidR="005A257D" w:rsidRDefault="00000000">
      <w:pPr>
        <w:pStyle w:val="Heading2"/>
      </w:pPr>
      <w:r>
        <w:t>4.4 Why the newer derivative exists</w:t>
      </w:r>
    </w:p>
    <w:p w14:paraId="1756B85E" w14:textId="77777777" w:rsidR="005A257D" w:rsidRDefault="00000000">
      <w:pPr>
        <w:spacing w:after="120" w:line="283" w:lineRule="auto"/>
      </w:pPr>
      <w:r>
        <w:t>The motivation behind the NF dataset line is standardization. In traditional IDS benchmarking, different datasets often use different file structures and feature sets, which makes fair comparison difficult. A NetFlow-based reformulation reduces this mismatch and can support more consistent benchmarking across families.</w:t>
      </w:r>
    </w:p>
    <w:p w14:paraId="74EBBA33" w14:textId="77777777" w:rsidR="005A257D" w:rsidRDefault="00000000">
      <w:pPr>
        <w:pStyle w:val="Heading2"/>
      </w:pPr>
      <w:r>
        <w:t>4.5 Practical trade-off</w:t>
      </w:r>
    </w:p>
    <w:p w14:paraId="12531E62" w14:textId="77777777" w:rsidR="005A257D" w:rsidRDefault="00000000">
      <w:pPr>
        <w:spacing w:after="120" w:line="283" w:lineRule="auto"/>
      </w:pPr>
      <w:r>
        <w:t>NF-ToN-IoT-v3 is usually more convenient if the experiment needs tabular learning, feature alignment, and cross-dataset comparison. The original TON_IoT remains valuable when the broader multi-source identity of the benchmark matters to the study.</w:t>
      </w:r>
    </w:p>
    <w:p w14:paraId="19C13FA4" w14:textId="77777777" w:rsidR="005A257D" w:rsidRDefault="00000000">
      <w:pPr>
        <w:pStyle w:val="Heading1"/>
      </w:pPr>
      <w:r>
        <w:t>5. BoT-IoT versus NF-BoT-IoT-v3</w:t>
      </w:r>
    </w:p>
    <w:p w14:paraId="25B3263C" w14:textId="77777777" w:rsidR="005A257D" w:rsidRDefault="00000000">
      <w:pPr>
        <w:pStyle w:val="Heading2"/>
      </w:pPr>
      <w:r>
        <w:t>5.1 Nature of the older dataset</w:t>
      </w:r>
    </w:p>
    <w:p w14:paraId="64CE935A" w14:textId="77777777" w:rsidR="005A257D" w:rsidRDefault="00000000">
      <w:pPr>
        <w:spacing w:after="120" w:line="283" w:lineRule="auto"/>
      </w:pPr>
      <w:r>
        <w:t>The original BoT-IoT benchmark was created in a realistic UNSW cyber-range setting and includes botnet and normal traffic in multiple forms, such as pcap, argus, and csv. That older structure preserves more of the benchmark's source identity and is often the form referenced in earlier literature.</w:t>
      </w:r>
    </w:p>
    <w:p w14:paraId="63F7CF71" w14:textId="77777777" w:rsidR="005A257D" w:rsidRDefault="00000000">
      <w:pPr>
        <w:pStyle w:val="Heading2"/>
      </w:pPr>
      <w:r>
        <w:t>5.2 Nature of the newer dataset</w:t>
      </w:r>
    </w:p>
    <w:p w14:paraId="34DE0389" w14:textId="77777777" w:rsidR="005A257D" w:rsidRDefault="00000000">
      <w:pPr>
        <w:spacing w:after="120" w:line="283" w:lineRule="auto"/>
      </w:pPr>
      <w:r>
        <w:t>NF-BoT-IoT-v3 belongs to the same standardized NF family discussed above. Its purpose is not to supersede BoT-IoT as an official family replacement, but to provide a standardized flow-based derivative using the same expanded NetFlow representation and temporal features used in the newer v3 line.</w:t>
      </w:r>
    </w:p>
    <w:p w14:paraId="443A5E4F" w14:textId="77777777" w:rsidR="005A257D" w:rsidRDefault="00000000">
      <w:pPr>
        <w:pStyle w:val="Heading2"/>
      </w:pPr>
      <w:r>
        <w:lastRenderedPageBreak/>
        <w:t>5.3 Main difference</w:t>
      </w:r>
    </w:p>
    <w:p w14:paraId="0E40D7BE" w14:textId="77777777" w:rsidR="005A257D" w:rsidRDefault="00000000">
      <w:pPr>
        <w:spacing w:after="120" w:line="283" w:lineRule="auto"/>
      </w:pPr>
      <w:r>
        <w:t>The core difference is not the attack domain; both are still rooted in the BoT-IoT benchmark lineage. The difference is how the data is represented and prepared for NIDS experimentation. The newer derivative prioritizes comparability and standardized feature engineering, while the older dataset preserves the benchmark's original mixed-form identity.</w:t>
      </w:r>
    </w:p>
    <w:p w14:paraId="68A13BBC" w14:textId="77777777" w:rsidR="005A257D" w:rsidRDefault="00000000">
      <w:pPr>
        <w:pStyle w:val="Heading2"/>
      </w:pPr>
      <w:r>
        <w:t>5.4 Practical implication</w:t>
      </w:r>
    </w:p>
    <w:p w14:paraId="0C7D7F7B" w14:textId="77777777" w:rsidR="005A257D" w:rsidRDefault="00000000">
      <w:pPr>
        <w:spacing w:after="120" w:line="283" w:lineRule="auto"/>
      </w:pPr>
      <w:r>
        <w:t>Researchers who need consistency across multiple benchmark families may prefer NF-BoT-IoT-v3. Researchers who want continuity with earlier BoT-IoT papers or who need the original source forms may stay with the original dataset.</w:t>
      </w:r>
    </w:p>
    <w:p w14:paraId="45903F8A" w14:textId="77777777" w:rsidR="005A257D" w:rsidRDefault="00000000">
      <w:pPr>
        <w:pStyle w:val="Heading1"/>
      </w:pPr>
      <w:r>
        <w:t>6. Edge-IIoTset as a currently used benchmark</w:t>
      </w:r>
    </w:p>
    <w:p w14:paraId="49E27144" w14:textId="77777777" w:rsidR="005A257D" w:rsidRDefault="00000000">
      <w:pPr>
        <w:pStyle w:val="Heading2"/>
      </w:pPr>
      <w:r>
        <w:t>6.1 Why it is different from the other comparisons</w:t>
      </w:r>
    </w:p>
    <w:p w14:paraId="0F201945" w14:textId="77777777" w:rsidR="005A257D" w:rsidRDefault="00000000">
      <w:pPr>
        <w:spacing w:after="120" w:line="283" w:lineRule="auto"/>
      </w:pPr>
      <w:r>
        <w:t>Edge-IIoTset does not currently fit the same old-versus-new narrative. The dataset was introduced in 2022 and remains actively relevant, especially because it was explicitly positioned for both centralized and federated learning scenarios.</w:t>
      </w:r>
    </w:p>
    <w:p w14:paraId="5D761E31" w14:textId="77777777" w:rsidR="005A257D" w:rsidRDefault="00000000">
      <w:pPr>
        <w:pStyle w:val="Heading2"/>
      </w:pPr>
      <w:r>
        <w:t>6.2 Practical meaning</w:t>
      </w:r>
    </w:p>
    <w:p w14:paraId="17712B80" w14:textId="77777777" w:rsidR="005A257D" w:rsidRDefault="00000000">
      <w:pPr>
        <w:spacing w:after="120" w:line="283" w:lineRule="auto"/>
      </w:pPr>
      <w:r>
        <w:t>For this family, the absence of an obvious official successor means the comparison is not about replacement but about continued suitability. Edge-IIoTset remains useful when the goal is realistic IoT and IIoT security evaluation in a setup already discussed in federated learning contexts.</w:t>
      </w:r>
    </w:p>
    <w:p w14:paraId="6B9E7DFA" w14:textId="77777777" w:rsidR="005A257D" w:rsidRDefault="00000000">
      <w:pPr>
        <w:pStyle w:val="Heading1"/>
      </w:pPr>
      <w:r>
        <w:t>7. Cross-Cutting Technical Differences</w:t>
      </w:r>
    </w:p>
    <w:p w14:paraId="3A53CDAA" w14:textId="77777777" w:rsidR="005A257D" w:rsidRDefault="00000000">
      <w:pPr>
        <w:pStyle w:val="Heading2"/>
      </w:pPr>
      <w:r>
        <w:t>7.1 Difference in relationship type</w:t>
      </w:r>
    </w:p>
    <w:p w14:paraId="3C05D789" w14:textId="77777777" w:rsidR="005A257D" w:rsidRDefault="00000000">
      <w:pPr>
        <w:spacing w:after="120" w:line="283" w:lineRule="auto"/>
      </w:pPr>
      <w:r>
        <w:t>CICIoT2023 to DIAD 2024 is an official-benchmark evolution. TON_IoT to NF-ToN-IoT-v3 and BoT-IoT to NF-BoT-IoT-v3 are standardized derivative evolutions. Edge-IIoTset currently has no similarly established successor.</w:t>
      </w:r>
    </w:p>
    <w:p w14:paraId="472A885F" w14:textId="77777777" w:rsidR="005A257D" w:rsidRDefault="00000000">
      <w:pPr>
        <w:pStyle w:val="Heading2"/>
      </w:pPr>
      <w:r>
        <w:t>7.2 Difference in task orientation</w:t>
      </w:r>
    </w:p>
    <w:p w14:paraId="45BE8A0A" w14:textId="77777777" w:rsidR="005A257D" w:rsidRDefault="00000000">
      <w:pPr>
        <w:spacing w:after="120" w:line="283" w:lineRule="auto"/>
      </w:pPr>
      <w:r>
        <w:t>Some newer datasets change the task definition rather than simply refreshing the benchmark. This is especially important in the CIC family, where the newer resource emphasizes device identification and anomaly detection. By contrast, NF derivatives usually keep the NIDS focus but change the representation pipeline.</w:t>
      </w:r>
    </w:p>
    <w:p w14:paraId="39C28031" w14:textId="77777777" w:rsidR="005A257D" w:rsidRDefault="00000000">
      <w:pPr>
        <w:pStyle w:val="Heading2"/>
      </w:pPr>
      <w:r>
        <w:t>7.3 Difference in data representation</w:t>
      </w:r>
    </w:p>
    <w:p w14:paraId="75BCBA7A" w14:textId="77777777" w:rsidR="005A257D" w:rsidRDefault="00000000">
      <w:pPr>
        <w:spacing w:after="120" w:line="283" w:lineRule="auto"/>
      </w:pPr>
      <w:r>
        <w:t>Older benchmark families often preserve richer source forms, including packet captures, logs, telemetry, argus traces, or mixed-source files. Newer NF derivatives collapse this variety into standardized tabular flow features, which improves comparability but can reduce modality richness.</w:t>
      </w:r>
    </w:p>
    <w:p w14:paraId="644AE2FD" w14:textId="77777777" w:rsidR="005A257D" w:rsidRDefault="00000000">
      <w:pPr>
        <w:pStyle w:val="Heading2"/>
      </w:pPr>
      <w:r>
        <w:lastRenderedPageBreak/>
        <w:t>7.4 Difference in feature engineering philosophy</w:t>
      </w:r>
    </w:p>
    <w:p w14:paraId="27F2E9BD" w14:textId="77777777" w:rsidR="005A257D" w:rsidRDefault="00000000">
      <w:pPr>
        <w:spacing w:after="120" w:line="283" w:lineRule="auto"/>
      </w:pPr>
      <w:r>
        <w:t>In older datasets, feature design is tied more closely to the original benchmark release and may vary significantly between families. In the newer NF line, feature design is intentionally standardized, and the V3 generation adds temporal NetFlow features to enhance temporal analysis in intrusion detection.</w:t>
      </w:r>
    </w:p>
    <w:p w14:paraId="2CFDCBBB" w14:textId="77777777" w:rsidR="005A257D" w:rsidRDefault="00000000">
      <w:pPr>
        <w:pStyle w:val="Heading2"/>
      </w:pPr>
      <w:r>
        <w:t>7.5 Difference in reproducibility and comparability</w:t>
      </w:r>
    </w:p>
    <w:p w14:paraId="1F7D9722" w14:textId="77777777" w:rsidR="005A257D" w:rsidRDefault="00000000">
      <w:pPr>
        <w:spacing w:after="120" w:line="283" w:lineRule="auto"/>
      </w:pPr>
      <w:r>
        <w:t>A researcher comparing models across families often benefits from the NF-style derivatives because feature alignment is easier. However, when the goal is to remain faithful to a benchmark's original literature lineage, the original dataset may be preferable.</w:t>
      </w:r>
    </w:p>
    <w:p w14:paraId="301BB0CB" w14:textId="77777777" w:rsidR="005A257D" w:rsidRDefault="00000000">
      <w:pPr>
        <w:pStyle w:val="Heading1"/>
      </w:pPr>
      <w:r>
        <w:t>8. Implications for a Federated Intrusion Detection Paper</w:t>
      </w:r>
    </w:p>
    <w:p w14:paraId="315A337D" w14:textId="77777777" w:rsidR="005A257D" w:rsidRDefault="00000000">
      <w:pPr>
        <w:pStyle w:val="Heading2"/>
      </w:pPr>
      <w:r>
        <w:t>8.1 If the paper is attack-centric</w:t>
      </w:r>
    </w:p>
    <w:p w14:paraId="6C7610C8" w14:textId="77777777" w:rsidR="005A257D" w:rsidRDefault="00000000">
      <w:pPr>
        <w:spacing w:after="120" w:line="283" w:lineRule="auto"/>
      </w:pPr>
      <w:r>
        <w:t>For a first FL-IDS paper centered on attack classification, poisoning robustness, and heterogeneity-aware defenses, CICIoT2023 is typically the safer primary benchmark because its task framing directly matches the research objective.</w:t>
      </w:r>
    </w:p>
    <w:p w14:paraId="086EC8B6" w14:textId="77777777" w:rsidR="005A257D" w:rsidRDefault="00000000">
      <w:pPr>
        <w:pStyle w:val="Heading2"/>
      </w:pPr>
      <w:r>
        <w:t>8.2 If the paper is anomaly-centric or device-aware</w:t>
      </w:r>
    </w:p>
    <w:p w14:paraId="1D16B1EE" w14:textId="77777777" w:rsidR="005A257D" w:rsidRDefault="00000000">
      <w:pPr>
        <w:spacing w:after="120" w:line="283" w:lineRule="auto"/>
      </w:pPr>
      <w:r>
        <w:t>If the paper evolves toward anomaly detection or device identification, IoT-DIAD 2024 becomes more attractive because its official framing aligns with those tasks.</w:t>
      </w:r>
    </w:p>
    <w:p w14:paraId="0AB4B9B3" w14:textId="77777777" w:rsidR="005A257D" w:rsidRDefault="00000000">
      <w:pPr>
        <w:pStyle w:val="Heading2"/>
      </w:pPr>
      <w:r>
        <w:t>8.3 If cross-dataset feature alignment is critical</w:t>
      </w:r>
    </w:p>
    <w:p w14:paraId="5244D162" w14:textId="77777777" w:rsidR="005A257D" w:rsidRDefault="00000000">
      <w:pPr>
        <w:spacing w:after="120" w:line="283" w:lineRule="auto"/>
      </w:pPr>
      <w:r>
        <w:t>If the experiment requires a highly standardized feature space across multiple benchmark families, the NF-v3 derivatives offer a cleaner path because they were created precisely to support consistent NetFlow-based comparison.</w:t>
      </w:r>
    </w:p>
    <w:p w14:paraId="35216FC6" w14:textId="77777777" w:rsidR="005A257D" w:rsidRDefault="00000000">
      <w:pPr>
        <w:pStyle w:val="Heading2"/>
      </w:pPr>
      <w:r>
        <w:t>8.4 If this is a first paper</w:t>
      </w:r>
    </w:p>
    <w:p w14:paraId="5EC9CA3B" w14:textId="77777777" w:rsidR="005A257D" w:rsidRDefault="00000000">
      <w:pPr>
        <w:spacing w:after="120" w:line="283" w:lineRule="auto"/>
      </w:pPr>
      <w:r>
        <w:t>For a first publication attempt, the best dataset is often not the newest one, but the one that produces the clearest task fit, simplest experimental design, and most defensible comparison story.</w:t>
      </w:r>
    </w:p>
    <w:p w14:paraId="7E602853" w14:textId="77777777" w:rsidR="005A257D" w:rsidRDefault="00000000">
      <w:pPr>
        <w:pStyle w:val="Heading1"/>
      </w:pPr>
      <w:r>
        <w:t>9. Conclusion</w:t>
      </w:r>
    </w:p>
    <w:p w14:paraId="49F7F1C3" w14:textId="77777777" w:rsidR="005A257D" w:rsidRDefault="00000000">
      <w:pPr>
        <w:pStyle w:val="Heading2"/>
      </w:pPr>
      <w:r>
        <w:t>9.1 Final synthesis</w:t>
      </w:r>
    </w:p>
    <w:p w14:paraId="48029830" w14:textId="77777777" w:rsidR="005A257D" w:rsidRDefault="00000000">
      <w:pPr>
        <w:spacing w:after="120" w:line="283" w:lineRule="auto"/>
      </w:pPr>
      <w:r>
        <w:t>The comparison shows that older and newer IoT security datasets differ along several axes: benchmark lineage, task definition, representation format, preprocessing philosophy, and experimental convenience. A newer dataset should not automatically replace an older one unless the new resource serves the same task and preserves or improves the properties needed by the study.</w:t>
      </w:r>
    </w:p>
    <w:p w14:paraId="269534D1" w14:textId="77777777" w:rsidR="005A257D" w:rsidRDefault="00000000">
      <w:pPr>
        <w:pStyle w:val="Heading2"/>
      </w:pPr>
      <w:r>
        <w:t>9.2 Practical recommendation</w:t>
      </w:r>
    </w:p>
    <w:p w14:paraId="4518056D" w14:textId="77777777" w:rsidR="005A257D" w:rsidRDefault="00000000">
      <w:pPr>
        <w:spacing w:after="120" w:line="283" w:lineRule="auto"/>
      </w:pPr>
      <w:r>
        <w:t xml:space="preserve">For federated intrusion detection research, dataset choice should be made according to problem fit rather than recency alone. CICIoT2023 remains highly useful for attack-centric FL-IDS work. IoT-DIAD 2024 is a meaningful newer official benchmark but serves a somewhat different task emphasis. NF-ToN-IoT-v3 and NF-BoT-IoT-v3 are best understood as standardized, NetFlow-based derivatives that improve comparability </w:t>
      </w:r>
      <w:r>
        <w:lastRenderedPageBreak/>
        <w:t>and temporal-flow feature coverage. Edge-IIoTset remains a still-current benchmark rather than an outdated one.</w:t>
      </w:r>
    </w:p>
    <w:p w14:paraId="4594F5B9" w14:textId="77777777" w:rsidR="005A257D" w:rsidRDefault="00000000">
      <w:pPr>
        <w:pStyle w:val="Heading1"/>
      </w:pPr>
      <w:r>
        <w:t>10. Decision Guide for Dataset Selection</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3264"/>
        <w:gridCol w:w="3312"/>
        <w:gridCol w:w="3264"/>
      </w:tblGrid>
      <w:tr w:rsidR="005A257D" w14:paraId="744E6C5E" w14:textId="77777777" w:rsidTr="008A0B01">
        <w:trPr>
          <w:jc w:val="center"/>
        </w:trPr>
        <w:tc>
          <w:tcPr>
            <w:tcW w:w="2880" w:type="dxa"/>
            <w:shd w:val="clear" w:color="auto" w:fill="DCE6F1"/>
            <w:tcMar>
              <w:top w:w="90" w:type="dxa"/>
              <w:left w:w="95" w:type="dxa"/>
              <w:bottom w:w="90" w:type="dxa"/>
              <w:right w:w="95" w:type="dxa"/>
            </w:tcMar>
          </w:tcPr>
          <w:p w14:paraId="7EA38CD9" w14:textId="77777777" w:rsidR="005A257D" w:rsidRDefault="00000000">
            <w:pPr>
              <w:jc w:val="center"/>
            </w:pPr>
            <w:r>
              <w:rPr>
                <w:b/>
                <w:sz w:val="19"/>
              </w:rPr>
              <w:t>Research Need</w:t>
            </w:r>
          </w:p>
        </w:tc>
        <w:tc>
          <w:tcPr>
            <w:tcW w:w="3312" w:type="dxa"/>
            <w:shd w:val="clear" w:color="auto" w:fill="DCE6F1"/>
            <w:tcMar>
              <w:top w:w="90" w:type="dxa"/>
              <w:left w:w="95" w:type="dxa"/>
              <w:bottom w:w="90" w:type="dxa"/>
              <w:right w:w="95" w:type="dxa"/>
            </w:tcMar>
          </w:tcPr>
          <w:p w14:paraId="635F6E72" w14:textId="77777777" w:rsidR="005A257D" w:rsidRDefault="00000000">
            <w:pPr>
              <w:jc w:val="center"/>
            </w:pPr>
            <w:r>
              <w:rPr>
                <w:b/>
                <w:sz w:val="19"/>
              </w:rPr>
              <w:t>Preferred Dataset Direction</w:t>
            </w:r>
          </w:p>
        </w:tc>
        <w:tc>
          <w:tcPr>
            <w:tcW w:w="3168" w:type="dxa"/>
            <w:shd w:val="clear" w:color="auto" w:fill="DCE6F1"/>
            <w:tcMar>
              <w:top w:w="90" w:type="dxa"/>
              <w:left w:w="95" w:type="dxa"/>
              <w:bottom w:w="90" w:type="dxa"/>
              <w:right w:w="95" w:type="dxa"/>
            </w:tcMar>
          </w:tcPr>
          <w:p w14:paraId="5F1CF0CA" w14:textId="77777777" w:rsidR="005A257D" w:rsidRDefault="00000000">
            <w:pPr>
              <w:jc w:val="center"/>
            </w:pPr>
            <w:r>
              <w:rPr>
                <w:b/>
                <w:sz w:val="19"/>
              </w:rPr>
              <w:t>Reason</w:t>
            </w:r>
          </w:p>
        </w:tc>
      </w:tr>
      <w:tr w:rsidR="005A257D" w14:paraId="72737788" w14:textId="77777777" w:rsidTr="008A0B01">
        <w:trPr>
          <w:jc w:val="center"/>
        </w:trPr>
        <w:tc>
          <w:tcPr>
            <w:tcW w:w="3264" w:type="dxa"/>
            <w:tcMar>
              <w:top w:w="80" w:type="dxa"/>
              <w:left w:w="90" w:type="dxa"/>
              <w:bottom w:w="80" w:type="dxa"/>
              <w:right w:w="90" w:type="dxa"/>
            </w:tcMar>
          </w:tcPr>
          <w:p w14:paraId="7FA03D11" w14:textId="77777777" w:rsidR="005A257D" w:rsidRDefault="00000000">
            <w:pPr>
              <w:spacing w:after="0" w:line="264" w:lineRule="auto"/>
            </w:pPr>
            <w:r>
              <w:rPr>
                <w:sz w:val="18"/>
              </w:rPr>
              <w:t>Attack-centric FL-IDS classification</w:t>
            </w:r>
          </w:p>
        </w:tc>
        <w:tc>
          <w:tcPr>
            <w:tcW w:w="3264" w:type="dxa"/>
            <w:tcMar>
              <w:top w:w="80" w:type="dxa"/>
              <w:left w:w="90" w:type="dxa"/>
              <w:bottom w:w="80" w:type="dxa"/>
              <w:right w:w="90" w:type="dxa"/>
            </w:tcMar>
          </w:tcPr>
          <w:p w14:paraId="4153BD2C" w14:textId="77777777" w:rsidR="005A257D" w:rsidRDefault="00000000">
            <w:pPr>
              <w:spacing w:after="0" w:line="264" w:lineRule="auto"/>
            </w:pPr>
            <w:r>
              <w:rPr>
                <w:sz w:val="18"/>
              </w:rPr>
              <w:t>CICIoT2023</w:t>
            </w:r>
          </w:p>
        </w:tc>
        <w:tc>
          <w:tcPr>
            <w:tcW w:w="3264" w:type="dxa"/>
            <w:tcMar>
              <w:top w:w="80" w:type="dxa"/>
              <w:left w:w="90" w:type="dxa"/>
              <w:bottom w:w="80" w:type="dxa"/>
              <w:right w:w="90" w:type="dxa"/>
            </w:tcMar>
          </w:tcPr>
          <w:p w14:paraId="448D0E89" w14:textId="77777777" w:rsidR="005A257D" w:rsidRDefault="00000000">
            <w:pPr>
              <w:spacing w:after="0" w:line="264" w:lineRule="auto"/>
            </w:pPr>
            <w:r>
              <w:rPr>
                <w:sz w:val="18"/>
              </w:rPr>
              <w:t>Directly aligned with attack-benchmarking and easier to justify in a poisoning-defense study</w:t>
            </w:r>
          </w:p>
        </w:tc>
      </w:tr>
      <w:tr w:rsidR="005A257D" w14:paraId="4EDE4B94" w14:textId="77777777" w:rsidTr="008A0B01">
        <w:trPr>
          <w:jc w:val="center"/>
        </w:trPr>
        <w:tc>
          <w:tcPr>
            <w:tcW w:w="3264" w:type="dxa"/>
            <w:tcMar>
              <w:top w:w="80" w:type="dxa"/>
              <w:left w:w="90" w:type="dxa"/>
              <w:bottom w:w="80" w:type="dxa"/>
              <w:right w:w="90" w:type="dxa"/>
            </w:tcMar>
          </w:tcPr>
          <w:p w14:paraId="52BD8D79" w14:textId="77777777" w:rsidR="005A257D" w:rsidRDefault="00000000">
            <w:pPr>
              <w:spacing w:after="0" w:line="264" w:lineRule="auto"/>
            </w:pPr>
            <w:r>
              <w:rPr>
                <w:sz w:val="18"/>
              </w:rPr>
              <w:t>Device-aware or anomaly-driven task</w:t>
            </w:r>
          </w:p>
        </w:tc>
        <w:tc>
          <w:tcPr>
            <w:tcW w:w="3264" w:type="dxa"/>
            <w:tcMar>
              <w:top w:w="80" w:type="dxa"/>
              <w:left w:w="90" w:type="dxa"/>
              <w:bottom w:w="80" w:type="dxa"/>
              <w:right w:w="90" w:type="dxa"/>
            </w:tcMar>
          </w:tcPr>
          <w:p w14:paraId="4CE9388B" w14:textId="77777777" w:rsidR="005A257D" w:rsidRDefault="00000000">
            <w:pPr>
              <w:spacing w:after="0" w:line="264" w:lineRule="auto"/>
            </w:pPr>
            <w:r>
              <w:rPr>
                <w:sz w:val="18"/>
              </w:rPr>
              <w:t>CIC IoT-DIAD 2024</w:t>
            </w:r>
          </w:p>
        </w:tc>
        <w:tc>
          <w:tcPr>
            <w:tcW w:w="3264" w:type="dxa"/>
            <w:tcMar>
              <w:top w:w="80" w:type="dxa"/>
              <w:left w:w="90" w:type="dxa"/>
              <w:bottom w:w="80" w:type="dxa"/>
              <w:right w:w="90" w:type="dxa"/>
            </w:tcMar>
          </w:tcPr>
          <w:p w14:paraId="2A2B0151" w14:textId="77777777" w:rsidR="005A257D" w:rsidRDefault="00000000">
            <w:pPr>
              <w:spacing w:after="0" w:line="264" w:lineRule="auto"/>
            </w:pPr>
            <w:r>
              <w:rPr>
                <w:sz w:val="18"/>
              </w:rPr>
              <w:t>Official newer CIC benchmark with stronger device-ID and anomaly orientation</w:t>
            </w:r>
          </w:p>
        </w:tc>
      </w:tr>
      <w:tr w:rsidR="005A257D" w14:paraId="318877E4" w14:textId="77777777" w:rsidTr="008A0B01">
        <w:trPr>
          <w:jc w:val="center"/>
        </w:trPr>
        <w:tc>
          <w:tcPr>
            <w:tcW w:w="3264" w:type="dxa"/>
            <w:tcMar>
              <w:top w:w="80" w:type="dxa"/>
              <w:left w:w="90" w:type="dxa"/>
              <w:bottom w:w="80" w:type="dxa"/>
              <w:right w:w="90" w:type="dxa"/>
            </w:tcMar>
          </w:tcPr>
          <w:p w14:paraId="41064DB9" w14:textId="77777777" w:rsidR="005A257D" w:rsidRDefault="00000000">
            <w:pPr>
              <w:spacing w:after="0" w:line="264" w:lineRule="auto"/>
            </w:pPr>
            <w:r>
              <w:rPr>
                <w:sz w:val="18"/>
              </w:rPr>
              <w:t>Cross-family standardized tabular experiments</w:t>
            </w:r>
          </w:p>
        </w:tc>
        <w:tc>
          <w:tcPr>
            <w:tcW w:w="3264" w:type="dxa"/>
            <w:tcMar>
              <w:top w:w="80" w:type="dxa"/>
              <w:left w:w="90" w:type="dxa"/>
              <w:bottom w:w="80" w:type="dxa"/>
              <w:right w:w="90" w:type="dxa"/>
            </w:tcMar>
          </w:tcPr>
          <w:p w14:paraId="29E08DB2" w14:textId="77777777" w:rsidR="005A257D" w:rsidRDefault="00000000">
            <w:pPr>
              <w:spacing w:after="0" w:line="264" w:lineRule="auto"/>
            </w:pPr>
            <w:r>
              <w:rPr>
                <w:sz w:val="18"/>
              </w:rPr>
              <w:t>NF-ToN-IoT-v3 / NF-BoT-IoT-v3</w:t>
            </w:r>
          </w:p>
        </w:tc>
        <w:tc>
          <w:tcPr>
            <w:tcW w:w="3264" w:type="dxa"/>
            <w:tcMar>
              <w:top w:w="80" w:type="dxa"/>
              <w:left w:w="90" w:type="dxa"/>
              <w:bottom w:w="80" w:type="dxa"/>
              <w:right w:w="90" w:type="dxa"/>
            </w:tcMar>
          </w:tcPr>
          <w:p w14:paraId="26A8B730" w14:textId="77777777" w:rsidR="005A257D" w:rsidRDefault="00000000">
            <w:pPr>
              <w:spacing w:after="0" w:line="264" w:lineRule="auto"/>
            </w:pPr>
            <w:r>
              <w:rPr>
                <w:sz w:val="18"/>
              </w:rPr>
              <w:t>Uniform NetFlow-style representation and temporal feature additions</w:t>
            </w:r>
          </w:p>
        </w:tc>
      </w:tr>
      <w:tr w:rsidR="005A257D" w14:paraId="1A8EF8D1" w14:textId="77777777" w:rsidTr="008A0B01">
        <w:trPr>
          <w:jc w:val="center"/>
        </w:trPr>
        <w:tc>
          <w:tcPr>
            <w:tcW w:w="3264" w:type="dxa"/>
            <w:tcMar>
              <w:top w:w="80" w:type="dxa"/>
              <w:left w:w="90" w:type="dxa"/>
              <w:bottom w:w="80" w:type="dxa"/>
              <w:right w:w="90" w:type="dxa"/>
            </w:tcMar>
          </w:tcPr>
          <w:p w14:paraId="5B6C3C4B" w14:textId="77777777" w:rsidR="005A257D" w:rsidRDefault="00000000">
            <w:pPr>
              <w:spacing w:after="0" w:line="264" w:lineRule="auto"/>
            </w:pPr>
            <w:r>
              <w:rPr>
                <w:sz w:val="18"/>
              </w:rPr>
              <w:t>Federated-learning relevance with no obvious successor issue</w:t>
            </w:r>
          </w:p>
        </w:tc>
        <w:tc>
          <w:tcPr>
            <w:tcW w:w="3264" w:type="dxa"/>
            <w:tcMar>
              <w:top w:w="80" w:type="dxa"/>
              <w:left w:w="90" w:type="dxa"/>
              <w:bottom w:w="80" w:type="dxa"/>
              <w:right w:w="90" w:type="dxa"/>
            </w:tcMar>
          </w:tcPr>
          <w:p w14:paraId="6251FA9C" w14:textId="77777777" w:rsidR="005A257D" w:rsidRDefault="00000000">
            <w:pPr>
              <w:spacing w:after="0" w:line="264" w:lineRule="auto"/>
            </w:pPr>
            <w:r>
              <w:rPr>
                <w:sz w:val="18"/>
              </w:rPr>
              <w:t>Edge-IIoTset</w:t>
            </w:r>
          </w:p>
        </w:tc>
        <w:tc>
          <w:tcPr>
            <w:tcW w:w="3264" w:type="dxa"/>
            <w:tcMar>
              <w:top w:w="80" w:type="dxa"/>
              <w:left w:w="90" w:type="dxa"/>
              <w:bottom w:w="80" w:type="dxa"/>
              <w:right w:w="90" w:type="dxa"/>
            </w:tcMar>
          </w:tcPr>
          <w:p w14:paraId="7E082C0D" w14:textId="77777777" w:rsidR="005A257D" w:rsidRDefault="00000000">
            <w:pPr>
              <w:spacing w:after="0" w:line="264" w:lineRule="auto"/>
            </w:pPr>
            <w:r>
              <w:rPr>
                <w:sz w:val="18"/>
              </w:rPr>
              <w:t>Still-current benchmark explicitly discussed for centralized and federated learning</w:t>
            </w:r>
          </w:p>
        </w:tc>
      </w:tr>
    </w:tbl>
    <w:p w14:paraId="79EC3AC5" w14:textId="77777777" w:rsidR="005A257D" w:rsidRDefault="00000000">
      <w:pPr>
        <w:pStyle w:val="Heading1"/>
      </w:pPr>
      <w:r>
        <w:t>References and Source Notes</w:t>
      </w:r>
    </w:p>
    <w:p w14:paraId="76979764" w14:textId="77777777" w:rsidR="005A257D" w:rsidRDefault="00000000">
      <w:pPr>
        <w:spacing w:after="60" w:line="264" w:lineRule="auto"/>
        <w:ind w:left="288"/>
      </w:pPr>
      <w:r>
        <w:rPr>
          <w:sz w:val="20"/>
        </w:rPr>
        <w:t>Canadian Institute for Cybersecurity (UNB). CICIoT2023 dataset page.</w:t>
      </w:r>
    </w:p>
    <w:p w14:paraId="3097D2E3" w14:textId="77777777" w:rsidR="005A257D" w:rsidRDefault="00000000">
      <w:pPr>
        <w:spacing w:after="60" w:line="264" w:lineRule="auto"/>
        <w:ind w:left="288"/>
      </w:pPr>
      <w:r>
        <w:rPr>
          <w:sz w:val="20"/>
        </w:rPr>
        <w:t>Canadian Institute for Cybersecurity (UNB). IoT-DIAD 2024 dataset page.</w:t>
      </w:r>
    </w:p>
    <w:p w14:paraId="4B82162C" w14:textId="77777777" w:rsidR="005A257D" w:rsidRDefault="00000000">
      <w:pPr>
        <w:spacing w:after="60" w:line="264" w:lineRule="auto"/>
        <w:ind w:left="288"/>
      </w:pPr>
      <w:r>
        <w:rPr>
          <w:sz w:val="20"/>
        </w:rPr>
        <w:t>Neto et al. / CICIoT2023 paper describing dataset construction and preprocessing pipeline.</w:t>
      </w:r>
    </w:p>
    <w:p w14:paraId="5899694E" w14:textId="77777777" w:rsidR="005A257D" w:rsidRDefault="00000000">
      <w:pPr>
        <w:spacing w:after="60" w:line="264" w:lineRule="auto"/>
        <w:ind w:left="288"/>
      </w:pPr>
      <w:r>
        <w:rPr>
          <w:sz w:val="20"/>
        </w:rPr>
        <w:t>University of Queensland NetFlow NIDS datasets page describing V2 and V3 feature sets.</w:t>
      </w:r>
    </w:p>
    <w:p w14:paraId="1069AE94" w14:textId="77777777" w:rsidR="005A257D" w:rsidRDefault="00000000">
      <w:pPr>
        <w:spacing w:after="60" w:line="264" w:lineRule="auto"/>
        <w:ind w:left="288"/>
      </w:pPr>
      <w:r>
        <w:rPr>
          <w:sz w:val="20"/>
        </w:rPr>
        <w:t>Temporal analysis paper for NetFlow-based NIDS datasets (arXiv:2503.04404, March 2025).</w:t>
      </w:r>
    </w:p>
    <w:p w14:paraId="415B240E" w14:textId="77777777" w:rsidR="005A257D" w:rsidRDefault="00000000">
      <w:pPr>
        <w:spacing w:after="60" w:line="264" w:lineRule="auto"/>
        <w:ind w:left="288"/>
      </w:pPr>
      <w:r>
        <w:rPr>
          <w:sz w:val="20"/>
        </w:rPr>
        <w:t>UNSW TON_IoT dataset page and related TON_IoT description sources.</w:t>
      </w:r>
    </w:p>
    <w:p w14:paraId="60830114" w14:textId="77777777" w:rsidR="005A257D" w:rsidRDefault="00000000">
      <w:pPr>
        <w:spacing w:after="60" w:line="264" w:lineRule="auto"/>
        <w:ind w:left="288"/>
      </w:pPr>
      <w:r>
        <w:rPr>
          <w:sz w:val="20"/>
        </w:rPr>
        <w:t>UNSW BoT-IoT dataset page.</w:t>
      </w:r>
    </w:p>
    <w:p w14:paraId="1CCD4DDC" w14:textId="77777777" w:rsidR="005A257D" w:rsidRDefault="00000000">
      <w:pPr>
        <w:spacing w:after="60" w:line="264" w:lineRule="auto"/>
        <w:ind w:left="288"/>
      </w:pPr>
      <w:r>
        <w:rPr>
          <w:sz w:val="20"/>
        </w:rPr>
        <w:t>Edge-IIoTset paper describing a realistic dataset for centralized and federated learning.</w:t>
      </w:r>
    </w:p>
    <w:sectPr w:rsidR="005A257D"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947624">
    <w:abstractNumId w:val="8"/>
  </w:num>
  <w:num w:numId="2" w16cid:durableId="1010106912">
    <w:abstractNumId w:val="6"/>
  </w:num>
  <w:num w:numId="3" w16cid:durableId="1890417931">
    <w:abstractNumId w:val="5"/>
  </w:num>
  <w:num w:numId="4" w16cid:durableId="1041595869">
    <w:abstractNumId w:val="4"/>
  </w:num>
  <w:num w:numId="5" w16cid:durableId="663507536">
    <w:abstractNumId w:val="7"/>
  </w:num>
  <w:num w:numId="6" w16cid:durableId="1317684190">
    <w:abstractNumId w:val="3"/>
  </w:num>
  <w:num w:numId="7" w16cid:durableId="701516996">
    <w:abstractNumId w:val="2"/>
  </w:num>
  <w:num w:numId="8" w16cid:durableId="218713525">
    <w:abstractNumId w:val="1"/>
  </w:num>
  <w:num w:numId="9" w16cid:durableId="776169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292"/>
    <w:rsid w:val="005A257D"/>
    <w:rsid w:val="008A0B01"/>
    <w:rsid w:val="0093538A"/>
    <w:rsid w:val="00A309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D07B6"/>
  <w14:defaultImageDpi w14:val="300"/>
  <w15:docId w15:val="{3C26E246-B1DE-D54A-AD66-63E8490EB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A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2A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1986</Words>
  <Characters>12433</Characters>
  <Application>Microsoft Office Word</Application>
  <DocSecurity>0</DocSecurity>
  <Lines>243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Satyam Dwivedi</cp:lastModifiedBy>
  <cp:revision>3</cp:revision>
  <dcterms:created xsi:type="dcterms:W3CDTF">2013-12-23T23:15:00Z</dcterms:created>
  <dcterms:modified xsi:type="dcterms:W3CDTF">2026-03-17T18:11:00Z</dcterms:modified>
  <cp:category/>
</cp:coreProperties>
</file>