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6A60CD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320" w:type="dxa"/>
              <w:left w:w="360" w:type="dxa"/>
              <w:bottom w:w="320" w:type="dxa"/>
              <w:right w:w="360" w:type="dxa"/>
            </w:tcMar>
          </w:tcPr>
          <w:p w14:paraId="31DE1BCA" w14:textId="77777777" w:rsidR="00CC2C30" w:rsidRDefault="00000000">
            <w:pPr>
              <w:spacing w:after="80"/>
              <w:jc w:val="center"/>
            </w:pPr>
            <w:r>
              <w:rPr>
                <w:b/>
                <w:bCs/>
                <w:color w:val="FFFFFF"/>
                <w:sz w:val="38"/>
                <w:szCs w:val="38"/>
              </w:rPr>
              <w:t>CA-</w:t>
            </w:r>
            <w:proofErr w:type="spellStart"/>
            <w:r>
              <w:rPr>
                <w:b/>
                <w:bCs/>
                <w:color w:val="FFFFFF"/>
                <w:sz w:val="38"/>
                <w:szCs w:val="38"/>
              </w:rPr>
              <w:t>FedDef</w:t>
            </w:r>
            <w:proofErr w:type="spellEnd"/>
            <w:r>
              <w:rPr>
                <w:b/>
                <w:bCs/>
                <w:color w:val="FFFFFF"/>
                <w:sz w:val="38"/>
                <w:szCs w:val="38"/>
              </w:rPr>
              <w:t>: Literature Review Briefing</w:t>
            </w:r>
          </w:p>
          <w:p w14:paraId="30DCD25A" w14:textId="77777777" w:rsidR="00CC2C30" w:rsidRDefault="00000000">
            <w:pPr>
              <w:spacing w:after="80"/>
              <w:jc w:val="center"/>
            </w:pPr>
            <w:r>
              <w:rPr>
                <w:i/>
                <w:iCs/>
                <w:color w:val="BDD7EE"/>
              </w:rPr>
              <w:t xml:space="preserve">What is already </w:t>
            </w:r>
            <w:proofErr w:type="gramStart"/>
            <w:r>
              <w:rPr>
                <w:i/>
                <w:iCs/>
                <w:color w:val="BDD7EE"/>
              </w:rPr>
              <w:t>done  |</w:t>
            </w:r>
            <w:proofErr w:type="gramEnd"/>
            <w:r>
              <w:rPr>
                <w:i/>
                <w:iCs/>
                <w:color w:val="BDD7EE"/>
              </w:rPr>
              <w:t xml:space="preserve">  What is genuinely </w:t>
            </w:r>
            <w:proofErr w:type="gramStart"/>
            <w:r>
              <w:rPr>
                <w:i/>
                <w:iCs/>
                <w:color w:val="BDD7EE"/>
              </w:rPr>
              <w:t>new  |</w:t>
            </w:r>
            <w:proofErr w:type="gramEnd"/>
            <w:r>
              <w:rPr>
                <w:i/>
                <w:iCs/>
                <w:color w:val="BDD7EE"/>
              </w:rPr>
              <w:t xml:space="preserve">  Recommended path forward</w:t>
            </w:r>
          </w:p>
          <w:p w14:paraId="227E827D" w14:textId="77777777" w:rsidR="00CC2C30" w:rsidRDefault="00000000">
            <w:pPr>
              <w:jc w:val="center"/>
            </w:pPr>
            <w:r>
              <w:rPr>
                <w:color w:val="9DC3E6"/>
                <w:sz w:val="20"/>
                <w:szCs w:val="20"/>
              </w:rPr>
              <w:t xml:space="preserve">Prepared for mentor </w:t>
            </w:r>
            <w:proofErr w:type="gramStart"/>
            <w:r>
              <w:rPr>
                <w:color w:val="9DC3E6"/>
                <w:sz w:val="20"/>
                <w:szCs w:val="20"/>
              </w:rPr>
              <w:t>review  —</w:t>
            </w:r>
            <w:proofErr w:type="gramEnd"/>
            <w:r>
              <w:rPr>
                <w:color w:val="9DC3E6"/>
                <w:sz w:val="20"/>
                <w:szCs w:val="20"/>
              </w:rPr>
              <w:t xml:space="preserve">  March 2026</w:t>
            </w:r>
          </w:p>
        </w:tc>
      </w:tr>
    </w:tbl>
    <w:p w14:paraId="1EB0DF49"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8221"/>
      </w:tblGrid>
      <w:tr w:rsidR="00CC2C30" w14:paraId="486A625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5DA6"/>
            <w:tcMar>
              <w:top w:w="80" w:type="dxa"/>
              <w:left w:w="80" w:type="dxa"/>
              <w:bottom w:w="80" w:type="dxa"/>
              <w:right w:w="80" w:type="dxa"/>
            </w:tcMar>
          </w:tcPr>
          <w:p w14:paraId="0272C4F8" w14:textId="77777777" w:rsidR="00CC2C30" w:rsidRDefault="00000000">
            <w:pPr>
              <w:jc w:val="center"/>
            </w:pPr>
            <w:r>
              <w:rPr>
                <w:b/>
                <w:bCs/>
                <w:color w:val="FFFFFF"/>
                <w:sz w:val="20"/>
                <w:szCs w:val="20"/>
              </w:rPr>
              <w:t>PURPOSE</w:t>
            </w: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07FB2295" w14:textId="77777777" w:rsidR="00CC2C30" w:rsidRDefault="00000000">
            <w:r>
              <w:rPr>
                <w:color w:val="2C2C2C"/>
                <w:sz w:val="21"/>
                <w:szCs w:val="21"/>
              </w:rPr>
              <w:t xml:space="preserve">This document </w:t>
            </w:r>
            <w:proofErr w:type="spellStart"/>
            <w:r>
              <w:rPr>
                <w:color w:val="2C2C2C"/>
                <w:sz w:val="21"/>
                <w:szCs w:val="21"/>
              </w:rPr>
              <w:t>summarises</w:t>
            </w:r>
            <w:proofErr w:type="spellEnd"/>
            <w:r>
              <w:rPr>
                <w:color w:val="2C2C2C"/>
                <w:sz w:val="21"/>
                <w:szCs w:val="21"/>
              </w:rPr>
              <w:t xml:space="preserve"> a structured literature search conducted on the CA-</w:t>
            </w:r>
            <w:proofErr w:type="spellStart"/>
            <w:r>
              <w:rPr>
                <w:color w:val="2C2C2C"/>
                <w:sz w:val="21"/>
                <w:szCs w:val="21"/>
              </w:rPr>
              <w:t>FedDef</w:t>
            </w:r>
            <w:proofErr w:type="spellEnd"/>
            <w:r>
              <w:rPr>
                <w:color w:val="2C2C2C"/>
                <w:sz w:val="21"/>
                <w:szCs w:val="21"/>
              </w:rPr>
              <w:t xml:space="preserve"> proposal. It identifies which claims in the current proposal overlap with published work (2023–2025), which claims appear genuinely novel, and recommends a scoped contribution strategy for IEEE TIFS submission.</w:t>
            </w:r>
          </w:p>
        </w:tc>
      </w:tr>
    </w:tbl>
    <w:p w14:paraId="344C1EAF"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64E578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6741DDC3" w14:textId="77777777" w:rsidR="00CC2C30" w:rsidRDefault="00000000">
            <w:r>
              <w:rPr>
                <w:b/>
                <w:bCs/>
                <w:color w:val="FFFFFF"/>
                <w:sz w:val="26"/>
                <w:szCs w:val="26"/>
              </w:rPr>
              <w:t>SECTION 1 — How This Project Was Built</w:t>
            </w:r>
          </w:p>
        </w:tc>
      </w:tr>
    </w:tbl>
    <w:p w14:paraId="525C0172" w14:textId="77777777" w:rsidR="00CC2C30" w:rsidRDefault="00CC2C30"/>
    <w:p w14:paraId="2EB04FDA" w14:textId="77777777" w:rsidR="00CC2C30" w:rsidRDefault="00000000">
      <w:pPr>
        <w:spacing w:before="60" w:after="60"/>
      </w:pPr>
      <w:r>
        <w:rPr>
          <w:color w:val="2C2C2C"/>
        </w:rPr>
        <w:t>Understanding the origin of the CA-</w:t>
      </w:r>
      <w:proofErr w:type="spellStart"/>
      <w:r>
        <w:rPr>
          <w:color w:val="2C2C2C"/>
        </w:rPr>
        <w:t>FedDef</w:t>
      </w:r>
      <w:proofErr w:type="spellEnd"/>
      <w:r>
        <w:rPr>
          <w:color w:val="2C2C2C"/>
        </w:rPr>
        <w:t xml:space="preserve"> proposal is important before evaluating its novelty claims.</w:t>
      </w:r>
    </w:p>
    <w:p w14:paraId="3CF42514"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5233"/>
        <w:gridCol w:w="3453"/>
      </w:tblGrid>
      <w:tr w:rsidR="00CC2C30" w14:paraId="76ECD4C3" w14:textId="77777777">
        <w:tblPrEx>
          <w:tblCellMar>
            <w:top w:w="0" w:type="dxa"/>
            <w:bottom w:w="0" w:type="dxa"/>
          </w:tblCellMar>
        </w:tblPrEx>
        <w:trPr>
          <w:tblHeader/>
        </w:trPr>
        <w:tc>
          <w:tcPr>
            <w:tcW w:w="6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7D3F43A8" w14:textId="77777777" w:rsidR="00CC2C30" w:rsidRDefault="00000000">
            <w:r>
              <w:rPr>
                <w:b/>
                <w:bCs/>
                <w:color w:val="FFFFFF"/>
                <w:sz w:val="20"/>
                <w:szCs w:val="20"/>
              </w:rPr>
              <w:t>Step</w:t>
            </w:r>
          </w:p>
        </w:tc>
        <w:tc>
          <w:tcPr>
            <w:tcW w:w="57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7F138A99" w14:textId="77777777" w:rsidR="00CC2C30" w:rsidRDefault="00000000">
            <w:r>
              <w:rPr>
                <w:b/>
                <w:bCs/>
                <w:color w:val="FFFFFF"/>
                <w:sz w:val="20"/>
                <w:szCs w:val="20"/>
              </w:rPr>
              <w:t>What Happened</w:t>
            </w:r>
          </w:p>
        </w:tc>
        <w:tc>
          <w:tcPr>
            <w:tcW w:w="30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2BB9187A" w14:textId="77777777" w:rsidR="00CC2C30" w:rsidRDefault="00000000">
            <w:r>
              <w:rPr>
                <w:b/>
                <w:bCs/>
                <w:color w:val="FFFFFF"/>
                <w:sz w:val="20"/>
                <w:szCs w:val="20"/>
              </w:rPr>
              <w:t>Document</w:t>
            </w:r>
          </w:p>
        </w:tc>
      </w:tr>
      <w:tr w:rsidR="00CC2C30" w14:paraId="57DF3679" w14:textId="77777777">
        <w:tblPrEx>
          <w:tblCellMar>
            <w:top w:w="0" w:type="dxa"/>
            <w:bottom w:w="0" w:type="dxa"/>
          </w:tblCellMar>
        </w:tblPrEx>
        <w:tc>
          <w:tcPr>
            <w:tcW w:w="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6AB31E0" w14:textId="77777777" w:rsidR="00CC2C30" w:rsidRDefault="00000000">
            <w:r>
              <w:rPr>
                <w:color w:val="2C2C2C"/>
                <w:sz w:val="20"/>
                <w:szCs w:val="20"/>
              </w:rPr>
              <w:t>1</w:t>
            </w:r>
          </w:p>
        </w:tc>
        <w:tc>
          <w:tcPr>
            <w:tcW w:w="57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0A553F1" w14:textId="314BDF9A" w:rsidR="00CC2C30" w:rsidRDefault="00886C9E">
            <w:r>
              <w:rPr>
                <w:color w:val="2C2C2C"/>
                <w:sz w:val="20"/>
                <w:szCs w:val="20"/>
              </w:rPr>
              <w:t>I</w:t>
            </w:r>
            <w:r w:rsidR="00000000">
              <w:rPr>
                <w:color w:val="2C2C2C"/>
                <w:sz w:val="20"/>
                <w:szCs w:val="20"/>
              </w:rPr>
              <w:t>dentified 5 research gaps from literature</w:t>
            </w:r>
          </w:p>
        </w:tc>
        <w:tc>
          <w:tcPr>
            <w:tcW w:w="3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191F7E1" w14:textId="77777777" w:rsidR="00CC2C30" w:rsidRDefault="00000000">
            <w:r>
              <w:rPr>
                <w:color w:val="2C2C2C"/>
                <w:sz w:val="20"/>
                <w:szCs w:val="20"/>
              </w:rPr>
              <w:t>gaps.docx</w:t>
            </w:r>
          </w:p>
        </w:tc>
      </w:tr>
      <w:tr w:rsidR="00CC2C30" w14:paraId="36AE7AF2" w14:textId="77777777">
        <w:tblPrEx>
          <w:tblCellMar>
            <w:top w:w="0" w:type="dxa"/>
            <w:bottom w:w="0" w:type="dxa"/>
          </w:tblCellMar>
        </w:tblPrEx>
        <w:tc>
          <w:tcPr>
            <w:tcW w:w="6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2939A197" w14:textId="77777777" w:rsidR="00CC2C30" w:rsidRDefault="00000000">
            <w:r>
              <w:rPr>
                <w:color w:val="2C2C2C"/>
                <w:sz w:val="20"/>
                <w:szCs w:val="20"/>
              </w:rPr>
              <w:t>2</w:t>
            </w:r>
          </w:p>
        </w:tc>
        <w:tc>
          <w:tcPr>
            <w:tcW w:w="57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22F8F6CC" w14:textId="46CDF548" w:rsidR="00CC2C30" w:rsidRDefault="00000000">
            <w:r>
              <w:rPr>
                <w:color w:val="2C2C2C"/>
                <w:sz w:val="20"/>
                <w:szCs w:val="20"/>
              </w:rPr>
              <w:t>selected Gap 3 to pursue</w:t>
            </w:r>
          </w:p>
        </w:tc>
        <w:tc>
          <w:tcPr>
            <w:tcW w:w="30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4420BAE3" w14:textId="77777777" w:rsidR="00CC2C30" w:rsidRDefault="00000000">
            <w:r>
              <w:rPr>
                <w:color w:val="2C2C2C"/>
                <w:sz w:val="20"/>
                <w:szCs w:val="20"/>
              </w:rPr>
              <w:t>Mentor decision</w:t>
            </w:r>
          </w:p>
        </w:tc>
      </w:tr>
      <w:tr w:rsidR="00CC2C30" w14:paraId="21E4D6C7" w14:textId="77777777">
        <w:tblPrEx>
          <w:tblCellMar>
            <w:top w:w="0" w:type="dxa"/>
            <w:bottom w:w="0" w:type="dxa"/>
          </w:tblCellMar>
        </w:tblPrEx>
        <w:tc>
          <w:tcPr>
            <w:tcW w:w="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5EAF5FA4" w14:textId="77777777" w:rsidR="00CC2C30" w:rsidRDefault="00000000">
            <w:r>
              <w:rPr>
                <w:color w:val="2C2C2C"/>
                <w:sz w:val="20"/>
                <w:szCs w:val="20"/>
              </w:rPr>
              <w:t>3</w:t>
            </w:r>
          </w:p>
        </w:tc>
        <w:tc>
          <w:tcPr>
            <w:tcW w:w="57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8F50C98" w14:textId="634F7C47" w:rsidR="00CC2C30" w:rsidRDefault="00886C9E">
            <w:r>
              <w:rPr>
                <w:color w:val="2C2C2C"/>
                <w:sz w:val="20"/>
                <w:szCs w:val="20"/>
              </w:rPr>
              <w:t>Mentor</w:t>
            </w:r>
            <w:r w:rsidR="00000000">
              <w:rPr>
                <w:color w:val="2C2C2C"/>
                <w:sz w:val="20"/>
                <w:szCs w:val="20"/>
              </w:rPr>
              <w:t xml:space="preserve"> provided CA-</w:t>
            </w:r>
            <w:proofErr w:type="spellStart"/>
            <w:r w:rsidR="00000000">
              <w:rPr>
                <w:color w:val="2C2C2C"/>
                <w:sz w:val="20"/>
                <w:szCs w:val="20"/>
              </w:rPr>
              <w:t>FedDef</w:t>
            </w:r>
            <w:proofErr w:type="spellEnd"/>
            <w:r w:rsidR="00000000">
              <w:rPr>
                <w:color w:val="2C2C2C"/>
                <w:sz w:val="20"/>
                <w:szCs w:val="20"/>
              </w:rPr>
              <w:t xml:space="preserve"> proposal documents</w:t>
            </w:r>
          </w:p>
        </w:tc>
        <w:tc>
          <w:tcPr>
            <w:tcW w:w="3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BF0D9EB" w14:textId="77777777" w:rsidR="00CC2C30" w:rsidRDefault="00000000">
            <w:r>
              <w:rPr>
                <w:color w:val="2C2C2C"/>
                <w:sz w:val="20"/>
                <w:szCs w:val="20"/>
              </w:rPr>
              <w:t>CA_FedDef_Framework.docx + Experiments.docx</w:t>
            </w:r>
          </w:p>
        </w:tc>
      </w:tr>
      <w:tr w:rsidR="00CC2C30" w14:paraId="0126ACC6" w14:textId="77777777">
        <w:tblPrEx>
          <w:tblCellMar>
            <w:top w:w="0" w:type="dxa"/>
            <w:bottom w:w="0" w:type="dxa"/>
          </w:tblCellMar>
        </w:tblPrEx>
        <w:tc>
          <w:tcPr>
            <w:tcW w:w="6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631051EE" w14:textId="77777777" w:rsidR="00CC2C30" w:rsidRDefault="00000000">
            <w:r>
              <w:rPr>
                <w:color w:val="2C2C2C"/>
                <w:sz w:val="20"/>
                <w:szCs w:val="20"/>
              </w:rPr>
              <w:t>4</w:t>
            </w:r>
          </w:p>
        </w:tc>
        <w:tc>
          <w:tcPr>
            <w:tcW w:w="57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0423F5CD" w14:textId="7B5FA6B3" w:rsidR="00CC2C30" w:rsidRDefault="00000000">
            <w:r>
              <w:rPr>
                <w:color w:val="2C2C2C"/>
                <w:sz w:val="20"/>
                <w:szCs w:val="20"/>
              </w:rPr>
              <w:t>dataset analysis documents were provided as reference</w:t>
            </w:r>
          </w:p>
        </w:tc>
        <w:tc>
          <w:tcPr>
            <w:tcW w:w="30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729960E2" w14:textId="77777777" w:rsidR="00CC2C30" w:rsidRDefault="00000000">
            <w:r>
              <w:rPr>
                <w:color w:val="2C2C2C"/>
                <w:sz w:val="20"/>
                <w:szCs w:val="20"/>
              </w:rPr>
              <w:t>Dataset_Comparison_Analysis.docx</w:t>
            </w:r>
          </w:p>
        </w:tc>
      </w:tr>
      <w:tr w:rsidR="00CC2C30" w14:paraId="5E464E72" w14:textId="77777777">
        <w:tblPrEx>
          <w:tblCellMar>
            <w:top w:w="0" w:type="dxa"/>
            <w:bottom w:w="0" w:type="dxa"/>
          </w:tblCellMar>
        </w:tblPrEx>
        <w:tc>
          <w:tcPr>
            <w:tcW w:w="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3BEE658" w14:textId="77777777" w:rsidR="00CC2C30" w:rsidRDefault="00000000">
            <w:r>
              <w:rPr>
                <w:color w:val="2C2C2C"/>
                <w:sz w:val="20"/>
                <w:szCs w:val="20"/>
              </w:rPr>
              <w:t>5</w:t>
            </w:r>
          </w:p>
        </w:tc>
        <w:tc>
          <w:tcPr>
            <w:tcW w:w="57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D97A393" w14:textId="77777777" w:rsidR="00CC2C30" w:rsidRDefault="00000000">
            <w:r>
              <w:rPr>
                <w:color w:val="2C2C2C"/>
                <w:sz w:val="20"/>
                <w:szCs w:val="20"/>
              </w:rPr>
              <w:t>Full literature verification conducted — results in this document</w:t>
            </w:r>
          </w:p>
        </w:tc>
        <w:tc>
          <w:tcPr>
            <w:tcW w:w="3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D6B0909" w14:textId="77777777" w:rsidR="00CC2C30" w:rsidRDefault="00000000">
            <w:r>
              <w:rPr>
                <w:color w:val="2C2C2C"/>
                <w:sz w:val="20"/>
                <w:szCs w:val="20"/>
              </w:rPr>
              <w:t>This document</w:t>
            </w:r>
          </w:p>
        </w:tc>
      </w:tr>
    </w:tbl>
    <w:p w14:paraId="4A3C63C0" w14:textId="77777777" w:rsidR="00CC2C30" w:rsidRDefault="00CC2C30"/>
    <w:p w14:paraId="09CB8BA7" w14:textId="77777777" w:rsidR="00CC2C30" w:rsidRDefault="00000000">
      <w:pPr>
        <w:spacing w:before="60" w:after="60"/>
      </w:pPr>
      <w:r>
        <w:rPr>
          <w:color w:val="2C2C2C"/>
        </w:rPr>
        <w:t>Gap 3 (the original student idea) stated:</w:t>
      </w:r>
    </w:p>
    <w:p w14:paraId="60B94368"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8766"/>
      </w:tblGrid>
      <w:tr w:rsidR="00CC2C30" w14:paraId="07C62D1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5DA6"/>
            <w:tcMar>
              <w:top w:w="80" w:type="dxa"/>
              <w:left w:w="80" w:type="dxa"/>
              <w:bottom w:w="80" w:type="dxa"/>
              <w:right w:w="80" w:type="dxa"/>
            </w:tcMar>
          </w:tcPr>
          <w:p w14:paraId="3E5BE065" w14:textId="77777777" w:rsidR="00CC2C30" w:rsidRDefault="00000000">
            <w:pPr>
              <w:jc w:val="center"/>
            </w:pPr>
            <w:r>
              <w:rPr>
                <w:b/>
                <w:bCs/>
                <w:color w:val="FFFFFF"/>
                <w:sz w:val="20"/>
                <w:szCs w:val="20"/>
              </w:rPr>
              <w:t>GAP 3</w:t>
            </w:r>
          </w:p>
        </w:tc>
        <w:tc>
          <w:tcPr>
            <w:tcW w:w="91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65BC66F2" w14:textId="77777777" w:rsidR="00CC2C30" w:rsidRDefault="00000000">
            <w:r>
              <w:rPr>
                <w:color w:val="2C2C2C"/>
                <w:sz w:val="21"/>
                <w:szCs w:val="21"/>
              </w:rPr>
              <w:t>“Personalized / client-aware defenses for heterogeneous IoT clients are still weak. Some clients use lightweight defense, some use stronger defense. Compare personalized vs. uniform adversarial training in FL-IDS.”</w:t>
            </w:r>
          </w:p>
        </w:tc>
      </w:tr>
    </w:tbl>
    <w:p w14:paraId="58BD1A75" w14:textId="77777777" w:rsidR="00CC2C30" w:rsidRDefault="00CC2C30"/>
    <w:p w14:paraId="69ACD670" w14:textId="77777777" w:rsidR="00CC2C30" w:rsidRDefault="00000000">
      <w:pPr>
        <w:spacing w:before="60" w:after="60"/>
      </w:pPr>
      <w:r>
        <w:rPr>
          <w:color w:val="2C2C2C"/>
        </w:rPr>
        <w:t>The CA-</w:t>
      </w:r>
      <w:proofErr w:type="spellStart"/>
      <w:r>
        <w:rPr>
          <w:color w:val="2C2C2C"/>
        </w:rPr>
        <w:t>FedDef</w:t>
      </w:r>
      <w:proofErr w:type="spellEnd"/>
      <w:r>
        <w:rPr>
          <w:color w:val="2C2C2C"/>
        </w:rPr>
        <w:t xml:space="preserve"> proposal significantly expanded this seed idea into a full framework with 5 contributions, 9 SUSS signals, formal proofs, and an 8-step experimental protocol. This is a substantial expansion that requires careful novelty verification before submission.</w:t>
      </w:r>
    </w:p>
    <w:p w14:paraId="26AB8205" w14:textId="77777777" w:rsidR="00CC2C30" w:rsidRDefault="00CC2C30"/>
    <w:p w14:paraId="1CA7D2E9"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2074A0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20" w:type="dxa"/>
              <w:left w:w="200" w:type="dxa"/>
              <w:bottom w:w="120" w:type="dxa"/>
              <w:right w:w="200" w:type="dxa"/>
            </w:tcMar>
          </w:tcPr>
          <w:p w14:paraId="6D52E6FE" w14:textId="77777777" w:rsidR="00CC2C30" w:rsidRDefault="00000000">
            <w:r>
              <w:rPr>
                <w:b/>
                <w:bCs/>
                <w:color w:val="FFFFFF"/>
                <w:sz w:val="26"/>
                <w:szCs w:val="26"/>
              </w:rPr>
              <w:t>SECTION 2 — What Is Already Done in the Literature</w:t>
            </w:r>
          </w:p>
        </w:tc>
      </w:tr>
    </w:tbl>
    <w:p w14:paraId="354C7BEE" w14:textId="77777777" w:rsidR="00CC2C30" w:rsidRDefault="00CC2C30"/>
    <w:p w14:paraId="523B2909" w14:textId="77777777" w:rsidR="00CC2C30" w:rsidRDefault="00000000">
      <w:pPr>
        <w:spacing w:before="60" w:after="60"/>
      </w:pPr>
      <w:r>
        <w:rPr>
          <w:color w:val="2C2C2C"/>
        </w:rPr>
        <w:t>The following CA-</w:t>
      </w:r>
      <w:proofErr w:type="spellStart"/>
      <w:r>
        <w:rPr>
          <w:color w:val="2C2C2C"/>
        </w:rPr>
        <w:t>FedDef</w:t>
      </w:r>
      <w:proofErr w:type="spellEnd"/>
      <w:r>
        <w:rPr>
          <w:color w:val="2C2C2C"/>
        </w:rPr>
        <w:t xml:space="preserve"> claims overlap significantly with published work identified during the literature search. Submitting these as primary contributions to IEEE TIFS risks desk rejection.</w:t>
      </w:r>
    </w:p>
    <w:p w14:paraId="42A2145D"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CC2C30" w14:paraId="2473311C" w14:textId="77777777">
        <w:tblPrEx>
          <w:tblCellMar>
            <w:top w:w="0" w:type="dxa"/>
            <w:bottom w:w="0" w:type="dxa"/>
          </w:tblCellMar>
        </w:tblPrEx>
        <w:trPr>
          <w:tblHeader/>
        </w:trPr>
        <w:tc>
          <w:tcPr>
            <w:tcW w:w="24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5EF4024F" w14:textId="77777777" w:rsidR="00CC2C30" w:rsidRDefault="00000000">
            <w:r>
              <w:rPr>
                <w:b/>
                <w:bCs/>
                <w:color w:val="FFFFFF"/>
                <w:sz w:val="20"/>
                <w:szCs w:val="20"/>
              </w:rPr>
              <w:lastRenderedPageBreak/>
              <w:t>CA-</w:t>
            </w:r>
            <w:proofErr w:type="spellStart"/>
            <w:r>
              <w:rPr>
                <w:b/>
                <w:bCs/>
                <w:color w:val="FFFFFF"/>
                <w:sz w:val="20"/>
                <w:szCs w:val="20"/>
              </w:rPr>
              <w:t>FedDef</w:t>
            </w:r>
            <w:proofErr w:type="spellEnd"/>
            <w:r>
              <w:rPr>
                <w:b/>
                <w:bCs/>
                <w:color w:val="FFFFFF"/>
                <w:sz w:val="20"/>
                <w:szCs w:val="20"/>
              </w:rPr>
              <w:t xml:space="preserve"> Claim</w:t>
            </w:r>
          </w:p>
        </w:tc>
        <w:tc>
          <w:tcPr>
            <w:tcW w:w="51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52097853" w14:textId="77777777" w:rsidR="00CC2C30" w:rsidRDefault="00000000">
            <w:r>
              <w:rPr>
                <w:b/>
                <w:bCs/>
                <w:color w:val="FFFFFF"/>
                <w:sz w:val="20"/>
                <w:szCs w:val="20"/>
              </w:rPr>
              <w:t>Overlapping Published Work</w:t>
            </w:r>
          </w:p>
        </w:tc>
        <w:tc>
          <w:tcPr>
            <w:tcW w:w="18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5059EA02" w14:textId="77777777" w:rsidR="00CC2C30" w:rsidRDefault="00000000">
            <w:r>
              <w:rPr>
                <w:b/>
                <w:bCs/>
                <w:color w:val="FFFFFF"/>
                <w:sz w:val="20"/>
                <w:szCs w:val="20"/>
              </w:rPr>
              <w:t>Overlap Severity</w:t>
            </w:r>
          </w:p>
        </w:tc>
      </w:tr>
      <w:tr w:rsidR="00CC2C30" w14:paraId="1DED8C04"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22FC59A" w14:textId="77777777" w:rsidR="00CC2C30" w:rsidRDefault="00000000">
            <w:r>
              <w:rPr>
                <w:color w:val="2C2C2C"/>
                <w:sz w:val="20"/>
                <w:szCs w:val="20"/>
              </w:rPr>
              <w:t>History-based trust scoring (Hᵢ component)</w:t>
            </w:r>
          </w:p>
        </w:tc>
        <w:tc>
          <w:tcPr>
            <w:tcW w:w="51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DBC9B42" w14:textId="77777777" w:rsidR="00CC2C30" w:rsidRDefault="00000000">
            <w:r>
              <w:rPr>
                <w:color w:val="2C2C2C"/>
                <w:sz w:val="20"/>
                <w:szCs w:val="20"/>
              </w:rPr>
              <w:t>AGAT-FL (</w:t>
            </w:r>
            <w:proofErr w:type="spellStart"/>
            <w:r>
              <w:rPr>
                <w:color w:val="2C2C2C"/>
                <w:sz w:val="20"/>
                <w:szCs w:val="20"/>
              </w:rPr>
              <w:t>PeerJ</w:t>
            </w:r>
            <w:proofErr w:type="spellEnd"/>
            <w:r>
              <w:rPr>
                <w:color w:val="2C2C2C"/>
                <w:sz w:val="20"/>
                <w:szCs w:val="20"/>
              </w:rPr>
              <w:t xml:space="preserve"> CS, Nov 2025): assigns trust scores based on behavioral history. TAIM (MDPI 2025): multi-dimensional trust model with participation frequency + gradient consistency. </w:t>
            </w:r>
            <w:proofErr w:type="spellStart"/>
            <w:r>
              <w:rPr>
                <w:color w:val="2C2C2C"/>
                <w:sz w:val="20"/>
                <w:szCs w:val="20"/>
              </w:rPr>
              <w:t>FedTrust</w:t>
            </w:r>
            <w:proofErr w:type="spellEnd"/>
            <w:r>
              <w:rPr>
                <w:color w:val="2C2C2C"/>
                <w:sz w:val="20"/>
                <w:szCs w:val="20"/>
              </w:rPr>
              <w:t>-Net (2025): reputation-guided weighting on CIC-IoT-2023 specifically.</w:t>
            </w:r>
          </w:p>
        </w:tc>
        <w:tc>
          <w:tcPr>
            <w:tcW w:w="1800" w:type="dxa"/>
            <w:tcBorders>
              <w:top w:val="single" w:sz="1" w:space="0" w:color="BBCDE5"/>
              <w:left w:val="single" w:sz="1" w:space="0" w:color="BBCDE5"/>
              <w:bottom w:val="single" w:sz="1" w:space="0" w:color="BBCDE5"/>
              <w:right w:val="single" w:sz="1" w:space="0" w:color="BBCDE5"/>
            </w:tcBorders>
            <w:shd w:val="clear" w:color="auto" w:fill="FDECEA"/>
            <w:tcMar>
              <w:top w:w="80" w:type="dxa"/>
              <w:left w:w="120" w:type="dxa"/>
              <w:bottom w:w="80" w:type="dxa"/>
              <w:right w:w="120" w:type="dxa"/>
            </w:tcMar>
          </w:tcPr>
          <w:p w14:paraId="379D05A0" w14:textId="77777777" w:rsidR="00CC2C30" w:rsidRDefault="00000000">
            <w:r>
              <w:rPr>
                <w:b/>
                <w:bCs/>
                <w:color w:val="C00000"/>
                <w:sz w:val="20"/>
                <w:szCs w:val="20"/>
              </w:rPr>
              <w:t>HIGH — Do not claim as novel</w:t>
            </w:r>
          </w:p>
        </w:tc>
      </w:tr>
      <w:tr w:rsidR="00CC2C30" w14:paraId="4FDF3779"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D213478" w14:textId="77777777" w:rsidR="00CC2C30" w:rsidRDefault="00000000">
            <w:r>
              <w:rPr>
                <w:color w:val="2C2C2C"/>
                <w:sz w:val="20"/>
                <w:szCs w:val="20"/>
              </w:rPr>
              <w:t>Adaptive trust-weighted aggregation (PGA)</w:t>
            </w:r>
          </w:p>
        </w:tc>
        <w:tc>
          <w:tcPr>
            <w:tcW w:w="51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DE6B038" w14:textId="77777777" w:rsidR="00CC2C30" w:rsidRDefault="00000000">
            <w:proofErr w:type="spellStart"/>
            <w:r>
              <w:rPr>
                <w:color w:val="2C2C2C"/>
                <w:sz w:val="20"/>
                <w:szCs w:val="20"/>
              </w:rPr>
              <w:t>RaSA</w:t>
            </w:r>
            <w:proofErr w:type="spellEnd"/>
            <w:r>
              <w:rPr>
                <w:color w:val="2C2C2C"/>
                <w:sz w:val="20"/>
                <w:szCs w:val="20"/>
              </w:rPr>
              <w:t xml:space="preserve"> (IEEE TIFS 2025): adaptive weights using gradient similarity and diversity under non-IID data. This is your stated closest </w:t>
            </w:r>
            <w:proofErr w:type="gramStart"/>
            <w:r>
              <w:rPr>
                <w:color w:val="2C2C2C"/>
                <w:sz w:val="20"/>
                <w:szCs w:val="20"/>
              </w:rPr>
              <w:t>competitor</w:t>
            </w:r>
            <w:proofErr w:type="gramEnd"/>
            <w:r>
              <w:rPr>
                <w:color w:val="2C2C2C"/>
                <w:sz w:val="20"/>
                <w:szCs w:val="20"/>
              </w:rPr>
              <w:t xml:space="preserve"> and it is already in TIFS.</w:t>
            </w:r>
          </w:p>
        </w:tc>
        <w:tc>
          <w:tcPr>
            <w:tcW w:w="1800" w:type="dxa"/>
            <w:tcBorders>
              <w:top w:val="single" w:sz="1" w:space="0" w:color="BBCDE5"/>
              <w:left w:val="single" w:sz="1" w:space="0" w:color="BBCDE5"/>
              <w:bottom w:val="single" w:sz="1" w:space="0" w:color="BBCDE5"/>
              <w:right w:val="single" w:sz="1" w:space="0" w:color="BBCDE5"/>
            </w:tcBorders>
            <w:shd w:val="clear" w:color="auto" w:fill="FDECEA"/>
            <w:tcMar>
              <w:top w:w="80" w:type="dxa"/>
              <w:left w:w="120" w:type="dxa"/>
              <w:bottom w:w="80" w:type="dxa"/>
              <w:right w:w="120" w:type="dxa"/>
            </w:tcMar>
          </w:tcPr>
          <w:p w14:paraId="560318E7" w14:textId="77777777" w:rsidR="00CC2C30" w:rsidRDefault="00000000">
            <w:r>
              <w:rPr>
                <w:b/>
                <w:bCs/>
                <w:color w:val="C00000"/>
                <w:sz w:val="20"/>
                <w:szCs w:val="20"/>
              </w:rPr>
              <w:t>HIGH — Must clearly differentiate</w:t>
            </w:r>
          </w:p>
        </w:tc>
      </w:tr>
      <w:tr w:rsidR="00CC2C30" w14:paraId="55B80116"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16009D4" w14:textId="77777777" w:rsidR="00CC2C30" w:rsidRDefault="00000000">
            <w:r>
              <w:rPr>
                <w:color w:val="2C2C2C"/>
                <w:sz w:val="20"/>
                <w:szCs w:val="20"/>
              </w:rPr>
              <w:t>Client behavioral profiling for FL security</w:t>
            </w:r>
          </w:p>
        </w:tc>
        <w:tc>
          <w:tcPr>
            <w:tcW w:w="51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C65E0EF" w14:textId="77777777" w:rsidR="00CC2C30" w:rsidRDefault="00000000">
            <w:r>
              <w:rPr>
                <w:color w:val="2C2C2C"/>
                <w:sz w:val="20"/>
                <w:szCs w:val="20"/>
              </w:rPr>
              <w:t xml:space="preserve">AGAT-FL, </w:t>
            </w:r>
            <w:proofErr w:type="spellStart"/>
            <w:r>
              <w:rPr>
                <w:color w:val="2C2C2C"/>
                <w:sz w:val="20"/>
                <w:szCs w:val="20"/>
              </w:rPr>
              <w:t>FedTrust</w:t>
            </w:r>
            <w:proofErr w:type="spellEnd"/>
            <w:r>
              <w:rPr>
                <w:color w:val="2C2C2C"/>
                <w:sz w:val="20"/>
                <w:szCs w:val="20"/>
              </w:rPr>
              <w:t>-Net, TAIM all maintain per-client behavioral profiles for trust scoring. The broad idea of ‘client profile as security primitive’ is covered.</w:t>
            </w:r>
          </w:p>
        </w:tc>
        <w:tc>
          <w:tcPr>
            <w:tcW w:w="1800" w:type="dxa"/>
            <w:tcBorders>
              <w:top w:val="single" w:sz="1" w:space="0" w:color="BBCDE5"/>
              <w:left w:val="single" w:sz="1" w:space="0" w:color="BBCDE5"/>
              <w:bottom w:val="single" w:sz="1" w:space="0" w:color="BBCDE5"/>
              <w:right w:val="single" w:sz="1" w:space="0" w:color="BBCDE5"/>
            </w:tcBorders>
            <w:shd w:val="clear" w:color="auto" w:fill="FDECEA"/>
            <w:tcMar>
              <w:top w:w="80" w:type="dxa"/>
              <w:left w:w="120" w:type="dxa"/>
              <w:bottom w:w="80" w:type="dxa"/>
              <w:right w:w="120" w:type="dxa"/>
            </w:tcMar>
          </w:tcPr>
          <w:p w14:paraId="0B72FF47" w14:textId="77777777" w:rsidR="00CC2C30" w:rsidRDefault="00000000">
            <w:r>
              <w:rPr>
                <w:b/>
                <w:bCs/>
                <w:color w:val="C00000"/>
                <w:sz w:val="20"/>
                <w:szCs w:val="20"/>
              </w:rPr>
              <w:t>HIGH — Reframe required</w:t>
            </w:r>
          </w:p>
        </w:tc>
      </w:tr>
      <w:tr w:rsidR="00CC2C30" w14:paraId="5F85F29B"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0F0E8EF9" w14:textId="77777777" w:rsidR="00CC2C30" w:rsidRDefault="00000000">
            <w:r>
              <w:rPr>
                <w:color w:val="2C2C2C"/>
                <w:sz w:val="20"/>
                <w:szCs w:val="20"/>
              </w:rPr>
              <w:t>Lightweight defense for resource-constrained clients (efficiency focus)</w:t>
            </w:r>
          </w:p>
        </w:tc>
        <w:tc>
          <w:tcPr>
            <w:tcW w:w="51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C8FA21A" w14:textId="77777777" w:rsidR="00CC2C30" w:rsidRDefault="00000000">
            <w:proofErr w:type="spellStart"/>
            <w:r>
              <w:rPr>
                <w:color w:val="2C2C2C"/>
                <w:sz w:val="20"/>
                <w:szCs w:val="20"/>
              </w:rPr>
              <w:t>FedMEM</w:t>
            </w:r>
            <w:proofErr w:type="spellEnd"/>
            <w:r>
              <w:rPr>
                <w:color w:val="2C2C2C"/>
                <w:sz w:val="20"/>
                <w:szCs w:val="20"/>
              </w:rPr>
              <w:t xml:space="preserve"> (2025), </w:t>
            </w:r>
            <w:proofErr w:type="spellStart"/>
            <w:r>
              <w:rPr>
                <w:color w:val="2C2C2C"/>
                <w:sz w:val="20"/>
                <w:szCs w:val="20"/>
              </w:rPr>
              <w:t>FedProx</w:t>
            </w:r>
            <w:proofErr w:type="spellEnd"/>
            <w:r>
              <w:rPr>
                <w:color w:val="2C2C2C"/>
                <w:sz w:val="20"/>
                <w:szCs w:val="20"/>
              </w:rPr>
              <w:t xml:space="preserve"> (2020) address resource constraints for training efficiency. The general idea of tiered client handling is not new in FL.</w:t>
            </w:r>
          </w:p>
        </w:tc>
        <w:tc>
          <w:tcPr>
            <w:tcW w:w="1800" w:type="dxa"/>
            <w:tcBorders>
              <w:top w:val="single" w:sz="1" w:space="0" w:color="BBCDE5"/>
              <w:left w:val="single" w:sz="1" w:space="0" w:color="BBCDE5"/>
              <w:bottom w:val="single" w:sz="1" w:space="0" w:color="BBCDE5"/>
              <w:right w:val="single" w:sz="1" w:space="0" w:color="BBCDE5"/>
            </w:tcBorders>
            <w:shd w:val="clear" w:color="auto" w:fill="FEF3E2"/>
            <w:tcMar>
              <w:top w:w="80" w:type="dxa"/>
              <w:left w:w="120" w:type="dxa"/>
              <w:bottom w:w="80" w:type="dxa"/>
              <w:right w:w="120" w:type="dxa"/>
            </w:tcMar>
          </w:tcPr>
          <w:p w14:paraId="6D4A8966" w14:textId="77777777" w:rsidR="00CC2C30" w:rsidRDefault="00000000">
            <w:r>
              <w:rPr>
                <w:b/>
                <w:bCs/>
                <w:color w:val="C55A00"/>
                <w:sz w:val="20"/>
                <w:szCs w:val="20"/>
              </w:rPr>
              <w:t>MEDIUM — Security context differentiates it</w:t>
            </w:r>
          </w:p>
        </w:tc>
      </w:tr>
      <w:tr w:rsidR="00CC2C30" w14:paraId="17EC116D"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0B91B5F" w14:textId="77777777" w:rsidR="00CC2C30" w:rsidRDefault="00000000">
            <w:r>
              <w:rPr>
                <w:color w:val="2C2C2C"/>
                <w:sz w:val="20"/>
                <w:szCs w:val="20"/>
              </w:rPr>
              <w:t>Poisoning defense under non-IID conditions (general)</w:t>
            </w:r>
          </w:p>
        </w:tc>
        <w:tc>
          <w:tcPr>
            <w:tcW w:w="51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85BD70A" w14:textId="77777777" w:rsidR="00CC2C30" w:rsidRDefault="00000000">
            <w:r>
              <w:rPr>
                <w:color w:val="2C2C2C"/>
                <w:sz w:val="20"/>
                <w:szCs w:val="20"/>
              </w:rPr>
              <w:t xml:space="preserve">Multiple 2023–2025 papers (TNBS, </w:t>
            </w:r>
            <w:proofErr w:type="spellStart"/>
            <w:r>
              <w:rPr>
                <w:color w:val="2C2C2C"/>
                <w:sz w:val="20"/>
                <w:szCs w:val="20"/>
              </w:rPr>
              <w:t>FedGreed</w:t>
            </w:r>
            <w:proofErr w:type="spellEnd"/>
            <w:r>
              <w:rPr>
                <w:color w:val="2C2C2C"/>
                <w:sz w:val="20"/>
                <w:szCs w:val="20"/>
              </w:rPr>
              <w:t>, ABBR) provide formal guarantees for Byzantine robustness under non-IID. The general problem is well-studied.</w:t>
            </w:r>
          </w:p>
        </w:tc>
        <w:tc>
          <w:tcPr>
            <w:tcW w:w="1800" w:type="dxa"/>
            <w:tcBorders>
              <w:top w:val="single" w:sz="1" w:space="0" w:color="BBCDE5"/>
              <w:left w:val="single" w:sz="1" w:space="0" w:color="BBCDE5"/>
              <w:bottom w:val="single" w:sz="1" w:space="0" w:color="BBCDE5"/>
              <w:right w:val="single" w:sz="1" w:space="0" w:color="BBCDE5"/>
            </w:tcBorders>
            <w:shd w:val="clear" w:color="auto" w:fill="FEF3E2"/>
            <w:tcMar>
              <w:top w:w="80" w:type="dxa"/>
              <w:left w:w="120" w:type="dxa"/>
              <w:bottom w:w="80" w:type="dxa"/>
              <w:right w:w="120" w:type="dxa"/>
            </w:tcMar>
          </w:tcPr>
          <w:p w14:paraId="06557812" w14:textId="77777777" w:rsidR="00CC2C30" w:rsidRDefault="00000000">
            <w:r>
              <w:rPr>
                <w:b/>
                <w:bCs/>
                <w:color w:val="C55A00"/>
                <w:sz w:val="20"/>
                <w:szCs w:val="20"/>
              </w:rPr>
              <w:t>MEDIUM — Specific mechanism differentiates it</w:t>
            </w:r>
          </w:p>
        </w:tc>
      </w:tr>
    </w:tbl>
    <w:p w14:paraId="56652FA1"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8222"/>
      </w:tblGrid>
      <w:tr w:rsidR="00CC2C30" w14:paraId="726C308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00000"/>
            <w:tcMar>
              <w:top w:w="80" w:type="dxa"/>
              <w:left w:w="80" w:type="dxa"/>
              <w:bottom w:w="80" w:type="dxa"/>
              <w:right w:w="80" w:type="dxa"/>
            </w:tcMar>
          </w:tcPr>
          <w:p w14:paraId="02E113B3" w14:textId="77777777" w:rsidR="00CC2C30" w:rsidRDefault="00000000">
            <w:pPr>
              <w:jc w:val="center"/>
            </w:pPr>
            <w:r>
              <w:rPr>
                <w:b/>
                <w:bCs/>
                <w:color w:val="FFFFFF"/>
                <w:sz w:val="20"/>
                <w:szCs w:val="20"/>
              </w:rPr>
              <w:t>WARNING</w:t>
            </w:r>
          </w:p>
        </w:tc>
        <w:tc>
          <w:tcPr>
            <w:tcW w:w="9160" w:type="dxa"/>
            <w:tcBorders>
              <w:top w:val="none" w:sz="0" w:space="0" w:color="FFFFFF"/>
              <w:left w:val="none" w:sz="0" w:space="0" w:color="FFFFFF"/>
              <w:bottom w:val="none" w:sz="0" w:space="0" w:color="FFFFFF"/>
              <w:right w:val="none" w:sz="0" w:space="0" w:color="FFFFFF"/>
            </w:tcBorders>
            <w:shd w:val="clear" w:color="auto" w:fill="FDECEA"/>
            <w:tcMar>
              <w:top w:w="100" w:type="dxa"/>
              <w:left w:w="160" w:type="dxa"/>
              <w:bottom w:w="100" w:type="dxa"/>
              <w:right w:w="120" w:type="dxa"/>
            </w:tcMar>
          </w:tcPr>
          <w:p w14:paraId="0FBD7633" w14:textId="77777777" w:rsidR="00CC2C30" w:rsidRDefault="00000000">
            <w:r>
              <w:rPr>
                <w:color w:val="2C2C2C"/>
                <w:sz w:val="21"/>
                <w:szCs w:val="21"/>
              </w:rPr>
              <w:t xml:space="preserve">Key finding: The proposal’s framing of ‘first use of multi-round client profiling as a security primitive’ (C1) cannot be sustained. AGAT-FL and </w:t>
            </w:r>
            <w:proofErr w:type="spellStart"/>
            <w:r>
              <w:rPr>
                <w:color w:val="2C2C2C"/>
                <w:sz w:val="21"/>
                <w:szCs w:val="21"/>
              </w:rPr>
              <w:t>FedTrust</w:t>
            </w:r>
            <w:proofErr w:type="spellEnd"/>
            <w:r>
              <w:rPr>
                <w:color w:val="2C2C2C"/>
                <w:sz w:val="21"/>
                <w:szCs w:val="21"/>
              </w:rPr>
              <w:t>-Net already do this. Claiming C1 as a primary contribution will result in reviewer rejection citing these papers.</w:t>
            </w:r>
          </w:p>
        </w:tc>
      </w:tr>
    </w:tbl>
    <w:p w14:paraId="3B8ED67B" w14:textId="77777777" w:rsidR="00CC2C30" w:rsidRDefault="00CC2C30"/>
    <w:p w14:paraId="71C6F6EF"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7DAD90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6A35"/>
            <w:tcMar>
              <w:top w:w="120" w:type="dxa"/>
              <w:left w:w="200" w:type="dxa"/>
              <w:bottom w:w="120" w:type="dxa"/>
              <w:right w:w="200" w:type="dxa"/>
            </w:tcMar>
          </w:tcPr>
          <w:p w14:paraId="78FC2F40" w14:textId="77777777" w:rsidR="00CC2C30" w:rsidRDefault="00000000">
            <w:r>
              <w:rPr>
                <w:b/>
                <w:bCs/>
                <w:color w:val="FFFFFF"/>
                <w:sz w:val="26"/>
                <w:szCs w:val="26"/>
              </w:rPr>
              <w:t>SECTION 3 — What Is Genuinely Novel</w:t>
            </w:r>
          </w:p>
        </w:tc>
      </w:tr>
    </w:tbl>
    <w:p w14:paraId="0699E21F" w14:textId="77777777" w:rsidR="00CC2C30" w:rsidRDefault="00CC2C30"/>
    <w:p w14:paraId="58846F4A" w14:textId="77777777" w:rsidR="00CC2C30" w:rsidRDefault="00000000">
      <w:pPr>
        <w:spacing w:before="60" w:after="60"/>
      </w:pPr>
      <w:r>
        <w:rPr>
          <w:color w:val="2C2C2C"/>
        </w:rPr>
        <w:t xml:space="preserve">After searching across IEEE TIFS, IEEE IoT Journal, NDSS, CCS, </w:t>
      </w:r>
      <w:proofErr w:type="spellStart"/>
      <w:r>
        <w:rPr>
          <w:color w:val="2C2C2C"/>
        </w:rPr>
        <w:t>arXiv</w:t>
      </w:r>
      <w:proofErr w:type="spellEnd"/>
      <w:r>
        <w:rPr>
          <w:color w:val="2C2C2C"/>
        </w:rPr>
        <w:t xml:space="preserve"> (2023–2025), the following claims could not be found in existing literature. These are the real contributions the paper should be built around.</w:t>
      </w:r>
    </w:p>
    <w:p w14:paraId="6BAE5447"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4127"/>
        <w:gridCol w:w="752"/>
        <w:gridCol w:w="1895"/>
      </w:tblGrid>
      <w:tr w:rsidR="00CC2C30" w14:paraId="0BBE95E1" w14:textId="77777777">
        <w:tblPrEx>
          <w:tblCellMar>
            <w:top w:w="0" w:type="dxa"/>
            <w:bottom w:w="0" w:type="dxa"/>
          </w:tblCellMar>
        </w:tblPrEx>
        <w:trPr>
          <w:tblHeader/>
        </w:trPr>
        <w:tc>
          <w:tcPr>
            <w:tcW w:w="26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19E4254D" w14:textId="77777777" w:rsidR="00CC2C30" w:rsidRDefault="00000000">
            <w:r>
              <w:rPr>
                <w:b/>
                <w:bCs/>
                <w:color w:val="FFFFFF"/>
                <w:sz w:val="20"/>
                <w:szCs w:val="20"/>
              </w:rPr>
              <w:t>Novel Claim</w:t>
            </w:r>
          </w:p>
        </w:tc>
        <w:tc>
          <w:tcPr>
            <w:tcW w:w="41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6077B80A" w14:textId="77777777" w:rsidR="00CC2C30" w:rsidRDefault="00000000">
            <w:r>
              <w:rPr>
                <w:b/>
                <w:bCs/>
                <w:color w:val="FFFFFF"/>
                <w:sz w:val="20"/>
                <w:szCs w:val="20"/>
              </w:rPr>
              <w:t>Why It Is New</w:t>
            </w:r>
          </w:p>
        </w:tc>
        <w:tc>
          <w:tcPr>
            <w:tcW w:w="7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6BDC32E5" w14:textId="77777777" w:rsidR="00CC2C30" w:rsidRDefault="00000000">
            <w:r>
              <w:rPr>
                <w:b/>
                <w:bCs/>
                <w:color w:val="FFFFFF"/>
                <w:sz w:val="20"/>
                <w:szCs w:val="20"/>
              </w:rPr>
              <w:t>Maps To</w:t>
            </w:r>
          </w:p>
        </w:tc>
        <w:tc>
          <w:tcPr>
            <w:tcW w:w="19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79995E2B" w14:textId="77777777" w:rsidR="00CC2C30" w:rsidRDefault="00000000">
            <w:r>
              <w:rPr>
                <w:b/>
                <w:bCs/>
                <w:color w:val="FFFFFF"/>
                <w:sz w:val="20"/>
                <w:szCs w:val="20"/>
              </w:rPr>
              <w:t>Strength</w:t>
            </w:r>
          </w:p>
        </w:tc>
      </w:tr>
      <w:tr w:rsidR="00CC2C30" w14:paraId="24F86305" w14:textId="77777777">
        <w:tblPrEx>
          <w:tblCellMar>
            <w:top w:w="0" w:type="dxa"/>
            <w:bottom w:w="0" w:type="dxa"/>
          </w:tblCellMar>
        </w:tblPrEx>
        <w:tc>
          <w:tcPr>
            <w:tcW w:w="2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9888EC3" w14:textId="77777777" w:rsidR="00CC2C30" w:rsidRDefault="00000000">
            <w:r>
              <w:rPr>
                <w:color w:val="2C2C2C"/>
                <w:sz w:val="20"/>
                <w:szCs w:val="20"/>
              </w:rPr>
              <w:t>Non-IID Masquerade Attack (NIMA) — formal definition</w:t>
            </w:r>
          </w:p>
        </w:tc>
        <w:tc>
          <w:tcPr>
            <w:tcW w:w="41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6D9A741" w14:textId="77777777" w:rsidR="00CC2C30" w:rsidRDefault="00000000">
            <w:r>
              <w:rPr>
                <w:color w:val="2C2C2C"/>
                <w:sz w:val="20"/>
                <w:szCs w:val="20"/>
              </w:rPr>
              <w:t>No paper formally defines or names adversarial mimicry of non-IID gradient bands as its own attack class. Adaptive adversary papers exist (</w:t>
            </w:r>
            <w:proofErr w:type="spellStart"/>
            <w:r>
              <w:rPr>
                <w:color w:val="2C2C2C"/>
                <w:sz w:val="20"/>
                <w:szCs w:val="20"/>
              </w:rPr>
              <w:t>AutoAdapt</w:t>
            </w:r>
            <w:proofErr w:type="spellEnd"/>
            <w:r>
              <w:rPr>
                <w:color w:val="2C2C2C"/>
                <w:sz w:val="20"/>
                <w:szCs w:val="20"/>
              </w:rPr>
              <w:t>, NDSS 2024) but none frame it as: attacker mimics a specific client’s non-IID gradient band to pass global-threshold filters.</w:t>
            </w:r>
          </w:p>
        </w:tc>
        <w:tc>
          <w:tcPr>
            <w:tcW w:w="7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6F24F58" w14:textId="77777777" w:rsidR="00CC2C30" w:rsidRDefault="00000000">
            <w:r>
              <w:rPr>
                <w:color w:val="2C2C2C"/>
                <w:sz w:val="20"/>
                <w:szCs w:val="20"/>
              </w:rPr>
              <w:t>C2</w:t>
            </w:r>
          </w:p>
        </w:tc>
        <w:tc>
          <w:tcPr>
            <w:tcW w:w="19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68DA97A4" w14:textId="77777777" w:rsidR="00CC2C30" w:rsidRDefault="00000000">
            <w:r>
              <w:rPr>
                <w:b/>
                <w:bCs/>
                <w:color w:val="1D6A35"/>
                <w:sz w:val="20"/>
                <w:szCs w:val="20"/>
              </w:rPr>
              <w:t>STRONG — Primary contribution</w:t>
            </w:r>
          </w:p>
        </w:tc>
      </w:tr>
      <w:tr w:rsidR="00CC2C30" w14:paraId="35EE5BDA" w14:textId="77777777">
        <w:tblPrEx>
          <w:tblCellMar>
            <w:top w:w="0" w:type="dxa"/>
            <w:bottom w:w="0" w:type="dxa"/>
          </w:tblCellMar>
        </w:tblPrEx>
        <w:tc>
          <w:tcPr>
            <w:tcW w:w="26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67FB74A1" w14:textId="77777777" w:rsidR="00CC2C30" w:rsidRDefault="00000000">
            <w:r>
              <w:rPr>
                <w:color w:val="2C2C2C"/>
                <w:sz w:val="20"/>
                <w:szCs w:val="20"/>
              </w:rPr>
              <w:t>Dual-threshold NIMA detection mechanism</w:t>
            </w:r>
          </w:p>
        </w:tc>
        <w:tc>
          <w:tcPr>
            <w:tcW w:w="41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4B63F12" w14:textId="77777777" w:rsidR="00CC2C30" w:rsidRDefault="00000000">
            <w:r>
              <w:rPr>
                <w:color w:val="2C2C2C"/>
                <w:sz w:val="20"/>
                <w:szCs w:val="20"/>
              </w:rPr>
              <w:t xml:space="preserve">The check “update passes global band </w:t>
            </w:r>
            <w:proofErr w:type="spellStart"/>
            <w:r>
              <w:rPr>
                <w:color w:val="2C2C2C"/>
                <w:sz w:val="20"/>
                <w:szCs w:val="20"/>
              </w:rPr>
              <w:t>τ_global</w:t>
            </w:r>
            <w:proofErr w:type="spellEnd"/>
            <w:r>
              <w:rPr>
                <w:color w:val="2C2C2C"/>
                <w:sz w:val="20"/>
                <w:szCs w:val="20"/>
              </w:rPr>
              <w:t xml:space="preserve"> but fails client-specific band </w:t>
            </w:r>
            <w:proofErr w:type="spellStart"/>
            <w:r>
              <w:rPr>
                <w:color w:val="2C2C2C"/>
                <w:sz w:val="20"/>
                <w:szCs w:val="20"/>
              </w:rPr>
              <w:t>τ_i</w:t>
            </w:r>
            <w:proofErr w:type="spellEnd"/>
            <w:r>
              <w:rPr>
                <w:color w:val="2C2C2C"/>
                <w:sz w:val="20"/>
                <w:szCs w:val="20"/>
              </w:rPr>
              <w:t xml:space="preserve">” is not found in any paper. This is the mechanism that makes NIMA </w:t>
            </w:r>
            <w:proofErr w:type="gramStart"/>
            <w:r>
              <w:rPr>
                <w:color w:val="2C2C2C"/>
                <w:sz w:val="20"/>
                <w:szCs w:val="20"/>
              </w:rPr>
              <w:t>detectable</w:t>
            </w:r>
            <w:proofErr w:type="gramEnd"/>
            <w:r>
              <w:rPr>
                <w:color w:val="2C2C2C"/>
                <w:sz w:val="20"/>
                <w:szCs w:val="20"/>
              </w:rPr>
              <w:t xml:space="preserve"> and it requires knowing D̂_</w:t>
            </w:r>
            <w:proofErr w:type="spellStart"/>
            <w:r>
              <w:rPr>
                <w:color w:val="2C2C2C"/>
                <w:sz w:val="20"/>
                <w:szCs w:val="20"/>
              </w:rPr>
              <w:t>i</w:t>
            </w:r>
            <w:proofErr w:type="spellEnd"/>
            <w:r>
              <w:rPr>
                <w:color w:val="2C2C2C"/>
                <w:sz w:val="20"/>
                <w:szCs w:val="20"/>
              </w:rPr>
              <w:t>.</w:t>
            </w:r>
          </w:p>
        </w:tc>
        <w:tc>
          <w:tcPr>
            <w:tcW w:w="7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4E9E75AC" w14:textId="77777777" w:rsidR="00CC2C30" w:rsidRDefault="00000000">
            <w:r>
              <w:rPr>
                <w:color w:val="2C2C2C"/>
                <w:sz w:val="20"/>
                <w:szCs w:val="20"/>
              </w:rPr>
              <w:t>C2 + C3</w:t>
            </w:r>
          </w:p>
        </w:tc>
        <w:tc>
          <w:tcPr>
            <w:tcW w:w="19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3015230C" w14:textId="77777777" w:rsidR="00CC2C30" w:rsidRDefault="00000000">
            <w:r>
              <w:rPr>
                <w:b/>
                <w:bCs/>
                <w:color w:val="1D6A35"/>
                <w:sz w:val="20"/>
                <w:szCs w:val="20"/>
              </w:rPr>
              <w:t>STRONG — Primary contribution</w:t>
            </w:r>
          </w:p>
        </w:tc>
      </w:tr>
      <w:tr w:rsidR="00CC2C30" w14:paraId="0BF2FCE8" w14:textId="77777777">
        <w:tblPrEx>
          <w:tblCellMar>
            <w:top w:w="0" w:type="dxa"/>
            <w:bottom w:w="0" w:type="dxa"/>
          </w:tblCellMar>
        </w:tblPrEx>
        <w:tc>
          <w:tcPr>
            <w:tcW w:w="2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4468188" w14:textId="77777777" w:rsidR="00CC2C30" w:rsidRDefault="00000000">
            <w:r>
              <w:rPr>
                <w:color w:val="2C2C2C"/>
                <w:sz w:val="20"/>
                <w:szCs w:val="20"/>
              </w:rPr>
              <w:lastRenderedPageBreak/>
              <w:t>Per-client threshold conditioned on estimated data distribution D̂_</w:t>
            </w:r>
            <w:proofErr w:type="spellStart"/>
            <w:r>
              <w:rPr>
                <w:color w:val="2C2C2C"/>
                <w:sz w:val="20"/>
                <w:szCs w:val="20"/>
              </w:rPr>
              <w:t>i</w:t>
            </w:r>
            <w:proofErr w:type="spellEnd"/>
          </w:p>
        </w:tc>
        <w:tc>
          <w:tcPr>
            <w:tcW w:w="41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6FE3EEE2" w14:textId="77777777" w:rsidR="00CC2C30" w:rsidRDefault="00000000">
            <w:r>
              <w:rPr>
                <w:color w:val="2C2C2C"/>
                <w:sz w:val="20"/>
                <w:szCs w:val="20"/>
              </w:rPr>
              <w:t>Existing methods use gradient similarity, norms, and history — but none condition the anomaly band on an inferred local data distribution per client. The idea that you estimate D̂_</w:t>
            </w:r>
            <w:proofErr w:type="spellStart"/>
            <w:r>
              <w:rPr>
                <w:color w:val="2C2C2C"/>
                <w:sz w:val="20"/>
                <w:szCs w:val="20"/>
              </w:rPr>
              <w:t>i</w:t>
            </w:r>
            <w:proofErr w:type="spellEnd"/>
            <w:r>
              <w:rPr>
                <w:color w:val="2C2C2C"/>
                <w:sz w:val="20"/>
                <w:szCs w:val="20"/>
              </w:rPr>
              <w:t xml:space="preserve"> from gradient directions and use it to set an expected deviation range is not in AGAT-FL, </w:t>
            </w:r>
            <w:proofErr w:type="spellStart"/>
            <w:r>
              <w:rPr>
                <w:color w:val="2C2C2C"/>
                <w:sz w:val="20"/>
                <w:szCs w:val="20"/>
              </w:rPr>
              <w:t>FedTrust</w:t>
            </w:r>
            <w:proofErr w:type="spellEnd"/>
            <w:r>
              <w:rPr>
                <w:color w:val="2C2C2C"/>
                <w:sz w:val="20"/>
                <w:szCs w:val="20"/>
              </w:rPr>
              <w:t xml:space="preserve">-Net, TAIM, or </w:t>
            </w:r>
            <w:proofErr w:type="spellStart"/>
            <w:r>
              <w:rPr>
                <w:color w:val="2C2C2C"/>
                <w:sz w:val="20"/>
                <w:szCs w:val="20"/>
              </w:rPr>
              <w:t>RaSA</w:t>
            </w:r>
            <w:proofErr w:type="spellEnd"/>
            <w:r>
              <w:rPr>
                <w:color w:val="2C2C2C"/>
                <w:sz w:val="20"/>
                <w:szCs w:val="20"/>
              </w:rPr>
              <w:t>.</w:t>
            </w:r>
          </w:p>
        </w:tc>
        <w:tc>
          <w:tcPr>
            <w:tcW w:w="7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65041F3" w14:textId="77777777" w:rsidR="00CC2C30" w:rsidRDefault="00000000">
            <w:r>
              <w:rPr>
                <w:color w:val="2C2C2C"/>
                <w:sz w:val="20"/>
                <w:szCs w:val="20"/>
              </w:rPr>
              <w:t>C3</w:t>
            </w:r>
          </w:p>
        </w:tc>
        <w:tc>
          <w:tcPr>
            <w:tcW w:w="19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1FFEC5B2" w14:textId="77777777" w:rsidR="00CC2C30" w:rsidRDefault="00000000">
            <w:r>
              <w:rPr>
                <w:b/>
                <w:bCs/>
                <w:color w:val="1D6A35"/>
                <w:sz w:val="20"/>
                <w:szCs w:val="20"/>
              </w:rPr>
              <w:t>STRONG — Core differentiator vs. all baselines</w:t>
            </w:r>
          </w:p>
        </w:tc>
      </w:tr>
      <w:tr w:rsidR="00CC2C30" w14:paraId="478AABA5" w14:textId="77777777">
        <w:tblPrEx>
          <w:tblCellMar>
            <w:top w:w="0" w:type="dxa"/>
            <w:bottom w:w="0" w:type="dxa"/>
          </w:tblCellMar>
        </w:tblPrEx>
        <w:tc>
          <w:tcPr>
            <w:tcW w:w="26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03DD0F73" w14:textId="77777777" w:rsidR="00CC2C30" w:rsidRDefault="00000000">
            <w:r>
              <w:rPr>
                <w:color w:val="2C2C2C"/>
                <w:sz w:val="20"/>
                <w:szCs w:val="20"/>
              </w:rPr>
              <w:t>Resource-tier-aware defense allocation in security context</w:t>
            </w:r>
          </w:p>
        </w:tc>
        <w:tc>
          <w:tcPr>
            <w:tcW w:w="41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52A666F9" w14:textId="77777777" w:rsidR="00CC2C30" w:rsidRDefault="00000000">
            <w:r>
              <w:rPr>
                <w:color w:val="2C2C2C"/>
                <w:sz w:val="20"/>
                <w:szCs w:val="20"/>
              </w:rPr>
              <w:t>A Springer 2026 survey explicitly identifies as an open gap: ‘few frameworks incorporate mechanisms for resource-aware learning or dynamic adaptation based on client-specific constraints for practical deployment.’ Applying resource awareness to the defense mechanism specifically (not just training efficiency) is not done.</w:t>
            </w:r>
          </w:p>
        </w:tc>
        <w:tc>
          <w:tcPr>
            <w:tcW w:w="7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54C94123" w14:textId="77777777" w:rsidR="00CC2C30" w:rsidRDefault="00000000">
            <w:r>
              <w:rPr>
                <w:color w:val="2C2C2C"/>
                <w:sz w:val="20"/>
                <w:szCs w:val="20"/>
              </w:rPr>
              <w:t>C4</w:t>
            </w:r>
          </w:p>
        </w:tc>
        <w:tc>
          <w:tcPr>
            <w:tcW w:w="19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47D4BE05" w14:textId="77777777" w:rsidR="00CC2C30" w:rsidRDefault="00000000">
            <w:r>
              <w:rPr>
                <w:b/>
                <w:bCs/>
                <w:color w:val="1D6A35"/>
                <w:sz w:val="20"/>
                <w:szCs w:val="20"/>
              </w:rPr>
              <w:t>SOLID — Well-supported gap evidence</w:t>
            </w:r>
          </w:p>
        </w:tc>
      </w:tr>
      <w:tr w:rsidR="00CC2C30" w14:paraId="520AF491" w14:textId="77777777">
        <w:tblPrEx>
          <w:tblCellMar>
            <w:top w:w="0" w:type="dxa"/>
            <w:bottom w:w="0" w:type="dxa"/>
          </w:tblCellMar>
        </w:tblPrEx>
        <w:tc>
          <w:tcPr>
            <w:tcW w:w="2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DE7AD03" w14:textId="77777777" w:rsidR="00CC2C30" w:rsidRDefault="00000000">
            <w:r>
              <w:rPr>
                <w:color w:val="2C2C2C"/>
                <w:sz w:val="20"/>
                <w:szCs w:val="20"/>
              </w:rPr>
              <w:t>Joint formal optimization: minimize α·FR + (1-</w:t>
            </w:r>
            <w:proofErr w:type="gramStart"/>
            <w:r>
              <w:rPr>
                <w:color w:val="2C2C2C"/>
                <w:sz w:val="20"/>
                <w:szCs w:val="20"/>
              </w:rPr>
              <w:t>α)·</w:t>
            </w:r>
            <w:proofErr w:type="gramEnd"/>
            <w:r>
              <w:rPr>
                <w:color w:val="2C2C2C"/>
                <w:sz w:val="20"/>
                <w:szCs w:val="20"/>
              </w:rPr>
              <w:t xml:space="preserve">FA subject to </w:t>
            </w:r>
            <w:proofErr w:type="spellStart"/>
            <w:r>
              <w:rPr>
                <w:color w:val="2C2C2C"/>
                <w:sz w:val="20"/>
                <w:szCs w:val="20"/>
              </w:rPr>
              <w:t>Ω_i</w:t>
            </w:r>
            <w:proofErr w:type="spellEnd"/>
            <w:r>
              <w:rPr>
                <w:color w:val="2C2C2C"/>
                <w:sz w:val="20"/>
                <w:szCs w:val="20"/>
              </w:rPr>
              <w:t xml:space="preserve"> ≤ </w:t>
            </w:r>
            <w:proofErr w:type="spellStart"/>
            <w:r>
              <w:rPr>
                <w:color w:val="2C2C2C"/>
                <w:sz w:val="20"/>
                <w:szCs w:val="20"/>
              </w:rPr>
              <w:t>R_i</w:t>
            </w:r>
            <w:proofErr w:type="spellEnd"/>
          </w:p>
        </w:tc>
        <w:tc>
          <w:tcPr>
            <w:tcW w:w="41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BE51E4A" w14:textId="77777777" w:rsidR="00CC2C30" w:rsidRDefault="00000000">
            <w:r>
              <w:rPr>
                <w:color w:val="2C2C2C"/>
                <w:sz w:val="20"/>
                <w:szCs w:val="20"/>
              </w:rPr>
              <w:t>The unified optimization objective jointly capturing both failure modes (false rejection AND false acceptance) under a per-client resource constraint is not formalized this way anywhere in the literature.</w:t>
            </w:r>
          </w:p>
        </w:tc>
        <w:tc>
          <w:tcPr>
            <w:tcW w:w="7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FC7BA54" w14:textId="77777777" w:rsidR="00CC2C30" w:rsidRDefault="00000000">
            <w:r>
              <w:rPr>
                <w:color w:val="2C2C2C"/>
                <w:sz w:val="20"/>
                <w:szCs w:val="20"/>
              </w:rPr>
              <w:t>C5</w:t>
            </w:r>
          </w:p>
        </w:tc>
        <w:tc>
          <w:tcPr>
            <w:tcW w:w="19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7C43D9E4" w14:textId="77777777" w:rsidR="00CC2C30" w:rsidRDefault="00000000">
            <w:r>
              <w:rPr>
                <w:b/>
                <w:bCs/>
                <w:color w:val="1D6A35"/>
                <w:sz w:val="20"/>
                <w:szCs w:val="20"/>
              </w:rPr>
              <w:t>SOLID — Theoretical novelty</w:t>
            </w:r>
          </w:p>
        </w:tc>
      </w:tr>
    </w:tbl>
    <w:p w14:paraId="0955385E" w14:textId="77777777" w:rsidR="00CC2C30" w:rsidRDefault="00CC2C30"/>
    <w:p w14:paraId="256031E3"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5731D5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6"/>
            <w:tcMar>
              <w:top w:w="120" w:type="dxa"/>
              <w:left w:w="200" w:type="dxa"/>
              <w:bottom w:w="120" w:type="dxa"/>
              <w:right w:w="200" w:type="dxa"/>
            </w:tcMar>
          </w:tcPr>
          <w:p w14:paraId="76668CBB" w14:textId="77777777" w:rsidR="00CC2C30" w:rsidRDefault="00000000">
            <w:r>
              <w:rPr>
                <w:b/>
                <w:bCs/>
                <w:color w:val="FFFFFF"/>
                <w:sz w:val="26"/>
                <w:szCs w:val="26"/>
              </w:rPr>
              <w:t>SECTION 4 — Revised Contribution Map</w:t>
            </w:r>
          </w:p>
        </w:tc>
      </w:tr>
    </w:tbl>
    <w:p w14:paraId="2DE2DFBA" w14:textId="77777777" w:rsidR="00CC2C30" w:rsidRDefault="00CC2C30"/>
    <w:p w14:paraId="73ADB164" w14:textId="77777777" w:rsidR="00CC2C30" w:rsidRDefault="00000000">
      <w:pPr>
        <w:spacing w:before="60" w:after="60"/>
      </w:pPr>
      <w:r>
        <w:rPr>
          <w:color w:val="2C2C2C"/>
        </w:rPr>
        <w:t>Based on the literature check, the 5 original CA-</w:t>
      </w:r>
      <w:proofErr w:type="spellStart"/>
      <w:r>
        <w:rPr>
          <w:color w:val="2C2C2C"/>
        </w:rPr>
        <w:t>FedDef</w:t>
      </w:r>
      <w:proofErr w:type="spellEnd"/>
      <w:r>
        <w:rPr>
          <w:color w:val="2C2C2C"/>
        </w:rPr>
        <w:t xml:space="preserve"> contributions should be reframed as follows before submission:</w:t>
      </w:r>
    </w:p>
    <w:p w14:paraId="697B4CD3"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C2C30" w14:paraId="3482632B" w14:textId="77777777">
        <w:tblPrEx>
          <w:tblCellMar>
            <w:top w:w="0" w:type="dxa"/>
            <w:bottom w:w="0" w:type="dxa"/>
          </w:tblCellMar>
        </w:tblPrEx>
        <w:trPr>
          <w:tblHeader/>
        </w:trPr>
        <w:tc>
          <w:tcPr>
            <w:tcW w:w="22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3A3F3277" w14:textId="77777777" w:rsidR="00CC2C30" w:rsidRDefault="00000000">
            <w:r>
              <w:rPr>
                <w:b/>
                <w:bCs/>
                <w:color w:val="FFFFFF"/>
                <w:sz w:val="20"/>
                <w:szCs w:val="20"/>
              </w:rPr>
              <w:t>Original Claim</w:t>
            </w:r>
          </w:p>
        </w:tc>
        <w:tc>
          <w:tcPr>
            <w:tcW w:w="18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257FC3B8" w14:textId="77777777" w:rsidR="00CC2C30" w:rsidRDefault="00000000">
            <w:r>
              <w:rPr>
                <w:b/>
                <w:bCs/>
                <w:color w:val="FFFFFF"/>
                <w:sz w:val="20"/>
                <w:szCs w:val="20"/>
              </w:rPr>
              <w:t>Status</w:t>
            </w:r>
          </w:p>
        </w:tc>
        <w:tc>
          <w:tcPr>
            <w:tcW w:w="53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31841E12" w14:textId="77777777" w:rsidR="00CC2C30" w:rsidRDefault="00000000">
            <w:r>
              <w:rPr>
                <w:b/>
                <w:bCs/>
                <w:color w:val="FFFFFF"/>
                <w:sz w:val="20"/>
                <w:szCs w:val="20"/>
              </w:rPr>
              <w:t>Recommended Reframing</w:t>
            </w:r>
          </w:p>
        </w:tc>
      </w:tr>
      <w:tr w:rsidR="00CC2C30" w14:paraId="4DEDEEFC" w14:textId="77777777">
        <w:tblPrEx>
          <w:tblCellMar>
            <w:top w:w="0" w:type="dxa"/>
            <w:bottom w:w="0" w:type="dxa"/>
          </w:tblCellMar>
        </w:tblPrEx>
        <w:tc>
          <w:tcPr>
            <w:tcW w:w="22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9233F2B" w14:textId="77777777" w:rsidR="00CC2C30" w:rsidRDefault="00000000">
            <w:r>
              <w:rPr>
                <w:color w:val="2C2C2C"/>
                <w:sz w:val="20"/>
                <w:szCs w:val="20"/>
              </w:rPr>
              <w:t>C1: First client profile as security primitive</w:t>
            </w:r>
          </w:p>
        </w:tc>
        <w:tc>
          <w:tcPr>
            <w:tcW w:w="1800" w:type="dxa"/>
            <w:tcBorders>
              <w:top w:val="single" w:sz="1" w:space="0" w:color="BBCDE5"/>
              <w:left w:val="single" w:sz="1" w:space="0" w:color="BBCDE5"/>
              <w:bottom w:val="single" w:sz="1" w:space="0" w:color="BBCDE5"/>
              <w:right w:val="single" w:sz="1" w:space="0" w:color="BBCDE5"/>
            </w:tcBorders>
            <w:shd w:val="clear" w:color="auto" w:fill="FDECEA"/>
            <w:tcMar>
              <w:top w:w="80" w:type="dxa"/>
              <w:left w:w="120" w:type="dxa"/>
              <w:bottom w:w="80" w:type="dxa"/>
              <w:right w:w="120" w:type="dxa"/>
            </w:tcMar>
          </w:tcPr>
          <w:p w14:paraId="283B003B" w14:textId="77777777" w:rsidR="00CC2C30" w:rsidRDefault="00000000">
            <w:r>
              <w:rPr>
                <w:b/>
                <w:bCs/>
                <w:color w:val="C00000"/>
                <w:sz w:val="20"/>
                <w:szCs w:val="20"/>
              </w:rPr>
              <w:t>DROP THIS FRAMING</w:t>
            </w:r>
          </w:p>
        </w:tc>
        <w:tc>
          <w:tcPr>
            <w:tcW w:w="53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A84A654" w14:textId="77777777" w:rsidR="00CC2C30" w:rsidRDefault="00000000">
            <w:r>
              <w:rPr>
                <w:color w:val="2C2C2C"/>
                <w:sz w:val="20"/>
                <w:szCs w:val="20"/>
              </w:rPr>
              <w:t>Reframe as: first profile that incorporates estimated data distribution D̂_</w:t>
            </w:r>
            <w:proofErr w:type="spellStart"/>
            <w:r>
              <w:rPr>
                <w:color w:val="2C2C2C"/>
                <w:sz w:val="20"/>
                <w:szCs w:val="20"/>
              </w:rPr>
              <w:t>i</w:t>
            </w:r>
            <w:proofErr w:type="spellEnd"/>
            <w:r>
              <w:rPr>
                <w:color w:val="2C2C2C"/>
                <w:sz w:val="20"/>
                <w:szCs w:val="20"/>
              </w:rPr>
              <w:t xml:space="preserve"> for anomaly band conditioning. Cite AGAT-FL and </w:t>
            </w:r>
            <w:proofErr w:type="spellStart"/>
            <w:r>
              <w:rPr>
                <w:color w:val="2C2C2C"/>
                <w:sz w:val="20"/>
                <w:szCs w:val="20"/>
              </w:rPr>
              <w:t>FedTrust</w:t>
            </w:r>
            <w:proofErr w:type="spellEnd"/>
            <w:r>
              <w:rPr>
                <w:color w:val="2C2C2C"/>
                <w:sz w:val="20"/>
                <w:szCs w:val="20"/>
              </w:rPr>
              <w:t>-Net for behavioral history. Differentiate via the distribution-estimation mechanism.</w:t>
            </w:r>
          </w:p>
        </w:tc>
      </w:tr>
      <w:tr w:rsidR="00CC2C30" w14:paraId="35A55278" w14:textId="77777777">
        <w:tblPrEx>
          <w:tblCellMar>
            <w:top w:w="0" w:type="dxa"/>
            <w:bottom w:w="0" w:type="dxa"/>
          </w:tblCellMar>
        </w:tblPrEx>
        <w:tc>
          <w:tcPr>
            <w:tcW w:w="22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BF606CC" w14:textId="77777777" w:rsidR="00CC2C30" w:rsidRDefault="00000000">
            <w:r>
              <w:rPr>
                <w:color w:val="2C2C2C"/>
                <w:sz w:val="20"/>
                <w:szCs w:val="20"/>
              </w:rPr>
              <w:t xml:space="preserve">C2: NIMA </w:t>
            </w:r>
            <w:proofErr w:type="spellStart"/>
            <w:r>
              <w:rPr>
                <w:color w:val="2C2C2C"/>
                <w:sz w:val="20"/>
                <w:szCs w:val="20"/>
              </w:rPr>
              <w:t>formalisation</w:t>
            </w:r>
            <w:proofErr w:type="spellEnd"/>
          </w:p>
        </w:tc>
        <w:tc>
          <w:tcPr>
            <w:tcW w:w="18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686FA45C" w14:textId="77777777" w:rsidR="00CC2C30" w:rsidRDefault="00000000">
            <w:r>
              <w:rPr>
                <w:b/>
                <w:bCs/>
                <w:color w:val="1D6A35"/>
                <w:sz w:val="20"/>
                <w:szCs w:val="20"/>
              </w:rPr>
              <w:t>KEEP — primary contribution</w:t>
            </w:r>
          </w:p>
        </w:tc>
        <w:tc>
          <w:tcPr>
            <w:tcW w:w="53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1E015EFA" w14:textId="77777777" w:rsidR="00CC2C30" w:rsidRDefault="00000000">
            <w:r>
              <w:rPr>
                <w:color w:val="2C2C2C"/>
                <w:sz w:val="20"/>
                <w:szCs w:val="20"/>
              </w:rPr>
              <w:t>Elevate NIMA to the centerpiece of the paper. All other components should be presented as serving NIMA detection. This is the contribution that makes the paper publishable.</w:t>
            </w:r>
          </w:p>
        </w:tc>
      </w:tr>
      <w:tr w:rsidR="00CC2C30" w14:paraId="7F51D671" w14:textId="77777777">
        <w:tblPrEx>
          <w:tblCellMar>
            <w:top w:w="0" w:type="dxa"/>
            <w:bottom w:w="0" w:type="dxa"/>
          </w:tblCellMar>
        </w:tblPrEx>
        <w:tc>
          <w:tcPr>
            <w:tcW w:w="22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259A188" w14:textId="77777777" w:rsidR="00CC2C30" w:rsidRDefault="00000000">
            <w:r>
              <w:rPr>
                <w:color w:val="2C2C2C"/>
                <w:sz w:val="20"/>
                <w:szCs w:val="20"/>
              </w:rPr>
              <w:t xml:space="preserve">C3: Per-client threshold </w:t>
            </w:r>
            <w:proofErr w:type="spellStart"/>
            <w:r>
              <w:rPr>
                <w:color w:val="2C2C2C"/>
                <w:sz w:val="20"/>
                <w:szCs w:val="20"/>
              </w:rPr>
              <w:t>τ_i</w:t>
            </w:r>
            <w:proofErr w:type="spellEnd"/>
          </w:p>
        </w:tc>
        <w:tc>
          <w:tcPr>
            <w:tcW w:w="18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6396B360" w14:textId="77777777" w:rsidR="00CC2C30" w:rsidRDefault="00000000">
            <w:r>
              <w:rPr>
                <w:b/>
                <w:bCs/>
                <w:color w:val="1D6A35"/>
                <w:sz w:val="20"/>
                <w:szCs w:val="20"/>
              </w:rPr>
              <w:t>KEEP — reframe precisely</w:t>
            </w:r>
          </w:p>
        </w:tc>
        <w:tc>
          <w:tcPr>
            <w:tcW w:w="53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76C42F7" w14:textId="77777777" w:rsidR="00CC2C30" w:rsidRDefault="00000000">
            <w:r>
              <w:rPr>
                <w:color w:val="2C2C2C"/>
                <w:sz w:val="20"/>
                <w:szCs w:val="20"/>
              </w:rPr>
              <w:t>The novelty is the D̂_</w:t>
            </w:r>
            <w:proofErr w:type="spellStart"/>
            <w:r>
              <w:rPr>
                <w:color w:val="2C2C2C"/>
                <w:sz w:val="20"/>
                <w:szCs w:val="20"/>
              </w:rPr>
              <w:t>i</w:t>
            </w:r>
            <w:proofErr w:type="spellEnd"/>
            <w:r>
              <w:rPr>
                <w:color w:val="2C2C2C"/>
                <w:sz w:val="20"/>
                <w:szCs w:val="20"/>
              </w:rPr>
              <w:t>-conditioned expected band, not adaptive threshold in general. Be explicit: prior work adapts thresholds per gradient statistics; this work conditions on estimated data distribution.</w:t>
            </w:r>
          </w:p>
        </w:tc>
      </w:tr>
      <w:tr w:rsidR="00CC2C30" w14:paraId="75FAE1C9" w14:textId="77777777">
        <w:tblPrEx>
          <w:tblCellMar>
            <w:top w:w="0" w:type="dxa"/>
            <w:bottom w:w="0" w:type="dxa"/>
          </w:tblCellMar>
        </w:tblPrEx>
        <w:tc>
          <w:tcPr>
            <w:tcW w:w="22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019CAFA8" w14:textId="77777777" w:rsidR="00CC2C30" w:rsidRDefault="00000000">
            <w:r>
              <w:rPr>
                <w:color w:val="2C2C2C"/>
                <w:sz w:val="20"/>
                <w:szCs w:val="20"/>
              </w:rPr>
              <w:t>C4: Resource-feasible defense allocation</w:t>
            </w:r>
          </w:p>
        </w:tc>
        <w:tc>
          <w:tcPr>
            <w:tcW w:w="18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730B6438" w14:textId="77777777" w:rsidR="00CC2C30" w:rsidRDefault="00000000">
            <w:r>
              <w:rPr>
                <w:b/>
                <w:bCs/>
                <w:color w:val="1D6A35"/>
                <w:sz w:val="20"/>
                <w:szCs w:val="20"/>
              </w:rPr>
              <w:t>KEEP — strengthen with gap evidence</w:t>
            </w:r>
          </w:p>
        </w:tc>
        <w:tc>
          <w:tcPr>
            <w:tcW w:w="53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1710AE49" w14:textId="77777777" w:rsidR="00CC2C30" w:rsidRDefault="00000000">
            <w:r>
              <w:rPr>
                <w:color w:val="2C2C2C"/>
                <w:sz w:val="20"/>
                <w:szCs w:val="20"/>
              </w:rPr>
              <w:t>Cite the Springer 2026 survey explicitly as evidence this gap exists. Frame as: first defense that calibrates security overhead to client resource tier (not just training efficiency).</w:t>
            </w:r>
          </w:p>
        </w:tc>
      </w:tr>
      <w:tr w:rsidR="00CC2C30" w14:paraId="388D5F42" w14:textId="77777777">
        <w:tblPrEx>
          <w:tblCellMar>
            <w:top w:w="0" w:type="dxa"/>
            <w:bottom w:w="0" w:type="dxa"/>
          </w:tblCellMar>
        </w:tblPrEx>
        <w:tc>
          <w:tcPr>
            <w:tcW w:w="22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4B4CFDC" w14:textId="77777777" w:rsidR="00CC2C30" w:rsidRDefault="00000000">
            <w:r>
              <w:rPr>
                <w:color w:val="2C2C2C"/>
                <w:sz w:val="20"/>
                <w:szCs w:val="20"/>
              </w:rPr>
              <w:lastRenderedPageBreak/>
              <w:t>C5: Theoretical convergence + robustness bounds</w:t>
            </w:r>
          </w:p>
        </w:tc>
        <w:tc>
          <w:tcPr>
            <w:tcW w:w="1800" w:type="dxa"/>
            <w:tcBorders>
              <w:top w:val="single" w:sz="1" w:space="0" w:color="BBCDE5"/>
              <w:left w:val="single" w:sz="1" w:space="0" w:color="BBCDE5"/>
              <w:bottom w:val="single" w:sz="1" w:space="0" w:color="BBCDE5"/>
              <w:right w:val="single" w:sz="1" w:space="0" w:color="BBCDE5"/>
            </w:tcBorders>
            <w:shd w:val="clear" w:color="auto" w:fill="E7F4EC"/>
            <w:tcMar>
              <w:top w:w="80" w:type="dxa"/>
              <w:left w:w="120" w:type="dxa"/>
              <w:bottom w:w="80" w:type="dxa"/>
              <w:right w:w="120" w:type="dxa"/>
            </w:tcMar>
          </w:tcPr>
          <w:p w14:paraId="1796FDB8" w14:textId="77777777" w:rsidR="00CC2C30" w:rsidRDefault="00000000">
            <w:r>
              <w:rPr>
                <w:b/>
                <w:bCs/>
                <w:color w:val="1D6A35"/>
                <w:sz w:val="20"/>
                <w:szCs w:val="20"/>
              </w:rPr>
              <w:t>KEEP — essential for TIFS</w:t>
            </w:r>
          </w:p>
        </w:tc>
        <w:tc>
          <w:tcPr>
            <w:tcW w:w="53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6904AAC" w14:textId="77777777" w:rsidR="00CC2C30" w:rsidRDefault="00000000">
            <w:r>
              <w:rPr>
                <w:color w:val="2C2C2C"/>
                <w:sz w:val="20"/>
                <w:szCs w:val="20"/>
              </w:rPr>
              <w:t>TIFS expects formal guarantees. The joint FR+FA optimization under resource constraint formulation is novel. This is required to differentiate from empirical-only IoT security papers.</w:t>
            </w:r>
          </w:p>
        </w:tc>
      </w:tr>
    </w:tbl>
    <w:p w14:paraId="228C385A" w14:textId="77777777" w:rsidR="00CC2C30" w:rsidRDefault="00CC2C30"/>
    <w:p w14:paraId="785A9235"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592160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45A80054" w14:textId="77777777" w:rsidR="00CC2C30" w:rsidRDefault="00000000">
            <w:r>
              <w:rPr>
                <w:b/>
                <w:bCs/>
                <w:color w:val="FFFFFF"/>
                <w:sz w:val="26"/>
                <w:szCs w:val="26"/>
              </w:rPr>
              <w:t>SECTION 5 — Three Recommended Paths Forward</w:t>
            </w:r>
          </w:p>
        </w:tc>
      </w:tr>
    </w:tbl>
    <w:p w14:paraId="708A3FA1" w14:textId="77777777" w:rsidR="00CC2C30" w:rsidRDefault="00CC2C30"/>
    <w:p w14:paraId="02B7EA12" w14:textId="77777777" w:rsidR="00CC2C30" w:rsidRDefault="00000000">
      <w:pPr>
        <w:spacing w:before="180" w:after="80"/>
      </w:pPr>
      <w:r>
        <w:rPr>
          <w:b/>
          <w:bCs/>
          <w:color w:val="1D6A35"/>
          <w:sz w:val="24"/>
          <w:szCs w:val="24"/>
        </w:rPr>
        <w:t>Path A — Trim CA-</w:t>
      </w:r>
      <w:proofErr w:type="spellStart"/>
      <w:r>
        <w:rPr>
          <w:b/>
          <w:bCs/>
          <w:color w:val="1D6A35"/>
          <w:sz w:val="24"/>
          <w:szCs w:val="24"/>
        </w:rPr>
        <w:t>FedDef</w:t>
      </w:r>
      <w:proofErr w:type="spellEnd"/>
      <w:r>
        <w:rPr>
          <w:b/>
          <w:bCs/>
          <w:color w:val="1D6A35"/>
          <w:sz w:val="24"/>
          <w:szCs w:val="24"/>
        </w:rPr>
        <w:t xml:space="preserve"> and rebuild around </w:t>
      </w:r>
      <w:proofErr w:type="gramStart"/>
      <w:r>
        <w:rPr>
          <w:b/>
          <w:bCs/>
          <w:color w:val="1D6A35"/>
          <w:sz w:val="24"/>
          <w:szCs w:val="24"/>
        </w:rPr>
        <w:t>NIMA  [</w:t>
      </w:r>
      <w:proofErr w:type="gramEnd"/>
      <w:r>
        <w:rPr>
          <w:b/>
          <w:bCs/>
          <w:color w:val="1D6A35"/>
          <w:sz w:val="24"/>
          <w:szCs w:val="24"/>
        </w:rPr>
        <w:t>Recommended]</w:t>
      </w:r>
    </w:p>
    <w:p w14:paraId="649B5B46" w14:textId="77777777" w:rsidR="00CC2C30" w:rsidRDefault="00000000">
      <w:pPr>
        <w:spacing w:before="60" w:after="60"/>
      </w:pPr>
      <w:r>
        <w:rPr>
          <w:color w:val="2C2C2C"/>
        </w:rPr>
        <w:t>Keep the CA-</w:t>
      </w:r>
      <w:proofErr w:type="spellStart"/>
      <w:r>
        <w:rPr>
          <w:color w:val="2C2C2C"/>
        </w:rPr>
        <w:t>FedDef</w:t>
      </w:r>
      <w:proofErr w:type="spellEnd"/>
      <w:r>
        <w:rPr>
          <w:color w:val="2C2C2C"/>
        </w:rPr>
        <w:t xml:space="preserve"> architecture but restructure the paper so NIMA and D̂_</w:t>
      </w:r>
      <w:proofErr w:type="spellStart"/>
      <w:r>
        <w:rPr>
          <w:color w:val="2C2C2C"/>
        </w:rPr>
        <w:t>i</w:t>
      </w:r>
      <w:proofErr w:type="spellEnd"/>
      <w:r>
        <w:rPr>
          <w:color w:val="2C2C2C"/>
        </w:rPr>
        <w:t xml:space="preserve">-conditioned detection are the two headline contributions. Drop overclaiming on Hᵢ and client profiling in general. Cite AGAT-FL and </w:t>
      </w:r>
      <w:proofErr w:type="spellStart"/>
      <w:r>
        <w:rPr>
          <w:color w:val="2C2C2C"/>
        </w:rPr>
        <w:t>FedTrust</w:t>
      </w:r>
      <w:proofErr w:type="spellEnd"/>
      <w:r>
        <w:rPr>
          <w:color w:val="2C2C2C"/>
        </w:rPr>
        <w:t>-Net honestly as related work.</w:t>
      </w:r>
    </w:p>
    <w:p w14:paraId="3709891D"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2C30" w14:paraId="042FCDAC" w14:textId="77777777">
        <w:tblPrEx>
          <w:tblCellMar>
            <w:top w:w="0" w:type="dxa"/>
            <w:bottom w:w="0" w:type="dxa"/>
          </w:tblCellMar>
        </w:tblPrEx>
        <w:trPr>
          <w:tblHeader/>
        </w:trPr>
        <w:tc>
          <w:tcPr>
            <w:tcW w:w="24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03DDF19C" w14:textId="77777777" w:rsidR="00CC2C30" w:rsidRDefault="00000000">
            <w:r>
              <w:rPr>
                <w:b/>
                <w:bCs/>
                <w:color w:val="FFFFFF"/>
                <w:sz w:val="20"/>
                <w:szCs w:val="20"/>
              </w:rPr>
              <w:t>Aspect</w:t>
            </w:r>
          </w:p>
        </w:tc>
        <w:tc>
          <w:tcPr>
            <w:tcW w:w="69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748A9981" w14:textId="77777777" w:rsidR="00CC2C30" w:rsidRDefault="00000000">
            <w:r>
              <w:rPr>
                <w:b/>
                <w:bCs/>
                <w:color w:val="FFFFFF"/>
                <w:sz w:val="20"/>
                <w:szCs w:val="20"/>
              </w:rPr>
              <w:t>Detail</w:t>
            </w:r>
          </w:p>
        </w:tc>
      </w:tr>
      <w:tr w:rsidR="00CC2C30" w14:paraId="30025916"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8F1F0DD" w14:textId="77777777" w:rsidR="00CC2C30" w:rsidRDefault="00000000">
            <w:r>
              <w:rPr>
                <w:color w:val="2C2C2C"/>
                <w:sz w:val="20"/>
                <w:szCs w:val="20"/>
              </w:rPr>
              <w:t>Target venue</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4B21CA9" w14:textId="77777777" w:rsidR="00CC2C30" w:rsidRDefault="00000000">
            <w:r>
              <w:rPr>
                <w:color w:val="2C2C2C"/>
                <w:sz w:val="20"/>
                <w:szCs w:val="20"/>
              </w:rPr>
              <w:t>IEEE TIFS (Q1) — as planned</w:t>
            </w:r>
          </w:p>
        </w:tc>
      </w:tr>
      <w:tr w:rsidR="00CC2C30" w14:paraId="71CB395D"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652064BA" w14:textId="77777777" w:rsidR="00CC2C30" w:rsidRDefault="00000000">
            <w:r>
              <w:rPr>
                <w:color w:val="2C2C2C"/>
                <w:sz w:val="20"/>
                <w:szCs w:val="20"/>
              </w:rPr>
              <w:t>Primary dataset</w:t>
            </w:r>
          </w:p>
        </w:tc>
        <w:tc>
          <w:tcPr>
            <w:tcW w:w="69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26C51534" w14:textId="77777777" w:rsidR="00CC2C30" w:rsidRDefault="00000000">
            <w:r>
              <w:rPr>
                <w:color w:val="2C2C2C"/>
                <w:sz w:val="20"/>
                <w:szCs w:val="20"/>
              </w:rPr>
              <w:t>CICIoT2023 (not IoT-DIAD 2024 — task alignment is critical)</w:t>
            </w:r>
          </w:p>
        </w:tc>
      </w:tr>
      <w:tr w:rsidR="00CC2C30" w14:paraId="7A93DEAA"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C649DF2" w14:textId="77777777" w:rsidR="00CC2C30" w:rsidRDefault="00000000">
            <w:r>
              <w:rPr>
                <w:color w:val="2C2C2C"/>
                <w:sz w:val="20"/>
                <w:szCs w:val="20"/>
              </w:rPr>
              <w:t>Core claim</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5B0C1BD0" w14:textId="77777777" w:rsidR="00CC2C30" w:rsidRDefault="00000000">
            <w:r>
              <w:rPr>
                <w:color w:val="2C2C2C"/>
                <w:sz w:val="20"/>
                <w:szCs w:val="20"/>
              </w:rPr>
              <w:t>NIMA is a new attack class; D̂_</w:t>
            </w:r>
            <w:proofErr w:type="spellStart"/>
            <w:r>
              <w:rPr>
                <w:color w:val="2C2C2C"/>
                <w:sz w:val="20"/>
                <w:szCs w:val="20"/>
              </w:rPr>
              <w:t>i</w:t>
            </w:r>
            <w:proofErr w:type="spellEnd"/>
            <w:r>
              <w:rPr>
                <w:color w:val="2C2C2C"/>
                <w:sz w:val="20"/>
                <w:szCs w:val="20"/>
              </w:rPr>
              <w:t>-conditioned detection is the only mechanism that catches it</w:t>
            </w:r>
          </w:p>
        </w:tc>
      </w:tr>
      <w:tr w:rsidR="00CC2C30" w14:paraId="61BFA543"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15D21360" w14:textId="77777777" w:rsidR="00CC2C30" w:rsidRDefault="00000000">
            <w:r>
              <w:rPr>
                <w:color w:val="2C2C2C"/>
                <w:sz w:val="20"/>
                <w:szCs w:val="20"/>
              </w:rPr>
              <w:t>Supporting claims</w:t>
            </w:r>
          </w:p>
        </w:tc>
        <w:tc>
          <w:tcPr>
            <w:tcW w:w="69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73E07D7" w14:textId="77777777" w:rsidR="00CC2C30" w:rsidRDefault="00000000">
            <w:r>
              <w:rPr>
                <w:color w:val="2C2C2C"/>
                <w:sz w:val="20"/>
                <w:szCs w:val="20"/>
              </w:rPr>
              <w:t>C4 (resource-tier defense) and C5 (formal bounds) as secondary contributions</w:t>
            </w:r>
          </w:p>
        </w:tc>
      </w:tr>
      <w:tr w:rsidR="00CC2C30" w14:paraId="131522D6"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033D33C" w14:textId="77777777" w:rsidR="00CC2C30" w:rsidRDefault="00000000">
            <w:r>
              <w:rPr>
                <w:color w:val="2C2C2C"/>
                <w:sz w:val="20"/>
                <w:szCs w:val="20"/>
              </w:rPr>
              <w:t>What to drop</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F3B5ABF" w14:textId="77777777" w:rsidR="00CC2C30" w:rsidRDefault="00000000">
            <w:r>
              <w:rPr>
                <w:color w:val="2C2C2C"/>
                <w:sz w:val="20"/>
                <w:szCs w:val="20"/>
              </w:rPr>
              <w:t>C1 framing as ‘first client profile for security’ — already done</w:t>
            </w:r>
          </w:p>
        </w:tc>
      </w:tr>
      <w:tr w:rsidR="00CC2C30" w14:paraId="26C74D06"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2CE6303A" w14:textId="77777777" w:rsidR="00CC2C30" w:rsidRDefault="00000000">
            <w:r>
              <w:rPr>
                <w:color w:val="2C2C2C"/>
                <w:sz w:val="20"/>
                <w:szCs w:val="20"/>
              </w:rPr>
              <w:t>Realistic timeline</w:t>
            </w:r>
          </w:p>
        </w:tc>
        <w:tc>
          <w:tcPr>
            <w:tcW w:w="69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15D4FBA9" w14:textId="77777777" w:rsidR="00CC2C30" w:rsidRDefault="00000000">
            <w:r>
              <w:rPr>
                <w:color w:val="2C2C2C"/>
                <w:sz w:val="20"/>
                <w:szCs w:val="20"/>
              </w:rPr>
              <w:t>12–18 months for a first PhD student with active mentor co-implementation</w:t>
            </w:r>
          </w:p>
        </w:tc>
      </w:tr>
    </w:tbl>
    <w:p w14:paraId="46E2B5B9" w14:textId="77777777" w:rsidR="00CC2C30" w:rsidRDefault="00CC2C30"/>
    <w:p w14:paraId="02624C2F" w14:textId="77777777" w:rsidR="00CC2C30" w:rsidRDefault="00000000">
      <w:pPr>
        <w:spacing w:before="180" w:after="80"/>
      </w:pPr>
      <w:r>
        <w:rPr>
          <w:b/>
          <w:bCs/>
          <w:color w:val="C55A00"/>
          <w:sz w:val="24"/>
          <w:szCs w:val="24"/>
        </w:rPr>
        <w:t xml:space="preserve">Path B — Return to the original Gap 3 </w:t>
      </w:r>
      <w:proofErr w:type="gramStart"/>
      <w:r>
        <w:rPr>
          <w:b/>
          <w:bCs/>
          <w:color w:val="C55A00"/>
          <w:sz w:val="24"/>
          <w:szCs w:val="24"/>
        </w:rPr>
        <w:t>scope  [</w:t>
      </w:r>
      <w:proofErr w:type="gramEnd"/>
      <w:r>
        <w:rPr>
          <w:b/>
          <w:bCs/>
          <w:color w:val="C55A00"/>
          <w:sz w:val="24"/>
          <w:szCs w:val="24"/>
        </w:rPr>
        <w:t>Safer for first paper]</w:t>
      </w:r>
    </w:p>
    <w:p w14:paraId="10114F9D" w14:textId="77777777" w:rsidR="00CC2C30" w:rsidRDefault="00000000">
      <w:pPr>
        <w:spacing w:before="60" w:after="60"/>
      </w:pPr>
      <w:r>
        <w:rPr>
          <w:color w:val="2C2C2C"/>
        </w:rPr>
        <w:t>Execute the original Gap 3 idea as a clean empirical study: personalized vs. uniform adversarial defense in heterogeneous FL-IDS. No need to invent NIMA or prove convergence bounds. Use CICIoT2023 + Edge-</w:t>
      </w:r>
      <w:proofErr w:type="spellStart"/>
      <w:r>
        <w:rPr>
          <w:color w:val="2C2C2C"/>
        </w:rPr>
        <w:t>IIoTset</w:t>
      </w:r>
      <w:proofErr w:type="spellEnd"/>
      <w:r>
        <w:rPr>
          <w:color w:val="2C2C2C"/>
        </w:rPr>
        <w:t>.</w:t>
      </w:r>
    </w:p>
    <w:p w14:paraId="0327F7C8"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2C30" w14:paraId="00C43661" w14:textId="77777777">
        <w:tblPrEx>
          <w:tblCellMar>
            <w:top w:w="0" w:type="dxa"/>
            <w:bottom w:w="0" w:type="dxa"/>
          </w:tblCellMar>
        </w:tblPrEx>
        <w:trPr>
          <w:tblHeader/>
        </w:trPr>
        <w:tc>
          <w:tcPr>
            <w:tcW w:w="24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2F59718C" w14:textId="77777777" w:rsidR="00CC2C30" w:rsidRDefault="00000000">
            <w:r>
              <w:rPr>
                <w:b/>
                <w:bCs/>
                <w:color w:val="FFFFFF"/>
                <w:sz w:val="20"/>
                <w:szCs w:val="20"/>
              </w:rPr>
              <w:t>Aspect</w:t>
            </w:r>
          </w:p>
        </w:tc>
        <w:tc>
          <w:tcPr>
            <w:tcW w:w="69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1565E30D" w14:textId="77777777" w:rsidR="00CC2C30" w:rsidRDefault="00000000">
            <w:r>
              <w:rPr>
                <w:b/>
                <w:bCs/>
                <w:color w:val="FFFFFF"/>
                <w:sz w:val="20"/>
                <w:szCs w:val="20"/>
              </w:rPr>
              <w:t>Detail</w:t>
            </w:r>
          </w:p>
        </w:tc>
      </w:tr>
      <w:tr w:rsidR="00CC2C30" w14:paraId="5A03F539"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266D3C0" w14:textId="77777777" w:rsidR="00CC2C30" w:rsidRDefault="00000000">
            <w:r>
              <w:rPr>
                <w:color w:val="2C2C2C"/>
                <w:sz w:val="20"/>
                <w:szCs w:val="20"/>
              </w:rPr>
              <w:t>Target venue</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DD61C2E" w14:textId="77777777" w:rsidR="00CC2C30" w:rsidRDefault="00000000">
            <w:r>
              <w:rPr>
                <w:color w:val="2C2C2C"/>
                <w:sz w:val="20"/>
                <w:szCs w:val="20"/>
              </w:rPr>
              <w:t>IEEE Access or IEEE IoT Journal — realistic and publishable</w:t>
            </w:r>
          </w:p>
        </w:tc>
      </w:tr>
      <w:tr w:rsidR="00CC2C30" w14:paraId="2462D5C3"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64E37B80" w14:textId="77777777" w:rsidR="00CC2C30" w:rsidRDefault="00000000">
            <w:r>
              <w:rPr>
                <w:color w:val="2C2C2C"/>
                <w:sz w:val="20"/>
                <w:szCs w:val="20"/>
              </w:rPr>
              <w:t>Scope</w:t>
            </w:r>
          </w:p>
        </w:tc>
        <w:tc>
          <w:tcPr>
            <w:tcW w:w="69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0605B7A5" w14:textId="77777777" w:rsidR="00CC2C30" w:rsidRDefault="00000000">
            <w:r>
              <w:rPr>
                <w:color w:val="2C2C2C"/>
                <w:sz w:val="20"/>
                <w:szCs w:val="20"/>
              </w:rPr>
              <w:t>Compare Krum/</w:t>
            </w:r>
            <w:proofErr w:type="spellStart"/>
            <w:r>
              <w:rPr>
                <w:color w:val="2C2C2C"/>
                <w:sz w:val="20"/>
                <w:szCs w:val="20"/>
              </w:rPr>
              <w:t>FLTrust</w:t>
            </w:r>
            <w:proofErr w:type="spellEnd"/>
            <w:r>
              <w:rPr>
                <w:color w:val="2C2C2C"/>
                <w:sz w:val="20"/>
                <w:szCs w:val="20"/>
              </w:rPr>
              <w:t xml:space="preserve"> (uniform) vs. tiered lightweight defense across client types</w:t>
            </w:r>
          </w:p>
        </w:tc>
      </w:tr>
      <w:tr w:rsidR="00CC2C30" w14:paraId="30A65B34"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EAF62BE" w14:textId="77777777" w:rsidR="00CC2C30" w:rsidRDefault="00000000">
            <w:r>
              <w:rPr>
                <w:color w:val="2C2C2C"/>
                <w:sz w:val="20"/>
                <w:szCs w:val="20"/>
              </w:rPr>
              <w:t>Advantage</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96C091D" w14:textId="77777777" w:rsidR="00CC2C30" w:rsidRDefault="00000000">
            <w:r>
              <w:rPr>
                <w:color w:val="2C2C2C"/>
                <w:sz w:val="20"/>
                <w:szCs w:val="20"/>
              </w:rPr>
              <w:t>Fully within first-semester student capability; clear experimental design</w:t>
            </w:r>
          </w:p>
        </w:tc>
      </w:tr>
      <w:tr w:rsidR="00CC2C30" w14:paraId="62BAC44F"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7905A02C" w14:textId="77777777" w:rsidR="00CC2C30" w:rsidRDefault="00000000">
            <w:r>
              <w:rPr>
                <w:color w:val="2C2C2C"/>
                <w:sz w:val="20"/>
                <w:szCs w:val="20"/>
              </w:rPr>
              <w:t>Disadvantage</w:t>
            </w:r>
          </w:p>
        </w:tc>
        <w:tc>
          <w:tcPr>
            <w:tcW w:w="69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67DEA05B" w14:textId="77777777" w:rsidR="00CC2C30" w:rsidRDefault="00000000">
            <w:r>
              <w:rPr>
                <w:color w:val="2C2C2C"/>
                <w:sz w:val="20"/>
                <w:szCs w:val="20"/>
              </w:rPr>
              <w:t>Not TIFS; lower impact than CA-</w:t>
            </w:r>
            <w:proofErr w:type="spellStart"/>
            <w:r>
              <w:rPr>
                <w:color w:val="2C2C2C"/>
                <w:sz w:val="20"/>
                <w:szCs w:val="20"/>
              </w:rPr>
              <w:t>FedDef</w:t>
            </w:r>
            <w:proofErr w:type="spellEnd"/>
            <w:r>
              <w:rPr>
                <w:color w:val="2C2C2C"/>
                <w:sz w:val="20"/>
                <w:szCs w:val="20"/>
              </w:rPr>
              <w:t xml:space="preserve"> if executed well</w:t>
            </w:r>
          </w:p>
        </w:tc>
      </w:tr>
      <w:tr w:rsidR="00CC2C30" w14:paraId="6EC4C6BF"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209F134" w14:textId="77777777" w:rsidR="00CC2C30" w:rsidRDefault="00000000">
            <w:r>
              <w:rPr>
                <w:color w:val="2C2C2C"/>
                <w:sz w:val="20"/>
                <w:szCs w:val="20"/>
              </w:rPr>
              <w:t>Realistic timeline</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2771DF3" w14:textId="77777777" w:rsidR="00CC2C30" w:rsidRDefault="00000000">
            <w:r>
              <w:rPr>
                <w:color w:val="2C2C2C"/>
                <w:sz w:val="20"/>
                <w:szCs w:val="20"/>
              </w:rPr>
              <w:t>6–9 months</w:t>
            </w:r>
          </w:p>
        </w:tc>
      </w:tr>
    </w:tbl>
    <w:p w14:paraId="0E097491" w14:textId="77777777" w:rsidR="00CC2C30" w:rsidRDefault="00CC2C30"/>
    <w:p w14:paraId="1BC996CD" w14:textId="77777777" w:rsidR="00CC2C30" w:rsidRDefault="00000000">
      <w:pPr>
        <w:spacing w:before="180" w:after="80"/>
      </w:pPr>
      <w:r>
        <w:rPr>
          <w:b/>
          <w:bCs/>
          <w:color w:val="C00000"/>
          <w:sz w:val="24"/>
          <w:szCs w:val="24"/>
        </w:rPr>
        <w:t>Path C — Implement full CA-</w:t>
      </w:r>
      <w:proofErr w:type="spellStart"/>
      <w:r>
        <w:rPr>
          <w:b/>
          <w:bCs/>
          <w:color w:val="C00000"/>
          <w:sz w:val="24"/>
          <w:szCs w:val="24"/>
        </w:rPr>
        <w:t>FedDef</w:t>
      </w:r>
      <w:proofErr w:type="spellEnd"/>
      <w:r>
        <w:rPr>
          <w:b/>
          <w:bCs/>
          <w:color w:val="C00000"/>
          <w:sz w:val="24"/>
          <w:szCs w:val="24"/>
        </w:rPr>
        <w:t xml:space="preserve"> as-</w:t>
      </w:r>
      <w:proofErr w:type="gramStart"/>
      <w:r>
        <w:rPr>
          <w:b/>
          <w:bCs/>
          <w:color w:val="C00000"/>
          <w:sz w:val="24"/>
          <w:szCs w:val="24"/>
        </w:rPr>
        <w:t>is  [</w:t>
      </w:r>
      <w:proofErr w:type="gramEnd"/>
      <w:r>
        <w:rPr>
          <w:b/>
          <w:bCs/>
          <w:color w:val="C00000"/>
          <w:sz w:val="24"/>
          <w:szCs w:val="24"/>
        </w:rPr>
        <w:t>High risk]</w:t>
      </w:r>
    </w:p>
    <w:p w14:paraId="1FAAEBD3" w14:textId="77777777" w:rsidR="00CC2C30" w:rsidRDefault="00000000">
      <w:pPr>
        <w:spacing w:before="60" w:after="60"/>
      </w:pPr>
      <w:r>
        <w:rPr>
          <w:color w:val="2C2C2C"/>
        </w:rPr>
        <w:t>Attempt to implement the full CA-</w:t>
      </w:r>
      <w:proofErr w:type="spellStart"/>
      <w:r>
        <w:rPr>
          <w:color w:val="2C2C2C"/>
        </w:rPr>
        <w:t>FedDef</w:t>
      </w:r>
      <w:proofErr w:type="spellEnd"/>
      <w:r>
        <w:rPr>
          <w:color w:val="2C2C2C"/>
        </w:rPr>
        <w:t xml:space="preserve"> proposal including all 8 experiments, formal proofs, and NIMA validation. Only advisable if the mentor is actively co-implementing, not just advising.</w:t>
      </w:r>
    </w:p>
    <w:p w14:paraId="7B25BDB6"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2C30" w14:paraId="64931B62" w14:textId="77777777">
        <w:tblPrEx>
          <w:tblCellMar>
            <w:top w:w="0" w:type="dxa"/>
            <w:bottom w:w="0" w:type="dxa"/>
          </w:tblCellMar>
        </w:tblPrEx>
        <w:trPr>
          <w:tblHeader/>
        </w:trPr>
        <w:tc>
          <w:tcPr>
            <w:tcW w:w="24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71EBFAEE" w14:textId="77777777" w:rsidR="00CC2C30" w:rsidRDefault="00000000">
            <w:r>
              <w:rPr>
                <w:b/>
                <w:bCs/>
                <w:color w:val="FFFFFF"/>
                <w:sz w:val="20"/>
                <w:szCs w:val="20"/>
              </w:rPr>
              <w:lastRenderedPageBreak/>
              <w:t>Risk</w:t>
            </w:r>
          </w:p>
        </w:tc>
        <w:tc>
          <w:tcPr>
            <w:tcW w:w="69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05067A6B" w14:textId="77777777" w:rsidR="00CC2C30" w:rsidRDefault="00000000">
            <w:r>
              <w:rPr>
                <w:b/>
                <w:bCs/>
                <w:color w:val="FFFFFF"/>
                <w:sz w:val="20"/>
                <w:szCs w:val="20"/>
              </w:rPr>
              <w:t>Description</w:t>
            </w:r>
          </w:p>
        </w:tc>
      </w:tr>
      <w:tr w:rsidR="00CC2C30" w14:paraId="6D7B8EB1"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A8E677F" w14:textId="77777777" w:rsidR="00CC2C30" w:rsidRDefault="00000000">
            <w:r>
              <w:rPr>
                <w:color w:val="2C2C2C"/>
                <w:sz w:val="20"/>
                <w:szCs w:val="20"/>
              </w:rPr>
              <w:t>Overclaiming risk</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4257EBA" w14:textId="77777777" w:rsidR="00CC2C30" w:rsidRDefault="00000000">
            <w:r>
              <w:rPr>
                <w:color w:val="2C2C2C"/>
                <w:sz w:val="20"/>
                <w:szCs w:val="20"/>
              </w:rPr>
              <w:t xml:space="preserve">C1 framing will be challenged by reviewers citing AGAT-FL and </w:t>
            </w:r>
            <w:proofErr w:type="spellStart"/>
            <w:r>
              <w:rPr>
                <w:color w:val="2C2C2C"/>
                <w:sz w:val="20"/>
                <w:szCs w:val="20"/>
              </w:rPr>
              <w:t>FedTrust</w:t>
            </w:r>
            <w:proofErr w:type="spellEnd"/>
            <w:r>
              <w:rPr>
                <w:color w:val="2C2C2C"/>
                <w:sz w:val="20"/>
                <w:szCs w:val="20"/>
              </w:rPr>
              <w:t>-Net</w:t>
            </w:r>
          </w:p>
        </w:tc>
      </w:tr>
      <w:tr w:rsidR="00CC2C30" w14:paraId="057BAA05"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81E166F" w14:textId="77777777" w:rsidR="00CC2C30" w:rsidRDefault="00000000">
            <w:r>
              <w:rPr>
                <w:color w:val="2C2C2C"/>
                <w:sz w:val="20"/>
                <w:szCs w:val="20"/>
              </w:rPr>
              <w:t>Scope risk</w:t>
            </w:r>
          </w:p>
        </w:tc>
        <w:tc>
          <w:tcPr>
            <w:tcW w:w="69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754F7D02" w14:textId="77777777" w:rsidR="00CC2C30" w:rsidRDefault="00000000">
            <w:r>
              <w:rPr>
                <w:color w:val="2C2C2C"/>
                <w:sz w:val="20"/>
                <w:szCs w:val="20"/>
              </w:rPr>
              <w:t>8 experiments + 4 datasets + formal proofs is 2–3 years of work for a solo first-year student</w:t>
            </w:r>
          </w:p>
        </w:tc>
      </w:tr>
      <w:tr w:rsidR="00CC2C30" w14:paraId="267DE903"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43631B1" w14:textId="77777777" w:rsidR="00CC2C30" w:rsidRDefault="00000000">
            <w:r>
              <w:rPr>
                <w:color w:val="2C2C2C"/>
                <w:sz w:val="20"/>
                <w:szCs w:val="20"/>
              </w:rPr>
              <w:t>Experimental risk</w:t>
            </w:r>
          </w:p>
        </w:tc>
        <w:tc>
          <w:tcPr>
            <w:tcW w:w="69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5E1D5620" w14:textId="77777777" w:rsidR="00CC2C30" w:rsidRDefault="00000000">
            <w:r>
              <w:rPr>
                <w:color w:val="2C2C2C"/>
                <w:sz w:val="20"/>
                <w:szCs w:val="20"/>
              </w:rPr>
              <w:t>If NIMA ASR does not reach the target (&lt;10%), the entire paper’s primary claim fails</w:t>
            </w:r>
          </w:p>
        </w:tc>
      </w:tr>
      <w:tr w:rsidR="00CC2C30" w14:paraId="737BD3ED" w14:textId="77777777">
        <w:tblPrEx>
          <w:tblCellMar>
            <w:top w:w="0" w:type="dxa"/>
            <w:bottom w:w="0" w:type="dxa"/>
          </w:tblCellMar>
        </w:tblPrEx>
        <w:tc>
          <w:tcPr>
            <w:tcW w:w="24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4760D455" w14:textId="77777777" w:rsidR="00CC2C30" w:rsidRDefault="00000000">
            <w:r>
              <w:rPr>
                <w:color w:val="2C2C2C"/>
                <w:sz w:val="20"/>
                <w:szCs w:val="20"/>
              </w:rPr>
              <w:t>Dependency risk</w:t>
            </w:r>
          </w:p>
        </w:tc>
        <w:tc>
          <w:tcPr>
            <w:tcW w:w="69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68BE9C37" w14:textId="77777777" w:rsidR="00CC2C30" w:rsidRDefault="00000000">
            <w:r>
              <w:rPr>
                <w:color w:val="2C2C2C"/>
                <w:sz w:val="20"/>
                <w:szCs w:val="20"/>
              </w:rPr>
              <w:t>Relies heavily on AI-generated proposal documents that have not been independently validated</w:t>
            </w:r>
          </w:p>
        </w:tc>
      </w:tr>
    </w:tbl>
    <w:p w14:paraId="707E2527" w14:textId="77777777" w:rsidR="00CC2C30" w:rsidRDefault="00CC2C30"/>
    <w:p w14:paraId="32644553"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46C6D5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4BC45A3E" w14:textId="77777777" w:rsidR="00CC2C30" w:rsidRDefault="00000000">
            <w:r>
              <w:rPr>
                <w:b/>
                <w:bCs/>
                <w:color w:val="FFFFFF"/>
                <w:sz w:val="26"/>
                <w:szCs w:val="26"/>
              </w:rPr>
              <w:t>SECTION 6 — Dataset Decision (Cross-Verified)</w:t>
            </w:r>
          </w:p>
        </w:tc>
      </w:tr>
    </w:tbl>
    <w:p w14:paraId="54EF6165" w14:textId="77777777" w:rsidR="00CC2C30" w:rsidRDefault="00CC2C30"/>
    <w:p w14:paraId="7E785088" w14:textId="77777777" w:rsidR="00CC2C30" w:rsidRDefault="00000000">
      <w:pPr>
        <w:spacing w:before="60" w:after="60"/>
      </w:pPr>
      <w:r>
        <w:rPr>
          <w:color w:val="2C2C2C"/>
        </w:rPr>
        <w:t>The AI-generated Dataset_Comparison_Analysis.docx recommended switching the primary dataset from CICIoT2023 to IoT-DIAD 2024. This recommendation is incorrect for the following reason:</w:t>
      </w:r>
    </w:p>
    <w:p w14:paraId="68B6605F"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7855"/>
      </w:tblGrid>
      <w:tr w:rsidR="00CC2C30" w14:paraId="55C9AEE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00000"/>
            <w:tcMar>
              <w:top w:w="80" w:type="dxa"/>
              <w:left w:w="80" w:type="dxa"/>
              <w:bottom w:w="80" w:type="dxa"/>
              <w:right w:w="80" w:type="dxa"/>
            </w:tcMar>
          </w:tcPr>
          <w:p w14:paraId="379C1D2A" w14:textId="77777777" w:rsidR="00CC2C30" w:rsidRDefault="00000000">
            <w:pPr>
              <w:jc w:val="center"/>
            </w:pPr>
            <w:r>
              <w:rPr>
                <w:b/>
                <w:bCs/>
                <w:color w:val="FFFFFF"/>
                <w:sz w:val="20"/>
                <w:szCs w:val="20"/>
              </w:rPr>
              <w:t>CORRECTION</w:t>
            </w:r>
          </w:p>
        </w:tc>
        <w:tc>
          <w:tcPr>
            <w:tcW w:w="9160" w:type="dxa"/>
            <w:tcBorders>
              <w:top w:val="none" w:sz="0" w:space="0" w:color="FFFFFF"/>
              <w:left w:val="none" w:sz="0" w:space="0" w:color="FFFFFF"/>
              <w:bottom w:val="none" w:sz="0" w:space="0" w:color="FFFFFF"/>
              <w:right w:val="none" w:sz="0" w:space="0" w:color="FFFFFF"/>
            </w:tcBorders>
            <w:shd w:val="clear" w:color="auto" w:fill="FDECEA"/>
            <w:tcMar>
              <w:top w:w="100" w:type="dxa"/>
              <w:left w:w="160" w:type="dxa"/>
              <w:bottom w:w="100" w:type="dxa"/>
              <w:right w:w="120" w:type="dxa"/>
            </w:tcMar>
          </w:tcPr>
          <w:p w14:paraId="7B17A960" w14:textId="77777777" w:rsidR="00CC2C30" w:rsidRDefault="00000000">
            <w:r>
              <w:rPr>
                <w:color w:val="2C2C2C"/>
                <w:sz w:val="21"/>
                <w:szCs w:val="21"/>
              </w:rPr>
              <w:t>IoT-DIAD 2024’s official purpose is device identification and anomaly detection — not attack classification or Byzantine defense benchmarking. CA-</w:t>
            </w:r>
            <w:proofErr w:type="spellStart"/>
            <w:r>
              <w:rPr>
                <w:color w:val="2C2C2C"/>
                <w:sz w:val="21"/>
                <w:szCs w:val="21"/>
              </w:rPr>
              <w:t>FedDef’s</w:t>
            </w:r>
            <w:proofErr w:type="spellEnd"/>
            <w:r>
              <w:rPr>
                <w:color w:val="2C2C2C"/>
                <w:sz w:val="21"/>
                <w:szCs w:val="21"/>
              </w:rPr>
              <w:t xml:space="preserve"> primary claims are about attack classification, poisoning robustness, and NIMA resistance. Using IoT-DIAD 2024 as the primary benchmark creates a task-alignment mismatch that IEEE TIFS reviewers can flag. CICIoT2023 remains the correct primary dataset as originally specified in the CA-</w:t>
            </w:r>
            <w:proofErr w:type="spellStart"/>
            <w:r>
              <w:rPr>
                <w:color w:val="2C2C2C"/>
                <w:sz w:val="21"/>
                <w:szCs w:val="21"/>
              </w:rPr>
              <w:t>FedDef</w:t>
            </w:r>
            <w:proofErr w:type="spellEnd"/>
            <w:r>
              <w:rPr>
                <w:color w:val="2C2C2C"/>
                <w:sz w:val="21"/>
                <w:szCs w:val="21"/>
              </w:rPr>
              <w:t xml:space="preserve"> framework proposal.</w:t>
            </w:r>
          </w:p>
        </w:tc>
      </w:tr>
    </w:tbl>
    <w:p w14:paraId="3547A478" w14:textId="77777777" w:rsidR="00CC2C30" w:rsidRDefault="00CC2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560"/>
        <w:gridCol w:w="3200"/>
      </w:tblGrid>
      <w:tr w:rsidR="00CC2C30" w14:paraId="1EA5E136" w14:textId="77777777">
        <w:tblPrEx>
          <w:tblCellMar>
            <w:top w:w="0" w:type="dxa"/>
            <w:bottom w:w="0" w:type="dxa"/>
          </w:tblCellMar>
        </w:tblPrEx>
        <w:trPr>
          <w:tblHeader/>
        </w:trPr>
        <w:tc>
          <w:tcPr>
            <w:tcW w:w="16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187D4D30" w14:textId="77777777" w:rsidR="00CC2C30" w:rsidRDefault="00000000">
            <w:r>
              <w:rPr>
                <w:b/>
                <w:bCs/>
                <w:color w:val="FFFFFF"/>
                <w:sz w:val="20"/>
                <w:szCs w:val="20"/>
              </w:rPr>
              <w:t>Dataset</w:t>
            </w:r>
          </w:p>
        </w:tc>
        <w:tc>
          <w:tcPr>
            <w:tcW w:w="20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1A06E9C1" w14:textId="77777777" w:rsidR="00CC2C30" w:rsidRDefault="00000000">
            <w:r>
              <w:rPr>
                <w:b/>
                <w:bCs/>
                <w:color w:val="FFFFFF"/>
                <w:sz w:val="20"/>
                <w:szCs w:val="20"/>
              </w:rPr>
              <w:t>Recommended Version</w:t>
            </w:r>
          </w:p>
        </w:tc>
        <w:tc>
          <w:tcPr>
            <w:tcW w:w="256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16425740" w14:textId="77777777" w:rsidR="00CC2C30" w:rsidRDefault="00000000">
            <w:r>
              <w:rPr>
                <w:b/>
                <w:bCs/>
                <w:color w:val="FFFFFF"/>
                <w:sz w:val="20"/>
                <w:szCs w:val="20"/>
              </w:rPr>
              <w:t>Role in CA-</w:t>
            </w:r>
            <w:proofErr w:type="spellStart"/>
            <w:r>
              <w:rPr>
                <w:b/>
                <w:bCs/>
                <w:color w:val="FFFFFF"/>
                <w:sz w:val="20"/>
                <w:szCs w:val="20"/>
              </w:rPr>
              <w:t>FedDef</w:t>
            </w:r>
            <w:proofErr w:type="spellEnd"/>
          </w:p>
        </w:tc>
        <w:tc>
          <w:tcPr>
            <w:tcW w:w="3200" w:type="dxa"/>
            <w:tcBorders>
              <w:top w:val="single" w:sz="1" w:space="0" w:color="BBCDE5"/>
              <w:left w:val="single" w:sz="1" w:space="0" w:color="BBCDE5"/>
              <w:bottom w:val="single" w:sz="1" w:space="0" w:color="BBCDE5"/>
              <w:right w:val="single" w:sz="1" w:space="0" w:color="BBCDE5"/>
            </w:tcBorders>
            <w:shd w:val="clear" w:color="auto" w:fill="1F3864"/>
            <w:tcMar>
              <w:top w:w="80" w:type="dxa"/>
              <w:left w:w="120" w:type="dxa"/>
              <w:bottom w:w="80" w:type="dxa"/>
              <w:right w:w="120" w:type="dxa"/>
            </w:tcMar>
          </w:tcPr>
          <w:p w14:paraId="0A19E654" w14:textId="77777777" w:rsidR="00CC2C30" w:rsidRDefault="00000000">
            <w:r>
              <w:rPr>
                <w:b/>
                <w:bCs/>
                <w:color w:val="FFFFFF"/>
                <w:sz w:val="20"/>
                <w:szCs w:val="20"/>
              </w:rPr>
              <w:t>Reason</w:t>
            </w:r>
          </w:p>
        </w:tc>
      </w:tr>
      <w:tr w:rsidR="00CC2C30" w14:paraId="1D4C7885" w14:textId="77777777">
        <w:tblPrEx>
          <w:tblCellMar>
            <w:top w:w="0" w:type="dxa"/>
            <w:bottom w:w="0" w:type="dxa"/>
          </w:tblCellMar>
        </w:tblPrEx>
        <w:tc>
          <w:tcPr>
            <w:tcW w:w="1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5CBD8D09" w14:textId="77777777" w:rsidR="00CC2C30" w:rsidRDefault="00000000">
            <w:r>
              <w:rPr>
                <w:color w:val="2C2C2C"/>
                <w:sz w:val="20"/>
                <w:szCs w:val="20"/>
              </w:rPr>
              <w:t>CIC-IoT</w:t>
            </w:r>
          </w:p>
        </w:tc>
        <w:tc>
          <w:tcPr>
            <w:tcW w:w="2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6ED889DA" w14:textId="77777777" w:rsidR="00CC2C30" w:rsidRDefault="00000000">
            <w:r>
              <w:rPr>
                <w:color w:val="2C2C2C"/>
                <w:sz w:val="20"/>
                <w:szCs w:val="20"/>
              </w:rPr>
              <w:t>CICIoT2023 (not DIAD 2024)</w:t>
            </w:r>
          </w:p>
        </w:tc>
        <w:tc>
          <w:tcPr>
            <w:tcW w:w="25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42D6C81" w14:textId="77777777" w:rsidR="00CC2C30" w:rsidRDefault="00000000">
            <w:r>
              <w:rPr>
                <w:color w:val="2C2C2C"/>
                <w:sz w:val="20"/>
                <w:szCs w:val="20"/>
              </w:rPr>
              <w:t>Primary training + NIMA simulation</w:t>
            </w:r>
          </w:p>
        </w:tc>
        <w:tc>
          <w:tcPr>
            <w:tcW w:w="32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5DA85186" w14:textId="77777777" w:rsidR="00CC2C30" w:rsidRDefault="00000000">
            <w:r>
              <w:rPr>
                <w:color w:val="2C2C2C"/>
                <w:sz w:val="20"/>
                <w:szCs w:val="20"/>
              </w:rPr>
              <w:t>Attack-centric task framing matches the paper’s claims directly</w:t>
            </w:r>
          </w:p>
        </w:tc>
      </w:tr>
      <w:tr w:rsidR="00CC2C30" w14:paraId="7C3F7FEC" w14:textId="77777777">
        <w:tblPrEx>
          <w:tblCellMar>
            <w:top w:w="0" w:type="dxa"/>
            <w:bottom w:w="0" w:type="dxa"/>
          </w:tblCellMar>
        </w:tblPrEx>
        <w:tc>
          <w:tcPr>
            <w:tcW w:w="16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19B83CF1" w14:textId="77777777" w:rsidR="00CC2C30" w:rsidRDefault="00000000">
            <w:proofErr w:type="spellStart"/>
            <w:r>
              <w:rPr>
                <w:color w:val="2C2C2C"/>
                <w:sz w:val="20"/>
                <w:szCs w:val="20"/>
              </w:rPr>
              <w:t>TON_IoT</w:t>
            </w:r>
            <w:proofErr w:type="spellEnd"/>
          </w:p>
        </w:tc>
        <w:tc>
          <w:tcPr>
            <w:tcW w:w="20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4C06ACFC" w14:textId="77777777" w:rsidR="00CC2C30" w:rsidRDefault="00000000">
            <w:r>
              <w:rPr>
                <w:color w:val="2C2C2C"/>
                <w:sz w:val="20"/>
                <w:szCs w:val="20"/>
              </w:rPr>
              <w:t>NF-ToN-IoT-v3 (Jan 2025)</w:t>
            </w:r>
          </w:p>
        </w:tc>
        <w:tc>
          <w:tcPr>
            <w:tcW w:w="25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37272BAB" w14:textId="77777777" w:rsidR="00CC2C30" w:rsidRDefault="00000000">
            <w:r>
              <w:rPr>
                <w:color w:val="2C2C2C"/>
                <w:sz w:val="20"/>
                <w:szCs w:val="20"/>
              </w:rPr>
              <w:t xml:space="preserve">Cross-dataset </w:t>
            </w:r>
            <w:proofErr w:type="spellStart"/>
            <w:r>
              <w:rPr>
                <w:color w:val="2C2C2C"/>
                <w:sz w:val="20"/>
                <w:szCs w:val="20"/>
              </w:rPr>
              <w:t>generalisation</w:t>
            </w:r>
            <w:proofErr w:type="spellEnd"/>
          </w:p>
        </w:tc>
        <w:tc>
          <w:tcPr>
            <w:tcW w:w="32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74C31D14" w14:textId="77777777" w:rsidR="00CC2C30" w:rsidRDefault="00000000">
            <w:r>
              <w:rPr>
                <w:color w:val="2C2C2C"/>
                <w:sz w:val="20"/>
                <w:szCs w:val="20"/>
              </w:rPr>
              <w:t>Standardized NetFlow format aids fair comparison</w:t>
            </w:r>
          </w:p>
        </w:tc>
      </w:tr>
      <w:tr w:rsidR="00CC2C30" w14:paraId="1258C86A" w14:textId="77777777">
        <w:tblPrEx>
          <w:tblCellMar>
            <w:top w:w="0" w:type="dxa"/>
            <w:bottom w:w="0" w:type="dxa"/>
          </w:tblCellMar>
        </w:tblPrEx>
        <w:tc>
          <w:tcPr>
            <w:tcW w:w="1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B1B8416" w14:textId="77777777" w:rsidR="00CC2C30" w:rsidRDefault="00000000">
            <w:proofErr w:type="spellStart"/>
            <w:r>
              <w:rPr>
                <w:color w:val="2C2C2C"/>
                <w:sz w:val="20"/>
                <w:szCs w:val="20"/>
              </w:rPr>
              <w:t>BoT</w:t>
            </w:r>
            <w:proofErr w:type="spellEnd"/>
            <w:r>
              <w:rPr>
                <w:color w:val="2C2C2C"/>
                <w:sz w:val="20"/>
                <w:szCs w:val="20"/>
              </w:rPr>
              <w:t>-IoT</w:t>
            </w:r>
          </w:p>
        </w:tc>
        <w:tc>
          <w:tcPr>
            <w:tcW w:w="2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59A70380" w14:textId="77777777" w:rsidR="00CC2C30" w:rsidRDefault="00000000">
            <w:r>
              <w:rPr>
                <w:color w:val="2C2C2C"/>
                <w:sz w:val="20"/>
                <w:szCs w:val="20"/>
              </w:rPr>
              <w:t>NF-BoT-IoT-v3 (Jan 2025)</w:t>
            </w:r>
          </w:p>
        </w:tc>
        <w:tc>
          <w:tcPr>
            <w:tcW w:w="25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73E3896" w14:textId="77777777" w:rsidR="00CC2C30" w:rsidRDefault="00000000">
            <w:r>
              <w:rPr>
                <w:color w:val="2C2C2C"/>
                <w:sz w:val="20"/>
                <w:szCs w:val="20"/>
              </w:rPr>
              <w:t>Class imbalance ablation</w:t>
            </w:r>
          </w:p>
        </w:tc>
        <w:tc>
          <w:tcPr>
            <w:tcW w:w="32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90DD2B2" w14:textId="77777777" w:rsidR="00CC2C30" w:rsidRDefault="00000000">
            <w:r>
              <w:rPr>
                <w:color w:val="2C2C2C"/>
                <w:sz w:val="20"/>
                <w:szCs w:val="20"/>
              </w:rPr>
              <w:t xml:space="preserve">13% attack rate more realistic than 91%; NetFlow consistent with </w:t>
            </w:r>
            <w:proofErr w:type="spellStart"/>
            <w:r>
              <w:rPr>
                <w:color w:val="2C2C2C"/>
                <w:sz w:val="20"/>
                <w:szCs w:val="20"/>
              </w:rPr>
              <w:t>TON_IoT</w:t>
            </w:r>
            <w:proofErr w:type="spellEnd"/>
          </w:p>
        </w:tc>
      </w:tr>
      <w:tr w:rsidR="00CC2C30" w14:paraId="6E83E86C" w14:textId="77777777">
        <w:tblPrEx>
          <w:tblCellMar>
            <w:top w:w="0" w:type="dxa"/>
            <w:bottom w:w="0" w:type="dxa"/>
          </w:tblCellMar>
        </w:tblPrEx>
        <w:tc>
          <w:tcPr>
            <w:tcW w:w="16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730D4480" w14:textId="77777777" w:rsidR="00CC2C30" w:rsidRDefault="00000000">
            <w:r>
              <w:rPr>
                <w:color w:val="2C2C2C"/>
                <w:sz w:val="20"/>
                <w:szCs w:val="20"/>
              </w:rPr>
              <w:t>Edge-</w:t>
            </w:r>
            <w:proofErr w:type="spellStart"/>
            <w:r>
              <w:rPr>
                <w:color w:val="2C2C2C"/>
                <w:sz w:val="20"/>
                <w:szCs w:val="20"/>
              </w:rPr>
              <w:t>IIoTset</w:t>
            </w:r>
            <w:proofErr w:type="spellEnd"/>
          </w:p>
        </w:tc>
        <w:tc>
          <w:tcPr>
            <w:tcW w:w="20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5F09D2F7" w14:textId="77777777" w:rsidR="00CC2C30" w:rsidRDefault="00000000">
            <w:r>
              <w:rPr>
                <w:color w:val="2C2C2C"/>
                <w:sz w:val="20"/>
                <w:szCs w:val="20"/>
              </w:rPr>
              <w:t>2022 version (no update)</w:t>
            </w:r>
          </w:p>
        </w:tc>
        <w:tc>
          <w:tcPr>
            <w:tcW w:w="256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16EF404C" w14:textId="77777777" w:rsidR="00CC2C30" w:rsidRDefault="00000000">
            <w:r>
              <w:rPr>
                <w:color w:val="2C2C2C"/>
                <w:sz w:val="20"/>
                <w:szCs w:val="20"/>
              </w:rPr>
              <w:t>Tier-C resource constraint testing</w:t>
            </w:r>
          </w:p>
        </w:tc>
        <w:tc>
          <w:tcPr>
            <w:tcW w:w="3200" w:type="dxa"/>
            <w:tcBorders>
              <w:top w:val="single" w:sz="1" w:space="0" w:color="BBCDE5"/>
              <w:left w:val="single" w:sz="1" w:space="0" w:color="BBCDE5"/>
              <w:bottom w:val="single" w:sz="1" w:space="0" w:color="BBCDE5"/>
              <w:right w:val="single" w:sz="1" w:space="0" w:color="BBCDE5"/>
            </w:tcBorders>
            <w:shd w:val="clear" w:color="auto" w:fill="EBF2FA"/>
            <w:tcMar>
              <w:top w:w="80" w:type="dxa"/>
              <w:left w:w="120" w:type="dxa"/>
              <w:bottom w:w="80" w:type="dxa"/>
              <w:right w:w="120" w:type="dxa"/>
            </w:tcMar>
          </w:tcPr>
          <w:p w14:paraId="73827308" w14:textId="77777777" w:rsidR="00CC2C30" w:rsidRDefault="00000000">
            <w:r>
              <w:rPr>
                <w:color w:val="2C2C2C"/>
                <w:sz w:val="20"/>
                <w:szCs w:val="20"/>
              </w:rPr>
              <w:t>No successor exists; explicitly designed for federated learning scenarios</w:t>
            </w:r>
          </w:p>
        </w:tc>
      </w:tr>
    </w:tbl>
    <w:p w14:paraId="55787470" w14:textId="77777777" w:rsidR="00CC2C30" w:rsidRDefault="00CC2C30"/>
    <w:p w14:paraId="0917DA9C"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3A80F2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6"/>
            <w:tcMar>
              <w:top w:w="120" w:type="dxa"/>
              <w:left w:w="200" w:type="dxa"/>
              <w:bottom w:w="120" w:type="dxa"/>
              <w:right w:w="200" w:type="dxa"/>
            </w:tcMar>
          </w:tcPr>
          <w:p w14:paraId="732A580D" w14:textId="77777777" w:rsidR="00CC2C30" w:rsidRDefault="00000000">
            <w:r>
              <w:rPr>
                <w:b/>
                <w:bCs/>
                <w:color w:val="FFFFFF"/>
                <w:sz w:val="26"/>
                <w:szCs w:val="26"/>
              </w:rPr>
              <w:t>SECTION 7 — Key Questions for Mentor Discussion</w:t>
            </w:r>
          </w:p>
        </w:tc>
      </w:tr>
    </w:tbl>
    <w:p w14:paraId="7FE68AA6" w14:textId="77777777" w:rsidR="00CC2C30" w:rsidRDefault="00CC2C30"/>
    <w:p w14:paraId="4A620AAD" w14:textId="77777777" w:rsidR="00CC2C30" w:rsidRDefault="00000000">
      <w:pPr>
        <w:spacing w:before="60" w:after="60"/>
      </w:pPr>
      <w:r>
        <w:rPr>
          <w:color w:val="2C2C2C"/>
        </w:rPr>
        <w:t>The following questions should be resolved with the senior PhD student / mentor before any implementation begins:</w:t>
      </w:r>
    </w:p>
    <w:p w14:paraId="2E4058CE" w14:textId="77777777" w:rsidR="00CC2C30" w:rsidRDefault="00CC2C30"/>
    <w:p w14:paraId="759B9506" w14:textId="77777777" w:rsidR="00CC2C30" w:rsidRDefault="00000000">
      <w:pPr>
        <w:pStyle w:val="ListParagraph"/>
        <w:numPr>
          <w:ilvl w:val="0"/>
          <w:numId w:val="2"/>
        </w:numPr>
        <w:spacing w:before="40" w:after="40"/>
      </w:pPr>
      <w:r>
        <w:rPr>
          <w:b/>
          <w:bCs/>
          <w:color w:val="2C2C2C"/>
        </w:rPr>
        <w:lastRenderedPageBreak/>
        <w:t xml:space="preserve">Contribution scope: </w:t>
      </w:r>
      <w:r>
        <w:rPr>
          <w:color w:val="2C2C2C"/>
        </w:rPr>
        <w:t xml:space="preserve">AGAT-FL and </w:t>
      </w:r>
      <w:proofErr w:type="spellStart"/>
      <w:r>
        <w:rPr>
          <w:color w:val="2C2C2C"/>
        </w:rPr>
        <w:t>FedTrust</w:t>
      </w:r>
      <w:proofErr w:type="spellEnd"/>
      <w:r>
        <w:rPr>
          <w:color w:val="2C2C2C"/>
        </w:rPr>
        <w:t>-Net already use behavioral history (Hᵢ) for trust scoring. Should we reframe C1 to focus specifically on D̂_</w:t>
      </w:r>
      <w:proofErr w:type="spellStart"/>
      <w:r>
        <w:rPr>
          <w:color w:val="2C2C2C"/>
        </w:rPr>
        <w:t>i</w:t>
      </w:r>
      <w:proofErr w:type="spellEnd"/>
      <w:r>
        <w:rPr>
          <w:color w:val="2C2C2C"/>
        </w:rPr>
        <w:t>-conditioned distribution estimation, and cite these papers as related work rather than claiming history scoring as novel?</w:t>
      </w:r>
    </w:p>
    <w:p w14:paraId="6CB0FE3D" w14:textId="77777777" w:rsidR="00CC2C30" w:rsidRDefault="00000000">
      <w:pPr>
        <w:pStyle w:val="ListParagraph"/>
        <w:numPr>
          <w:ilvl w:val="0"/>
          <w:numId w:val="2"/>
        </w:numPr>
        <w:spacing w:before="40" w:after="40"/>
      </w:pPr>
      <w:r>
        <w:rPr>
          <w:b/>
          <w:bCs/>
          <w:color w:val="2C2C2C"/>
        </w:rPr>
        <w:t xml:space="preserve">Primary dataset: </w:t>
      </w:r>
      <w:r>
        <w:rPr>
          <w:color w:val="2C2C2C"/>
        </w:rPr>
        <w:t>The framework proposal uses CICIoT2023 as primary. The AI-generated dataset analysis recommends IoT-DIAD 2024. IoT-DIAD 2024 is task-shifted toward device identification — does this still fit our attack-classification and NIMA story for TIFS?</w:t>
      </w:r>
    </w:p>
    <w:p w14:paraId="5D165C20" w14:textId="77777777" w:rsidR="00CC2C30" w:rsidRDefault="00000000">
      <w:pPr>
        <w:pStyle w:val="ListParagraph"/>
        <w:numPr>
          <w:ilvl w:val="0"/>
          <w:numId w:val="2"/>
        </w:numPr>
        <w:spacing w:before="40" w:after="40"/>
      </w:pPr>
      <w:r>
        <w:rPr>
          <w:b/>
          <w:bCs/>
          <w:color w:val="2C2C2C"/>
        </w:rPr>
        <w:t xml:space="preserve">Paper scope: </w:t>
      </w:r>
      <w:r>
        <w:rPr>
          <w:color w:val="2C2C2C"/>
        </w:rPr>
        <w:t>The full CA-</w:t>
      </w:r>
      <w:proofErr w:type="spellStart"/>
      <w:r>
        <w:rPr>
          <w:color w:val="2C2C2C"/>
        </w:rPr>
        <w:t>FedDef</w:t>
      </w:r>
      <w:proofErr w:type="spellEnd"/>
      <w:r>
        <w:rPr>
          <w:color w:val="2C2C2C"/>
        </w:rPr>
        <w:t xml:space="preserve"> proposal includes 8 experiments, 4 datasets, 9 SUSS signals, and formal proofs. Is this the intended scope for the first paper, or should we scope down to NIMA + D̂_</w:t>
      </w:r>
      <w:proofErr w:type="spellStart"/>
      <w:r>
        <w:rPr>
          <w:color w:val="2C2C2C"/>
        </w:rPr>
        <w:t>i</w:t>
      </w:r>
      <w:proofErr w:type="spellEnd"/>
      <w:r>
        <w:rPr>
          <w:color w:val="2C2C2C"/>
        </w:rPr>
        <w:t xml:space="preserve"> + resource-tier allocation as the core story?</w:t>
      </w:r>
    </w:p>
    <w:p w14:paraId="3DD91C1B" w14:textId="77777777" w:rsidR="00CC2C30" w:rsidRDefault="00000000">
      <w:pPr>
        <w:pStyle w:val="ListParagraph"/>
        <w:numPr>
          <w:ilvl w:val="0"/>
          <w:numId w:val="2"/>
        </w:numPr>
        <w:spacing w:before="40" w:after="40"/>
      </w:pPr>
      <w:r>
        <w:rPr>
          <w:b/>
          <w:bCs/>
          <w:color w:val="2C2C2C"/>
        </w:rPr>
        <w:t xml:space="preserve">Implementation ownership: </w:t>
      </w:r>
      <w:r>
        <w:rPr>
          <w:color w:val="2C2C2C"/>
        </w:rPr>
        <w:t>Which components will the mentor co-implement, and which are the student’s responsibility? The FL simulation, NIMA injection, and formal proof derivation each require significant independent work.</w:t>
      </w:r>
    </w:p>
    <w:p w14:paraId="4D18018A" w14:textId="77777777" w:rsidR="00CC2C30" w:rsidRDefault="00000000">
      <w:pPr>
        <w:pStyle w:val="ListParagraph"/>
        <w:numPr>
          <w:ilvl w:val="0"/>
          <w:numId w:val="2"/>
        </w:numPr>
        <w:spacing w:before="40" w:after="40"/>
      </w:pPr>
      <w:r>
        <w:rPr>
          <w:b/>
          <w:bCs/>
          <w:color w:val="2C2C2C"/>
        </w:rPr>
        <w:t xml:space="preserve">Venue target: </w:t>
      </w:r>
      <w:r>
        <w:rPr>
          <w:color w:val="2C2C2C"/>
        </w:rPr>
        <w:t>IEEE TIFS is the right target if NIMA is the centerpiece with formal proofs. If the scope is reduced to an empirical study, IEEE Access or IEEE IoT Journal may be more realistic for a first submission.</w:t>
      </w:r>
    </w:p>
    <w:p w14:paraId="2CFFDAC8" w14:textId="77777777" w:rsidR="00CC2C30" w:rsidRDefault="00CC2C30"/>
    <w:p w14:paraId="6E7907B7" w14:textId="77777777" w:rsidR="00CC2C30" w:rsidRDefault="00CC2C3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30" w14:paraId="07CAF9A2" w14:textId="77777777">
        <w:tblPrEx>
          <w:tblCellMar>
            <w:top w:w="0" w:type="dxa"/>
            <w:bottom w:w="0" w:type="dxa"/>
          </w:tblCellMar>
        </w:tblPrEx>
        <w:tc>
          <w:tcPr>
            <w:tcW w:w="0" w:type="auto"/>
            <w:tcBorders>
              <w:top w:val="single" w:sz="1" w:space="0" w:color="BBCDE5"/>
              <w:left w:val="single" w:sz="12" w:space="0" w:color="2E5DA6"/>
              <w:bottom w:val="single" w:sz="1" w:space="0" w:color="BBCDE5"/>
              <w:right w:val="single" w:sz="1" w:space="0" w:color="BBCDE5"/>
            </w:tcBorders>
            <w:shd w:val="clear" w:color="auto" w:fill="D6E4F0"/>
            <w:tcMar>
              <w:top w:w="200" w:type="dxa"/>
              <w:left w:w="240" w:type="dxa"/>
              <w:bottom w:w="200" w:type="dxa"/>
              <w:right w:w="240" w:type="dxa"/>
            </w:tcMar>
          </w:tcPr>
          <w:p w14:paraId="3429E840" w14:textId="77777777" w:rsidR="00CC2C30" w:rsidRDefault="00000000">
            <w:pPr>
              <w:spacing w:after="120"/>
            </w:pPr>
            <w:r>
              <w:rPr>
                <w:b/>
                <w:bCs/>
                <w:color w:val="1F3864"/>
                <w:sz w:val="26"/>
                <w:szCs w:val="26"/>
              </w:rPr>
              <w:t>Summary for Mentor</w:t>
            </w:r>
          </w:p>
          <w:p w14:paraId="46BFA0F6" w14:textId="77777777" w:rsidR="00CC2C30" w:rsidRDefault="00000000">
            <w:pPr>
              <w:spacing w:after="80"/>
            </w:pPr>
            <w:r>
              <w:rPr>
                <w:color w:val="2C2C2C"/>
                <w:sz w:val="21"/>
                <w:szCs w:val="21"/>
              </w:rPr>
              <w:t>The CA-</w:t>
            </w:r>
            <w:proofErr w:type="spellStart"/>
            <w:r>
              <w:rPr>
                <w:color w:val="2C2C2C"/>
                <w:sz w:val="21"/>
                <w:szCs w:val="21"/>
              </w:rPr>
              <w:t>FedDef</w:t>
            </w:r>
            <w:proofErr w:type="spellEnd"/>
            <w:r>
              <w:rPr>
                <w:color w:val="2C2C2C"/>
                <w:sz w:val="21"/>
                <w:szCs w:val="21"/>
              </w:rPr>
              <w:t xml:space="preserve"> proposal is well-structured and builds on a legitimate research gap. The literature search confirms that:</w:t>
            </w:r>
          </w:p>
          <w:p w14:paraId="408EE2AC" w14:textId="77777777" w:rsidR="00CC2C30" w:rsidRDefault="00000000">
            <w:pPr>
              <w:pStyle w:val="ListParagraph"/>
              <w:numPr>
                <w:ilvl w:val="0"/>
                <w:numId w:val="3"/>
              </w:numPr>
              <w:spacing w:before="40" w:after="40"/>
            </w:pPr>
            <w:r>
              <w:rPr>
                <w:b/>
                <w:bCs/>
                <w:color w:val="1D6A35"/>
                <w:sz w:val="21"/>
                <w:szCs w:val="21"/>
              </w:rPr>
              <w:t>NIMA (Non-IID Masquerade Attack) and D̂_</w:t>
            </w:r>
            <w:proofErr w:type="spellStart"/>
            <w:r>
              <w:rPr>
                <w:b/>
                <w:bCs/>
                <w:color w:val="1D6A35"/>
                <w:sz w:val="21"/>
                <w:szCs w:val="21"/>
              </w:rPr>
              <w:t>i</w:t>
            </w:r>
            <w:proofErr w:type="spellEnd"/>
            <w:r>
              <w:rPr>
                <w:b/>
                <w:bCs/>
                <w:color w:val="1D6A35"/>
                <w:sz w:val="21"/>
                <w:szCs w:val="21"/>
              </w:rPr>
              <w:t>-conditioned detection are genuinely novel and should be the paper’s primary contributions.</w:t>
            </w:r>
          </w:p>
          <w:p w14:paraId="449AAA24" w14:textId="77777777" w:rsidR="00CC2C30" w:rsidRDefault="00000000">
            <w:pPr>
              <w:pStyle w:val="ListParagraph"/>
              <w:numPr>
                <w:ilvl w:val="0"/>
                <w:numId w:val="3"/>
              </w:numPr>
              <w:spacing w:before="40" w:after="40"/>
            </w:pPr>
            <w:r>
              <w:rPr>
                <w:b/>
                <w:bCs/>
                <w:color w:val="C00000"/>
                <w:sz w:val="21"/>
                <w:szCs w:val="21"/>
              </w:rPr>
              <w:t xml:space="preserve">History-based trust scoring (Hᵢ) is already published in AGAT-FL, </w:t>
            </w:r>
            <w:proofErr w:type="spellStart"/>
            <w:r>
              <w:rPr>
                <w:b/>
                <w:bCs/>
                <w:color w:val="C00000"/>
                <w:sz w:val="21"/>
                <w:szCs w:val="21"/>
              </w:rPr>
              <w:t>FedTrust</w:t>
            </w:r>
            <w:proofErr w:type="spellEnd"/>
            <w:r>
              <w:rPr>
                <w:b/>
                <w:bCs/>
                <w:color w:val="C00000"/>
                <w:sz w:val="21"/>
                <w:szCs w:val="21"/>
              </w:rPr>
              <w:t>-Net, and TAIM (all 2025). This cannot be claimed as a primary contribution without triggering reviewer rejection.</w:t>
            </w:r>
          </w:p>
          <w:p w14:paraId="7C7DEFC1" w14:textId="77777777" w:rsidR="00CC2C30" w:rsidRDefault="00000000">
            <w:pPr>
              <w:pStyle w:val="ListParagraph"/>
              <w:numPr>
                <w:ilvl w:val="0"/>
                <w:numId w:val="3"/>
              </w:numPr>
              <w:spacing w:before="40" w:after="40"/>
            </w:pPr>
            <w:r>
              <w:rPr>
                <w:color w:val="2C2C2C"/>
                <w:sz w:val="21"/>
                <w:szCs w:val="21"/>
              </w:rPr>
              <w:t>Resource-tier-aware defense allocation in the security context (not just efficiency) is a confirmed open gap with direct supporting evidence from a Springer 2026 survey.</w:t>
            </w:r>
          </w:p>
          <w:p w14:paraId="0663C6AA" w14:textId="1A913F15" w:rsidR="00CC2C30" w:rsidRDefault="00000000">
            <w:pPr>
              <w:pStyle w:val="ListParagraph"/>
              <w:numPr>
                <w:ilvl w:val="0"/>
                <w:numId w:val="3"/>
              </w:numPr>
              <w:spacing w:before="40" w:after="40"/>
            </w:pPr>
            <w:r>
              <w:rPr>
                <w:color w:val="2C2C2C"/>
                <w:sz w:val="21"/>
                <w:szCs w:val="21"/>
              </w:rPr>
              <w:t>CICIoT2023 must remain the primary dataset. IoT-DIAD 2024 creates a task-alignment mismatch with the paper’s core claims.</w:t>
            </w:r>
          </w:p>
          <w:p w14:paraId="3CC90B80" w14:textId="77777777" w:rsidR="00CC2C30" w:rsidRDefault="00000000">
            <w:pPr>
              <w:pStyle w:val="ListParagraph"/>
              <w:numPr>
                <w:ilvl w:val="0"/>
                <w:numId w:val="3"/>
              </w:numPr>
              <w:spacing w:before="40" w:after="80"/>
            </w:pPr>
            <w:r>
              <w:rPr>
                <w:color w:val="2C2C2C"/>
                <w:sz w:val="21"/>
                <w:szCs w:val="21"/>
              </w:rPr>
              <w:t>Recommended path: trim CA-</w:t>
            </w:r>
            <w:proofErr w:type="spellStart"/>
            <w:r>
              <w:rPr>
                <w:color w:val="2C2C2C"/>
                <w:sz w:val="21"/>
                <w:szCs w:val="21"/>
              </w:rPr>
              <w:t>FedDef</w:t>
            </w:r>
            <w:proofErr w:type="spellEnd"/>
            <w:r>
              <w:rPr>
                <w:color w:val="2C2C2C"/>
                <w:sz w:val="21"/>
                <w:szCs w:val="21"/>
              </w:rPr>
              <w:t xml:space="preserve"> to two sharp primary contributions (NIMA + D̂_</w:t>
            </w:r>
            <w:proofErr w:type="spellStart"/>
            <w:r>
              <w:rPr>
                <w:color w:val="2C2C2C"/>
                <w:sz w:val="21"/>
                <w:szCs w:val="21"/>
              </w:rPr>
              <w:t>i</w:t>
            </w:r>
            <w:proofErr w:type="spellEnd"/>
            <w:r>
              <w:rPr>
                <w:color w:val="2C2C2C"/>
                <w:sz w:val="21"/>
                <w:szCs w:val="21"/>
              </w:rPr>
              <w:t xml:space="preserve"> detection), keep C4 and C5 as supporting contributions, and cite AGAT-FL/</w:t>
            </w:r>
            <w:proofErr w:type="spellStart"/>
            <w:r>
              <w:rPr>
                <w:color w:val="2C2C2C"/>
                <w:sz w:val="21"/>
                <w:szCs w:val="21"/>
              </w:rPr>
              <w:t>FedTrust</w:t>
            </w:r>
            <w:proofErr w:type="spellEnd"/>
            <w:r>
              <w:rPr>
                <w:color w:val="2C2C2C"/>
                <w:sz w:val="21"/>
                <w:szCs w:val="21"/>
              </w:rPr>
              <w:t>-Net honestly in related work.</w:t>
            </w:r>
          </w:p>
        </w:tc>
      </w:tr>
    </w:tbl>
    <w:p w14:paraId="10D75DF2" w14:textId="77777777" w:rsidR="00CC2C30" w:rsidRDefault="00CC2C30"/>
    <w:sectPr w:rsidR="00CC2C30">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30DBB" w14:textId="77777777" w:rsidR="00863F0C" w:rsidRDefault="00863F0C">
      <w:r>
        <w:separator/>
      </w:r>
    </w:p>
  </w:endnote>
  <w:endnote w:type="continuationSeparator" w:id="0">
    <w:p w14:paraId="0E456F15" w14:textId="77777777" w:rsidR="00863F0C" w:rsidRDefault="00863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8DED" w14:textId="77777777" w:rsidR="00CC2C30" w:rsidRDefault="00000000">
    <w:pPr>
      <w:jc w:val="center"/>
    </w:pPr>
    <w:r>
      <w:rPr>
        <w:color w:val="888888"/>
        <w:sz w:val="18"/>
        <w:szCs w:val="18"/>
      </w:rPr>
      <w:t>CA-</w:t>
    </w:r>
    <w:proofErr w:type="spellStart"/>
    <w:r>
      <w:rPr>
        <w:color w:val="888888"/>
        <w:sz w:val="18"/>
        <w:szCs w:val="18"/>
      </w:rPr>
      <w:t>FedDef</w:t>
    </w:r>
    <w:proofErr w:type="spellEnd"/>
    <w:r>
      <w:rPr>
        <w:color w:val="888888"/>
        <w:sz w:val="18"/>
        <w:szCs w:val="18"/>
      </w:rPr>
      <w:t xml:space="preserve"> Literature Review </w:t>
    </w:r>
    <w:proofErr w:type="gramStart"/>
    <w:r>
      <w:rPr>
        <w:color w:val="888888"/>
        <w:sz w:val="18"/>
        <w:szCs w:val="18"/>
      </w:rPr>
      <w:t>Briefing  |</w:t>
    </w:r>
    <w:proofErr w:type="gramEnd"/>
    <w:r>
      <w:rPr>
        <w:color w:val="888888"/>
        <w:sz w:val="18"/>
        <w:szCs w:val="18"/>
      </w:rPr>
      <w:t xml:space="preserve">  March </w:t>
    </w:r>
    <w:proofErr w:type="gramStart"/>
    <w:r>
      <w:rPr>
        <w:color w:val="888888"/>
        <w:sz w:val="18"/>
        <w:szCs w:val="18"/>
      </w:rPr>
      <w:t>2026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6A5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604A0" w14:textId="77777777" w:rsidR="00863F0C" w:rsidRDefault="00863F0C">
      <w:r>
        <w:separator/>
      </w:r>
    </w:p>
  </w:footnote>
  <w:footnote w:type="continuationSeparator" w:id="0">
    <w:p w14:paraId="240D961D" w14:textId="77777777" w:rsidR="00863F0C" w:rsidRDefault="00863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DCD"/>
    <w:multiLevelType w:val="hybridMultilevel"/>
    <w:tmpl w:val="EBEE9674"/>
    <w:lvl w:ilvl="0" w:tplc="64A696DA">
      <w:start w:val="1"/>
      <w:numFmt w:val="bullet"/>
      <w:lvlText w:val="●"/>
      <w:lvlJc w:val="left"/>
      <w:pPr>
        <w:ind w:left="720" w:hanging="360"/>
      </w:pPr>
    </w:lvl>
    <w:lvl w:ilvl="1" w:tplc="C106B42E">
      <w:start w:val="1"/>
      <w:numFmt w:val="bullet"/>
      <w:lvlText w:val="○"/>
      <w:lvlJc w:val="left"/>
      <w:pPr>
        <w:ind w:left="1440" w:hanging="360"/>
      </w:pPr>
    </w:lvl>
    <w:lvl w:ilvl="2" w:tplc="C1C2E048">
      <w:start w:val="1"/>
      <w:numFmt w:val="bullet"/>
      <w:lvlText w:val="■"/>
      <w:lvlJc w:val="left"/>
      <w:pPr>
        <w:ind w:left="2160" w:hanging="360"/>
      </w:pPr>
    </w:lvl>
    <w:lvl w:ilvl="3" w:tplc="B0B47B38">
      <w:start w:val="1"/>
      <w:numFmt w:val="bullet"/>
      <w:lvlText w:val="●"/>
      <w:lvlJc w:val="left"/>
      <w:pPr>
        <w:ind w:left="2880" w:hanging="360"/>
      </w:pPr>
    </w:lvl>
    <w:lvl w:ilvl="4" w:tplc="944E1EE0">
      <w:start w:val="1"/>
      <w:numFmt w:val="bullet"/>
      <w:lvlText w:val="○"/>
      <w:lvlJc w:val="left"/>
      <w:pPr>
        <w:ind w:left="3600" w:hanging="360"/>
      </w:pPr>
    </w:lvl>
    <w:lvl w:ilvl="5" w:tplc="DDE8B974">
      <w:start w:val="1"/>
      <w:numFmt w:val="bullet"/>
      <w:lvlText w:val="■"/>
      <w:lvlJc w:val="left"/>
      <w:pPr>
        <w:ind w:left="4320" w:hanging="360"/>
      </w:pPr>
    </w:lvl>
    <w:lvl w:ilvl="6" w:tplc="37A28B54">
      <w:start w:val="1"/>
      <w:numFmt w:val="bullet"/>
      <w:lvlText w:val="●"/>
      <w:lvlJc w:val="left"/>
      <w:pPr>
        <w:ind w:left="5040" w:hanging="360"/>
      </w:pPr>
    </w:lvl>
    <w:lvl w:ilvl="7" w:tplc="9DE87030">
      <w:start w:val="1"/>
      <w:numFmt w:val="bullet"/>
      <w:lvlText w:val="●"/>
      <w:lvlJc w:val="left"/>
      <w:pPr>
        <w:ind w:left="5760" w:hanging="360"/>
      </w:pPr>
    </w:lvl>
    <w:lvl w:ilvl="8" w:tplc="3E663916">
      <w:start w:val="1"/>
      <w:numFmt w:val="bullet"/>
      <w:lvlText w:val="●"/>
      <w:lvlJc w:val="left"/>
      <w:pPr>
        <w:ind w:left="6480" w:hanging="360"/>
      </w:pPr>
    </w:lvl>
  </w:abstractNum>
  <w:abstractNum w:abstractNumId="1" w15:restartNumberingAfterBreak="0">
    <w:nsid w:val="4608737D"/>
    <w:multiLevelType w:val="hybridMultilevel"/>
    <w:tmpl w:val="8A2A130A"/>
    <w:lvl w:ilvl="0" w:tplc="DC6EF0AC">
      <w:start w:val="1"/>
      <w:numFmt w:val="decimal"/>
      <w:lvlText w:val="%1."/>
      <w:lvlJc w:val="left"/>
      <w:pPr>
        <w:ind w:left="640" w:hanging="320"/>
      </w:pPr>
    </w:lvl>
    <w:lvl w:ilvl="1" w:tplc="935A836C">
      <w:numFmt w:val="decimal"/>
      <w:lvlText w:val=""/>
      <w:lvlJc w:val="left"/>
    </w:lvl>
    <w:lvl w:ilvl="2" w:tplc="3576559E">
      <w:numFmt w:val="decimal"/>
      <w:lvlText w:val=""/>
      <w:lvlJc w:val="left"/>
    </w:lvl>
    <w:lvl w:ilvl="3" w:tplc="E61C6A36">
      <w:numFmt w:val="decimal"/>
      <w:lvlText w:val=""/>
      <w:lvlJc w:val="left"/>
    </w:lvl>
    <w:lvl w:ilvl="4" w:tplc="149AB7B4">
      <w:numFmt w:val="decimal"/>
      <w:lvlText w:val=""/>
      <w:lvlJc w:val="left"/>
    </w:lvl>
    <w:lvl w:ilvl="5" w:tplc="1024A06E">
      <w:numFmt w:val="decimal"/>
      <w:lvlText w:val=""/>
      <w:lvlJc w:val="left"/>
    </w:lvl>
    <w:lvl w:ilvl="6" w:tplc="1E004D9E">
      <w:numFmt w:val="decimal"/>
      <w:lvlText w:val=""/>
      <w:lvlJc w:val="left"/>
    </w:lvl>
    <w:lvl w:ilvl="7" w:tplc="2EEEABAC">
      <w:numFmt w:val="decimal"/>
      <w:lvlText w:val=""/>
      <w:lvlJc w:val="left"/>
    </w:lvl>
    <w:lvl w:ilvl="8" w:tplc="74AE9AE6">
      <w:numFmt w:val="decimal"/>
      <w:lvlText w:val=""/>
      <w:lvlJc w:val="left"/>
    </w:lvl>
  </w:abstractNum>
  <w:abstractNum w:abstractNumId="2" w15:restartNumberingAfterBreak="0">
    <w:nsid w:val="7EC35120"/>
    <w:multiLevelType w:val="hybridMultilevel"/>
    <w:tmpl w:val="035AD10A"/>
    <w:lvl w:ilvl="0" w:tplc="0C88FBF6">
      <w:start w:val="1"/>
      <w:numFmt w:val="bullet"/>
      <w:lvlText w:val="•"/>
      <w:lvlJc w:val="left"/>
      <w:pPr>
        <w:ind w:left="640" w:hanging="320"/>
      </w:pPr>
    </w:lvl>
    <w:lvl w:ilvl="1" w:tplc="959E74EA">
      <w:numFmt w:val="decimal"/>
      <w:lvlText w:val=""/>
      <w:lvlJc w:val="left"/>
    </w:lvl>
    <w:lvl w:ilvl="2" w:tplc="C6762FE2">
      <w:numFmt w:val="decimal"/>
      <w:lvlText w:val=""/>
      <w:lvlJc w:val="left"/>
    </w:lvl>
    <w:lvl w:ilvl="3" w:tplc="7A64E2B8">
      <w:numFmt w:val="decimal"/>
      <w:lvlText w:val=""/>
      <w:lvlJc w:val="left"/>
    </w:lvl>
    <w:lvl w:ilvl="4" w:tplc="539CE744">
      <w:numFmt w:val="decimal"/>
      <w:lvlText w:val=""/>
      <w:lvlJc w:val="left"/>
    </w:lvl>
    <w:lvl w:ilvl="5" w:tplc="AFDABFF0">
      <w:numFmt w:val="decimal"/>
      <w:lvlText w:val=""/>
      <w:lvlJc w:val="left"/>
    </w:lvl>
    <w:lvl w:ilvl="6" w:tplc="F0882FEE">
      <w:numFmt w:val="decimal"/>
      <w:lvlText w:val=""/>
      <w:lvlJc w:val="left"/>
    </w:lvl>
    <w:lvl w:ilvl="7" w:tplc="0E9CB48A">
      <w:numFmt w:val="decimal"/>
      <w:lvlText w:val=""/>
      <w:lvlJc w:val="left"/>
    </w:lvl>
    <w:lvl w:ilvl="8" w:tplc="AB5EE766">
      <w:numFmt w:val="decimal"/>
      <w:lvlText w:val=""/>
      <w:lvlJc w:val="left"/>
    </w:lvl>
  </w:abstractNum>
  <w:num w:numId="1" w16cid:durableId="1009985027">
    <w:abstractNumId w:val="0"/>
    <w:lvlOverride w:ilvl="0">
      <w:startOverride w:val="1"/>
    </w:lvlOverride>
  </w:num>
  <w:num w:numId="2" w16cid:durableId="899832023">
    <w:abstractNumId w:val="2"/>
    <w:lvlOverride w:ilvl="0">
      <w:startOverride w:val="1"/>
    </w:lvlOverride>
  </w:num>
  <w:num w:numId="3" w16cid:durableId="2473528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C30"/>
    <w:rsid w:val="0053277D"/>
    <w:rsid w:val="007A6A50"/>
    <w:rsid w:val="00863F0C"/>
    <w:rsid w:val="00886C9E"/>
    <w:rsid w:val="0093538A"/>
    <w:rsid w:val="00CC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1E5385"/>
  <w15:docId w15:val="{3C26E246-B1DE-D54A-AD66-63E8490E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5DA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1803</Words>
  <Characters>11038</Characters>
  <Application>Microsoft Office Word</Application>
  <DocSecurity>0</DocSecurity>
  <Lines>408</Lines>
  <Paragraphs>207</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Dwivedi</cp:lastModifiedBy>
  <cp:revision>2</cp:revision>
  <dcterms:created xsi:type="dcterms:W3CDTF">2026-03-17T19:00:00Z</dcterms:created>
  <dcterms:modified xsi:type="dcterms:W3CDTF">2026-03-17T19:00:00Z</dcterms:modified>
</cp:coreProperties>
</file>