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48"/>
          <w:szCs w:val="48"/>
        </w:rPr>
        <w:t xml:space="preserve">Full Paper Landscape Analysis</w:t>
      </w:r>
    </w:p>
    <w:p>
      <w:pPr>
        <w:spacing w:after="200" w:before="0"/>
        <w:jc w:val="center"/>
      </w:pPr>
      <w:r>
        <w:rPr>
          <w:rFonts w:ascii="Arial" w:cs="Arial" w:eastAsia="Arial" w:hAnsi="Arial"/>
          <w:i/>
          <w:iCs/>
          <w:color w:val="2E75B6"/>
          <w:sz w:val="32"/>
          <w:szCs w:val="32"/>
        </w:rPr>
        <w:t xml:space="preserve">Where You Are vs Where You Are Going</w:t>
      </w:r>
    </w:p>
    <w:p>
      <w:pPr>
        <w:pBdr>
          <w:bottom w:val="single" w:color="2E75B6" w:sz="6" w:space="6"/>
        </w:pBdr>
        <w:spacing w:after="200" w:before="200"/>
        <w:jc w:val="center"/>
      </w:pPr>
      <w:r>
        <w:rPr>
          <w:rFonts w:ascii="Arial" w:cs="Arial" w:eastAsia="Arial" w:hAnsi="Arial"/>
          <w:sz w:val="22"/>
          <w:szCs w:val="22"/>
        </w:rPr>
        <w:t xml:space="preserve"/>
      </w:r>
    </w:p>
    <w:p>
      <w:pPr>
        <w:spacing w:after="80" w:before="240"/>
        <w:jc w:val="center"/>
      </w:pPr>
      <w:r>
        <w:rPr>
          <w:rFonts w:ascii="Arial" w:cs="Arial" w:eastAsia="Arial" w:hAnsi="Arial"/>
          <w:b/>
          <w:bCs/>
          <w:sz w:val="24"/>
          <w:szCs w:val="24"/>
        </w:rPr>
        <w:t xml:space="preserve">Research Topic: Poisoning-by-Mimicry in Heterogeneous</w:t>
      </w:r>
    </w:p>
    <w:p>
      <w:pPr>
        <w:spacing w:after="80" w:before="0"/>
        <w:jc w:val="center"/>
      </w:pPr>
      <w:r>
        <w:rPr>
          <w:rFonts w:ascii="Arial" w:cs="Arial" w:eastAsia="Arial" w:hAnsi="Arial"/>
          <w:b/>
          <w:bCs/>
          <w:sz w:val="24"/>
          <w:szCs w:val="24"/>
        </w:rPr>
        <w:t xml:space="preserve">Federated IoT Intrusion Detection Systems (NIMA)</w:t>
      </w:r>
    </w:p>
    <w:p>
      <w:pPr>
        <w:spacing w:after="80" w:before="240"/>
        <w:jc w:val="center"/>
      </w:pPr>
      <w:r>
        <w:rPr>
          <w:rFonts w:ascii="Arial" w:cs="Arial" w:eastAsia="Arial" w:hAnsi="Arial"/>
          <w:color w:val="555555"/>
          <w:sz w:val="22"/>
          <w:szCs w:val="22"/>
        </w:rPr>
        <w:t xml:space="preserve">Dataset: CICIoT2023</w:t>
      </w:r>
    </w:p>
    <w:p>
      <w:pPr>
        <w:spacing w:after="80" w:before="0"/>
        <w:jc w:val="center"/>
      </w:pPr>
      <w:r>
        <w:rPr>
          <w:rFonts w:ascii="Arial" w:cs="Arial" w:eastAsia="Arial" w:hAnsi="Arial"/>
          <w:color w:val="555555"/>
          <w:sz w:val="22"/>
          <w:szCs w:val="22"/>
        </w:rPr>
        <w:t xml:space="preserve">PhD — First Semester Research Reference</w:t>
      </w:r>
    </w:p>
    <w:p>
      <w:pPr>
        <w:spacing w:after="80" w:before="0"/>
        <w:jc w:val="center"/>
      </w:pPr>
      <w:r>
        <w:rPr>
          <w:rFonts w:ascii="Arial" w:cs="Arial" w:eastAsia="Arial" w:hAnsi="Arial"/>
          <w:color w:val="555555"/>
          <w:sz w:val="22"/>
          <w:szCs w:val="22"/>
        </w:rPr>
        <w:t xml:space="preserve">April 2026</w:t>
      </w:r>
    </w:p>
    <w:p>
      <w:r>
        <w:br w:type="page"/>
      </w:r>
    </w:p>
    <w:p>
      <w:pPr>
        <w:pStyle w:val="Heading1"/>
        <w:spacing w:after="180" w:before="360"/>
      </w:pPr>
      <w:r>
        <w:rPr>
          <w:rFonts w:ascii="Arial" w:cs="Arial" w:eastAsia="Arial" w:hAnsi="Arial"/>
          <w:b/>
          <w:bCs/>
          <w:sz w:val="32"/>
          <w:szCs w:val="32"/>
        </w:rPr>
        <w:t xml:space="preserve">The Full Research Arc</w:t>
      </w:r>
    </w:p>
    <w:p>
      <w:pPr>
        <w:spacing w:after="100" w:before="80" w:line="276"/>
      </w:pPr>
      <w:r>
        <w:rPr>
          <w:rFonts w:ascii="Arial" w:cs="Arial" w:eastAsia="Arial" w:hAnsi="Arial"/>
          <w:sz w:val="22"/>
          <w:szCs w:val="22"/>
        </w:rPr>
        <w:t xml:space="preserve">Understanding where each paper fits requires understanding what you are building. This is a 3-stage research project.</w:t>
      </w:r>
    </w:p>
    <w:p>
      <w:pPr>
        <w:spacing w:after="60" w:before="60"/>
      </w:pPr>
      <w:r>
        <w:t xml:space="preserve"/>
      </w:r>
    </w:p>
    <w:p>
      <w:pPr>
        <w:pStyle w:val="Heading2"/>
        <w:spacing w:after="120" w:before="280"/>
      </w:pPr>
      <w:r>
        <w:rPr>
          <w:rFonts w:ascii="Arial" w:cs="Arial" w:eastAsia="Arial" w:hAnsi="Arial"/>
          <w:b/>
          <w:bCs/>
          <w:sz w:val="26"/>
          <w:szCs w:val="26"/>
        </w:rPr>
        <w:t xml:space="preserve">Stage 1 — Centralized Baseline (Current)</w:t>
      </w:r>
    </w:p>
    <w:p>
      <w:pPr>
        <w:spacing w:after="100" w:before="80" w:line="276"/>
      </w:pPr>
      <w:r>
        <w:rPr>
          <w:rFonts w:ascii="Arial" w:cs="Arial" w:eastAsia="Arial" w:hAnsi="Arial"/>
          <w:sz w:val="22"/>
          <w:szCs w:val="22"/>
        </w:rPr>
        <w:t xml:space="preserve">Notebooks 01–08. RF, XGBoost, MLP, 1D CNN on CICIoT2023. 8-category multiclass classification. SMOTE-ENN balancing. Imbalanced test set. Per-class metrics. This is the ground truth upper bound that all FL experiments are measured against.</w:t>
      </w:r>
    </w:p>
    <w:p>
      <w:pPr>
        <w:pBdr>
          <w:top w:val="single" w:color="2E7D32" w:sz="4" w:space="4"/>
          <w:bottom w:val="single" w:color="2E7D32" w:sz="4" w:space="4"/>
          <w:left w:val="thick" w:color="2E7D32" w:sz="12" w:space="4"/>
          <w:right w:val="single" w:color="2E7D32" w:sz="4" w:space="4"/>
        </w:pBdr>
        <w:shd w:fill="E8F4E8" w:val="clear"/>
        <w:spacing w:after="120" w:before="120"/>
        <w:ind w:left="180" w:right="180"/>
      </w:pPr>
      <w:r>
        <w:rPr>
          <w:rFonts w:ascii="Arial" w:cs="Arial" w:eastAsia="Arial" w:hAnsi="Arial"/>
          <w:i/>
          <w:iCs/>
          <w:sz w:val="22"/>
          <w:szCs w:val="22"/>
        </w:rPr>
        <w:t xml:space="preserve">This is where you are right now. The centralized baseline is also independently publishable — no existing CICIoT2023 paper evaluates on an original imbalanced test set with proper deduplication and SMOTE-ENN across all 8 categories.</w:t>
      </w:r>
    </w:p>
    <w:p>
      <w:pPr>
        <w:spacing w:after="60" w:before="60"/>
      </w:pPr>
      <w:r>
        <w:t xml:space="preserve"/>
      </w:r>
    </w:p>
    <w:p>
      <w:pPr>
        <w:pStyle w:val="Heading2"/>
        <w:spacing w:after="120" w:before="280"/>
      </w:pPr>
      <w:r>
        <w:rPr>
          <w:rFonts w:ascii="Arial" w:cs="Arial" w:eastAsia="Arial" w:hAnsi="Arial"/>
          <w:b/>
          <w:bCs/>
          <w:sz w:val="26"/>
          <w:szCs w:val="26"/>
        </w:rPr>
        <w:t xml:space="preserve">Stage 2 — FL Simulation with Non-IID Partitioning</w:t>
      </w:r>
    </w:p>
    <w:p>
      <w:pPr>
        <w:spacing w:after="100" w:before="80" w:line="276"/>
      </w:pPr>
      <w:r>
        <w:rPr>
          <w:rFonts w:ascii="Arial" w:cs="Arial" w:eastAsia="Arial" w:hAnsi="Arial"/>
          <w:sz w:val="22"/>
          <w:szCs w:val="22"/>
        </w:rPr>
        <w:t xml:space="preserve">Simulate federated learning across heterogeneous IoT devices. Each device type sees different attack distributions (non-IID). Cameras only see web attacks. Routers see DDoS. Sensors see Mirai. Prove that a standard FL global model degrades compared to your centralized baseline — especially on minority classes (Web, BruteForce).</w:t>
      </w:r>
    </w:p>
    <w:p>
      <w:pPr>
        <w:spacing w:after="60" w:before="60"/>
      </w:pPr>
      <w:r>
        <w:t xml:space="preserve"/>
      </w:r>
    </w:p>
    <w:p>
      <w:pPr>
        <w:pStyle w:val="Heading2"/>
        <w:spacing w:after="120" w:before="280"/>
      </w:pPr>
      <w:r>
        <w:rPr>
          <w:rFonts w:ascii="Arial" w:cs="Arial" w:eastAsia="Arial" w:hAnsi="Arial"/>
          <w:b/>
          <w:bCs/>
          <w:sz w:val="26"/>
          <w:szCs w:val="26"/>
        </w:rPr>
        <w:t xml:space="preserve">Stage 3 — NIMA Attack and Defense</w:t>
      </w:r>
    </w:p>
    <w:p>
      <w:pPr>
        <w:spacing w:after="100" w:before="80" w:line="276"/>
      </w:pPr>
      <w:r>
        <w:rPr>
          <w:rFonts w:ascii="Arial" w:cs="Arial" w:eastAsia="Arial" w:hAnsi="Arial"/>
          <w:sz w:val="22"/>
          <w:szCs w:val="22"/>
        </w:rPr>
        <w:t xml:space="preserve">Introduce Poisoning-by-Mimicry (NIMA). A malicious client crafts poisoned model updates that look exactly like the legitimate gradient updates of a real heterogeneous device. Because existing defenses compare clients against a global average, they cannot tell the poisoned update from a real non-IID update.</w:t>
      </w:r>
    </w:p>
    <w:p>
      <w:pPr>
        <w:spacing w:after="60" w:before="60"/>
      </w:pPr>
      <w:r>
        <w:t xml:space="preserve"/>
      </w:r>
    </w:p>
    <w:p>
      <w:pPr>
        <w:spacing w:after="100" w:before="80" w:line="276"/>
      </w:pPr>
      <w:r>
        <w:rPr>
          <w:rFonts w:ascii="Arial" w:cs="Arial" w:eastAsia="Arial" w:hAnsi="Arial"/>
          <w:b/>
          <w:bCs/>
          <w:sz w:val="22"/>
          <w:szCs w:val="22"/>
        </w:rPr>
        <w:t xml:space="preserve">Your proposed defense estimates what each individual client's gradient distribution should look like (D-hat-i-conditioned bands) and flags anomalies at the per-client level. This is the key differentiator from every existing paper in this space.</w:t>
      </w:r>
    </w:p>
    <w:p>
      <w:pPr>
        <w:spacing w:after="60" w:before="60"/>
      </w:pPr>
      <w:r>
        <w:t xml:space="preserve"/>
      </w:r>
    </w:p>
    <w:p>
      <w:pPr>
        <w:pBdr>
          <w:bottom w:val="single" w:color="CCCCCC" w:sz="4" w:space="1"/>
        </w:pBdr>
        <w:spacing w:after="120" w:before="120"/>
      </w:pPr>
      <w:r>
        <w:t xml:space="preserve"/>
      </w:r>
    </w:p>
    <w:p>
      <w:pPr>
        <w:pStyle w:val="Heading1"/>
        <w:spacing w:after="180" w:before="360"/>
      </w:pPr>
      <w:r>
        <w:rPr>
          <w:rFonts w:ascii="Arial" w:cs="Arial" w:eastAsia="Arial" w:hAnsi="Arial"/>
          <w:b/>
          <w:bCs/>
          <w:sz w:val="32"/>
          <w:szCs w:val="32"/>
        </w:rPr>
        <w:t xml:space="preserve">Layer 1 — Foundation Papers</w:t>
      </w:r>
    </w:p>
    <w:p>
      <w:pPr>
        <w:spacing w:after="100" w:before="80" w:line="276"/>
      </w:pPr>
      <w:r>
        <w:rPr>
          <w:rFonts w:ascii="Arial" w:cs="Arial" w:eastAsia="Arial" w:hAnsi="Arial"/>
          <w:sz w:val="22"/>
          <w:szCs w:val="22"/>
        </w:rPr>
        <w:t xml:space="preserve">These are the papers every FL security paper cites. They establish what FL is, how it aggregates, and how it fails.</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FedAvg — McMahan et al. (AISTATS 2017)</w:t>
      </w:r>
    </w:p>
    <w:p>
      <w:pPr>
        <w:spacing w:after="100" w:before="80" w:line="276"/>
      </w:pPr>
      <w:r>
        <w:rPr>
          <w:rFonts w:ascii="Arial" w:cs="Arial" w:eastAsia="Arial" w:hAnsi="Arial"/>
          <w:b/>
          <w:bCs/>
          <w:sz w:val="22"/>
          <w:szCs w:val="22"/>
        </w:rPr>
        <w:t xml:space="preserve">What they did: </w:t>
      </w:r>
      <w:r>
        <w:rPr>
          <w:rFonts w:ascii="Arial" w:cs="Arial" w:eastAsia="Arial" w:hAnsi="Arial"/>
          <w:sz w:val="22"/>
          <w:szCs w:val="22"/>
        </w:rPr>
        <w:t xml:space="preserve">Invented modern federated learning. Instead of sending raw data to a server, each client trains locally for several steps, then sends only the model weights. The server averages all received weights (FedAvg) and sends the global model back.</w:t>
      </w:r>
    </w:p>
    <w:p>
      <w:pPr>
        <w:spacing w:after="100" w:before="80" w:line="276"/>
      </w:pPr>
      <w:r>
        <w:rPr>
          <w:rFonts w:ascii="Arial" w:cs="Arial" w:eastAsia="Arial" w:hAnsi="Arial"/>
          <w:b/>
          <w:bCs/>
          <w:sz w:val="22"/>
          <w:szCs w:val="22"/>
        </w:rPr>
        <w:t xml:space="preserve">What they did NOT solve: </w:t>
      </w:r>
      <w:r>
        <w:rPr>
          <w:rFonts w:ascii="Arial" w:cs="Arial" w:eastAsia="Arial" w:hAnsi="Arial"/>
          <w:sz w:val="22"/>
          <w:szCs w:val="22"/>
        </w:rPr>
        <w:t xml:space="preserve">FedAvg completely breaks under two conditions — malicious clients (poisoning) and non-IID data (clients with very different distributions). Both conditions describe IoT exactly.</w:t>
      </w:r>
    </w:p>
    <w:p>
      <w:pPr>
        <w:spacing w:after="100" w:before="80" w:line="276"/>
      </w:pPr>
      <w:r>
        <w:rPr>
          <w:rFonts w:ascii="Arial" w:cs="Arial" w:eastAsia="Arial" w:hAnsi="Arial"/>
          <w:b/>
          <w:bCs/>
          <w:sz w:val="22"/>
          <w:szCs w:val="22"/>
        </w:rPr>
        <w:t xml:space="preserve">Your use: </w:t>
      </w:r>
      <w:r>
        <w:rPr>
          <w:rFonts w:ascii="Arial" w:cs="Arial" w:eastAsia="Arial" w:hAnsi="Arial"/>
          <w:sz w:val="22"/>
          <w:szCs w:val="22"/>
        </w:rPr>
        <w:t xml:space="preserve">FedAvg is your Table 1 baseline. Every experiment compares against it. Must cite always.</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Krum — Blanchard et al. (NeurIPS 2017)</w:t>
      </w:r>
    </w:p>
    <w:p>
      <w:pPr>
        <w:spacing w:after="100" w:before="80" w:line="276"/>
      </w:pPr>
      <w:r>
        <w:rPr>
          <w:rFonts w:ascii="Arial" w:cs="Arial" w:eastAsia="Arial" w:hAnsi="Arial"/>
          <w:b/>
          <w:bCs/>
          <w:sz w:val="22"/>
          <w:szCs w:val="22"/>
        </w:rPr>
        <w:t xml:space="preserve">What they did: </w:t>
      </w:r>
      <w:r>
        <w:rPr>
          <w:rFonts w:ascii="Arial" w:cs="Arial" w:eastAsia="Arial" w:hAnsi="Arial"/>
          <w:sz w:val="22"/>
          <w:szCs w:val="22"/>
        </w:rPr>
        <w:t xml:space="preserve">First Byzantine-robust aggregation rule. Instead of averaging all client updates, Krum selects the single client update whose sum of distances to its nearest neighbors is smallest — the most 'central' update.</w:t>
      </w:r>
    </w:p>
    <w:p>
      <w:pPr>
        <w:spacing w:after="100" w:before="80" w:line="276"/>
      </w:pPr>
      <w:r>
        <w:rPr>
          <w:rFonts w:ascii="Arial" w:cs="Arial" w:eastAsia="Arial" w:hAnsi="Arial"/>
          <w:b/>
          <w:bCs/>
          <w:sz w:val="22"/>
          <w:szCs w:val="22"/>
        </w:rPr>
        <w:t xml:space="preserve">The fatal flaw: </w:t>
      </w:r>
      <w:r>
        <w:rPr>
          <w:rFonts w:ascii="Arial" w:cs="Arial" w:eastAsia="Arial" w:hAnsi="Arial"/>
          <w:sz w:val="22"/>
          <w:szCs w:val="22"/>
        </w:rPr>
        <w:t xml:space="preserve">Assumes IID data. In non-IID settings, legitimate clients already look far apart. A camera client update looks very different from a sensor client update — both legitimate, but Krum might flag one as malicious. NIMA exploits this directly.</w:t>
      </w:r>
    </w:p>
    <w:p>
      <w:pPr>
        <w:spacing w:after="100" w:before="80" w:line="276"/>
      </w:pPr>
      <w:r>
        <w:rPr>
          <w:rFonts w:ascii="Arial" w:cs="Arial" w:eastAsia="Arial" w:hAnsi="Arial"/>
          <w:b/>
          <w:bCs/>
          <w:sz w:val="22"/>
          <w:szCs w:val="22"/>
        </w:rPr>
        <w:t xml:space="preserve">Your use: </w:t>
      </w:r>
      <w:r>
        <w:rPr>
          <w:rFonts w:ascii="Arial" w:cs="Arial" w:eastAsia="Arial" w:hAnsi="Arial"/>
          <w:sz w:val="22"/>
          <w:szCs w:val="22"/>
        </w:rPr>
        <w:t xml:space="preserve">Cite as 'global-threshold defense that NIMA bypasses.'</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Byzantine-Robust via Trimmed Mean and Coordinate-wise Median — Yin et al. (ICML 2018)</w:t>
      </w:r>
    </w:p>
    <w:p>
      <w:pPr>
        <w:spacing w:after="100" w:before="80" w:line="276"/>
      </w:pPr>
      <w:r>
        <w:rPr>
          <w:rFonts w:ascii="Arial" w:cs="Arial" w:eastAsia="Arial" w:hAnsi="Arial"/>
          <w:b/>
          <w:bCs/>
          <w:sz w:val="22"/>
          <w:szCs w:val="22"/>
        </w:rPr>
        <w:t xml:space="preserve">What they did: </w:t>
      </w:r>
      <w:r>
        <w:rPr>
          <w:rFonts w:ascii="Arial" w:cs="Arial" w:eastAsia="Arial" w:hAnsi="Arial"/>
          <w:sz w:val="22"/>
          <w:szCs w:val="22"/>
        </w:rPr>
        <w:t xml:space="preserve">Instead of selecting one update (Krum), take the median or a trimmed mean coordinate-by-coordinate. Same Byzantine-robustness guarantee but more scalable.</w:t>
      </w:r>
    </w:p>
    <w:p>
      <w:pPr>
        <w:spacing w:after="100" w:before="80" w:line="276"/>
      </w:pPr>
      <w:r>
        <w:rPr>
          <w:rFonts w:ascii="Arial" w:cs="Arial" w:eastAsia="Arial" w:hAnsi="Arial"/>
          <w:b/>
          <w:bCs/>
          <w:sz w:val="22"/>
          <w:szCs w:val="22"/>
        </w:rPr>
        <w:t xml:space="preserve">Same problem: </w:t>
      </w:r>
      <w:r>
        <w:rPr>
          <w:rFonts w:ascii="Arial" w:cs="Arial" w:eastAsia="Arial" w:hAnsi="Arial"/>
          <w:sz w:val="22"/>
          <w:szCs w:val="22"/>
        </w:rPr>
        <w:t xml:space="preserve">Assumes near-IID. In heterogeneous IoT, the legitimate spread of values is already wide. The trimmed region may accidentally exclude real clients.</w:t>
      </w:r>
    </w:p>
    <w:p>
      <w:pPr>
        <w:spacing w:after="100" w:before="80" w:line="276"/>
      </w:pPr>
      <w:r>
        <w:rPr>
          <w:rFonts w:ascii="Arial" w:cs="Arial" w:eastAsia="Arial" w:hAnsi="Arial"/>
          <w:b/>
          <w:bCs/>
          <w:sz w:val="22"/>
          <w:szCs w:val="22"/>
        </w:rPr>
        <w:t xml:space="preserve">Your use: </w:t>
      </w:r>
      <w:r>
        <w:rPr>
          <w:rFonts w:ascii="Arial" w:cs="Arial" w:eastAsia="Arial" w:hAnsi="Arial"/>
          <w:sz w:val="22"/>
          <w:szCs w:val="22"/>
        </w:rPr>
        <w:t xml:space="preserve">Cite alongside Krum as 'baseline Byzantine-robust rules that fail under non-IID.'</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FedProx — Li et al. (MLSys 2020)</w:t>
      </w:r>
    </w:p>
    <w:p>
      <w:pPr>
        <w:spacing w:after="100" w:before="80" w:line="276"/>
      </w:pPr>
      <w:r>
        <w:rPr>
          <w:rFonts w:ascii="Arial" w:cs="Arial" w:eastAsia="Arial" w:hAnsi="Arial"/>
          <w:b/>
          <w:bCs/>
          <w:sz w:val="22"/>
          <w:szCs w:val="22"/>
        </w:rPr>
        <w:t xml:space="preserve">What they did: </w:t>
      </w:r>
      <w:r>
        <w:rPr>
          <w:rFonts w:ascii="Arial" w:cs="Arial" w:eastAsia="Arial" w:hAnsi="Arial"/>
          <w:sz w:val="22"/>
          <w:szCs w:val="22"/>
        </w:rPr>
        <w:t xml:space="preserve">Added a proximal term to the local loss function that pulls each client's update back toward the global model. Prevents drift when clients have heterogeneous hardware or data.</w:t>
      </w:r>
    </w:p>
    <w:p>
      <w:pPr>
        <w:spacing w:after="100" w:before="80" w:line="276"/>
      </w:pPr>
      <w:r>
        <w:rPr>
          <w:rFonts w:ascii="Arial" w:cs="Arial" w:eastAsia="Arial" w:hAnsi="Arial"/>
          <w:b/>
          <w:bCs/>
          <w:sz w:val="22"/>
          <w:szCs w:val="22"/>
        </w:rPr>
        <w:t xml:space="preserve">Critical distinction: </w:t>
      </w:r>
      <w:r>
        <w:rPr>
          <w:rFonts w:ascii="Arial" w:cs="Arial" w:eastAsia="Arial" w:hAnsi="Arial"/>
          <w:sz w:val="22"/>
          <w:szCs w:val="22"/>
        </w:rPr>
        <w:t xml:space="preserve">FedProx addresses heterogeneity for convergence, not for security. It helps the global model converge when data distributions differ. It does not detect or prevent poisoning.</w:t>
      </w:r>
    </w:p>
    <w:p>
      <w:pPr>
        <w:spacing w:after="100" w:before="80" w:line="276"/>
      </w:pPr>
      <w:r>
        <w:rPr>
          <w:rFonts w:ascii="Arial" w:cs="Arial" w:eastAsia="Arial" w:hAnsi="Arial"/>
          <w:b/>
          <w:bCs/>
          <w:sz w:val="22"/>
          <w:szCs w:val="22"/>
        </w:rPr>
        <w:t xml:space="preserve">Your use: </w:t>
      </w:r>
      <w:r>
        <w:rPr>
          <w:rFonts w:ascii="Arial" w:cs="Arial" w:eastAsia="Arial" w:hAnsi="Arial"/>
          <w:sz w:val="22"/>
          <w:szCs w:val="22"/>
        </w:rPr>
        <w:t xml:space="preserve">Cite as contrast: 'FedProx handles resource heterogeneity for convergence — we handle it for security. These are different problems.'</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SCAFFOLD — Karimireddy et al. (ICML 2020)</w:t>
      </w:r>
    </w:p>
    <w:p>
      <w:pPr>
        <w:spacing w:after="100" w:before="80" w:line="276"/>
      </w:pPr>
      <w:r>
        <w:rPr>
          <w:rFonts w:ascii="Arial" w:cs="Arial" w:eastAsia="Arial" w:hAnsi="Arial"/>
          <w:b/>
          <w:bCs/>
          <w:sz w:val="22"/>
          <w:szCs w:val="22"/>
        </w:rPr>
        <w:t xml:space="preserve">What they did: </w:t>
      </w:r>
      <w:r>
        <w:rPr>
          <w:rFonts w:ascii="Arial" w:cs="Arial" w:eastAsia="Arial" w:hAnsi="Arial"/>
          <w:sz w:val="22"/>
          <w:szCs w:val="22"/>
        </w:rPr>
        <w:t xml:space="preserve">Introduced control variates to fix client drift in FL. Each client maintains a correction term estimating how much its gradient deviates from the true global gradient.</w:t>
      </w:r>
    </w:p>
    <w:p>
      <w:pPr>
        <w:spacing w:after="100" w:before="80" w:line="276"/>
      </w:pPr>
      <w:r>
        <w:rPr>
          <w:rFonts w:ascii="Arial" w:cs="Arial" w:eastAsia="Arial" w:hAnsi="Arial"/>
          <w:b/>
          <w:bCs/>
          <w:sz w:val="22"/>
          <w:szCs w:val="22"/>
        </w:rPr>
        <w:t xml:space="preserve">Your use: </w:t>
      </w:r>
      <w:r>
        <w:rPr>
          <w:rFonts w:ascii="Arial" w:cs="Arial" w:eastAsia="Arial" w:hAnsi="Arial"/>
          <w:sz w:val="22"/>
          <w:szCs w:val="22"/>
        </w:rPr>
        <w:t xml:space="preserve">Cite in theoretical/convergence section. If you claim your defense works, you need to show the global model still converges under your defense.</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CICIoT2023 Dataset — Neto et al. (Sensors 2023)</w:t>
      </w:r>
    </w:p>
    <w:p>
      <w:pPr>
        <w:spacing w:after="100" w:before="80" w:line="276"/>
      </w:pPr>
      <w:r>
        <w:rPr>
          <w:rFonts w:ascii="Arial" w:cs="Arial" w:eastAsia="Arial" w:hAnsi="Arial"/>
          <w:b/>
          <w:bCs/>
          <w:sz w:val="22"/>
          <w:szCs w:val="22"/>
        </w:rPr>
        <w:t xml:space="preserve">What they did: </w:t>
      </w:r>
      <w:r>
        <w:rPr>
          <w:rFonts w:ascii="Arial" w:cs="Arial" w:eastAsia="Arial" w:hAnsi="Arial"/>
          <w:sz w:val="22"/>
          <w:szCs w:val="22"/>
        </w:rPr>
        <w:t xml:space="preserve">Created the dataset you are using. 105 real IoT devices, 33 attacks across 7 categories (your grouping adds Benign as an 8th), captured in a real lab environment. All attacks performed by malicious IoT devices targeting other IoT devices — a unique property.</w:t>
      </w:r>
    </w:p>
    <w:p>
      <w:pPr>
        <w:spacing w:after="100" w:before="80" w:line="276"/>
      </w:pPr>
      <w:r>
        <w:rPr>
          <w:rFonts w:ascii="Arial" w:cs="Arial" w:eastAsia="Arial" w:hAnsi="Arial"/>
          <w:b/>
          <w:bCs/>
          <w:sz w:val="22"/>
          <w:szCs w:val="22"/>
        </w:rPr>
        <w:t xml:space="preserve">Your use: </w:t>
      </w:r>
      <w:r>
        <w:rPr>
          <w:rFonts w:ascii="Arial" w:cs="Arial" w:eastAsia="Arial" w:hAnsi="Arial"/>
          <w:sz w:val="22"/>
          <w:szCs w:val="22"/>
        </w:rPr>
        <w:t xml:space="preserve">Must always cite as your primary benchmark. This is the dataset paper.</w:t>
      </w:r>
    </w:p>
    <w:p>
      <w:pPr>
        <w:spacing w:after="60" w:before="60"/>
      </w:pPr>
      <w:r>
        <w:t xml:space="preserve"/>
      </w:r>
    </w:p>
    <w:p>
      <w:pPr>
        <w:pBdr>
          <w:bottom w:val="single" w:color="CCCCCC" w:sz="4" w:space="1"/>
        </w:pBdr>
        <w:spacing w:after="120" w:before="120"/>
      </w:pPr>
      <w:r>
        <w:t xml:space="preserve"/>
      </w:r>
    </w:p>
    <w:p>
      <w:pPr>
        <w:pStyle w:val="Heading1"/>
        <w:spacing w:after="180" w:before="360"/>
      </w:pPr>
      <w:r>
        <w:rPr>
          <w:rFonts w:ascii="Arial" w:cs="Arial" w:eastAsia="Arial" w:hAnsi="Arial"/>
          <w:b/>
          <w:bCs/>
          <w:sz w:val="32"/>
          <w:szCs w:val="32"/>
        </w:rPr>
        <w:t xml:space="preserve">Layer 2 — Attack Papers</w:t>
      </w:r>
    </w:p>
    <w:p>
      <w:pPr>
        <w:spacing w:after="100" w:before="80" w:line="276"/>
      </w:pPr>
      <w:r>
        <w:rPr>
          <w:rFonts w:ascii="Arial" w:cs="Arial" w:eastAsia="Arial" w:hAnsi="Arial"/>
          <w:sz w:val="22"/>
          <w:szCs w:val="22"/>
        </w:rPr>
        <w:t xml:space="preserve">These papers define the threat landscape. Understanding them tells you what your NIMA attack is building on and how to position it as novel.</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How to Backdoor Federated Learning (Model Replacement) — Bagdasaryan et al. (AISTATS 2020)</w:t>
      </w:r>
    </w:p>
    <w:p>
      <w:pPr>
        <w:spacing w:after="100" w:before="80" w:line="276"/>
      </w:pPr>
      <w:r>
        <w:rPr>
          <w:rFonts w:ascii="Arial" w:cs="Arial" w:eastAsia="Arial" w:hAnsi="Arial"/>
          <w:b/>
          <w:bCs/>
          <w:sz w:val="22"/>
          <w:szCs w:val="22"/>
        </w:rPr>
        <w:t xml:space="preserve">What they did: </w:t>
      </w:r>
      <w:r>
        <w:rPr>
          <w:rFonts w:ascii="Arial" w:cs="Arial" w:eastAsia="Arial" w:hAnsi="Arial"/>
          <w:sz w:val="22"/>
          <w:szCs w:val="22"/>
        </w:rPr>
        <w:t xml:space="preserve">First clean formulation of a targeted backdoor in FL. The attacker controls one client and scales their poisoned update by a large factor so server averaging does not dilute it. Effect: the global model classifies a specific trigger pattern as a wrong class — but performs normally everywhere else.</w:t>
      </w:r>
    </w:p>
    <w:p>
      <w:pPr>
        <w:spacing w:after="100" w:before="80" w:line="276"/>
      </w:pPr>
      <w:r>
        <w:rPr>
          <w:rFonts w:ascii="Arial" w:cs="Arial" w:eastAsia="Arial" w:hAnsi="Arial"/>
          <w:b/>
          <w:bCs/>
          <w:sz w:val="22"/>
          <w:szCs w:val="22"/>
        </w:rPr>
        <w:t xml:space="preserve">Key insight: </w:t>
      </w:r>
      <w:r>
        <w:rPr>
          <w:rFonts w:ascii="Arial" w:cs="Arial" w:eastAsia="Arial" w:hAnsi="Arial"/>
          <w:sz w:val="22"/>
          <w:szCs w:val="22"/>
        </w:rPr>
        <w:t xml:space="preserve">FL is vulnerable because the server cannot verify what each client trained on. A client can submit anything.</w:t>
      </w:r>
    </w:p>
    <w:p>
      <w:pPr>
        <w:spacing w:after="100" w:before="80" w:line="276"/>
      </w:pPr>
      <w:r>
        <w:rPr>
          <w:rFonts w:ascii="Arial" w:cs="Arial" w:eastAsia="Arial" w:hAnsi="Arial"/>
          <w:b/>
          <w:bCs/>
          <w:sz w:val="22"/>
          <w:szCs w:val="22"/>
        </w:rPr>
        <w:t xml:space="preserve">Your use: </w:t>
      </w:r>
      <w:r>
        <w:rPr>
          <w:rFonts w:ascii="Arial" w:cs="Arial" w:eastAsia="Arial" w:hAnsi="Arial"/>
          <w:sz w:val="22"/>
          <w:szCs w:val="22"/>
        </w:rPr>
        <w:t xml:space="preserve">Background context for 'why FL is inherently vulnerable.' Not your attack type (you do untargeted mimicry, not backdoor). Cite as related attack family.</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Local Model Poisoning Attacks — Fang et al. (USENIX Security 2020)</w:t>
      </w:r>
    </w:p>
    <w:p>
      <w:pPr>
        <w:spacing w:after="100" w:before="80" w:line="276"/>
      </w:pPr>
      <w:r>
        <w:rPr>
          <w:rFonts w:ascii="Arial" w:cs="Arial" w:eastAsia="Arial" w:hAnsi="Arial"/>
          <w:b/>
          <w:bCs/>
          <w:sz w:val="22"/>
          <w:szCs w:val="22"/>
        </w:rPr>
        <w:t xml:space="preserve">What they did: </w:t>
      </w:r>
      <w:r>
        <w:rPr>
          <w:rFonts w:ascii="Arial" w:cs="Arial" w:eastAsia="Arial" w:hAnsi="Arial"/>
          <w:sz w:val="22"/>
          <w:szCs w:val="22"/>
        </w:rPr>
        <w:t xml:space="preserve">First systematic study of untargeted model poisoning in FL — attacks that degrade overall model accuracy rather than flipping specific classes. Formulated poisoning as an optimization problem: find the worst-case malicious update that maximally hurts accuracy while staying close enough to the benign gradient distribution to avoid detection.</w:t>
      </w:r>
    </w:p>
    <w:p>
      <w:pPr>
        <w:spacing w:after="100" w:before="80" w:line="276"/>
      </w:pPr>
      <w:r>
        <w:rPr>
          <w:rFonts w:ascii="Arial" w:cs="Arial" w:eastAsia="Arial" w:hAnsi="Arial"/>
          <w:b/>
          <w:bCs/>
          <w:sz w:val="22"/>
          <w:szCs w:val="22"/>
        </w:rPr>
        <w:t xml:space="preserve">Key result: </w:t>
      </w:r>
      <w:r>
        <w:rPr>
          <w:rFonts w:ascii="Arial" w:cs="Arial" w:eastAsia="Arial" w:hAnsi="Arial"/>
          <w:sz w:val="22"/>
          <w:szCs w:val="22"/>
        </w:rPr>
        <w:t xml:space="preserve">Even state-of-the-art Byzantine-robust aggregation rules (Krum, Trimmed Mean, FLTrust) can be broken by an adaptive attacker who knows which rule is being used.</w:t>
      </w:r>
    </w:p>
    <w:p>
      <w:pPr>
        <w:spacing w:after="100" w:before="80" w:line="276"/>
      </w:pPr>
      <w:r>
        <w:rPr>
          <w:rFonts w:ascii="Arial" w:cs="Arial" w:eastAsia="Arial" w:hAnsi="Arial"/>
          <w:b/>
          <w:bCs/>
          <w:sz w:val="22"/>
          <w:szCs w:val="22"/>
        </w:rPr>
        <w:t xml:space="preserve">Your use: </w:t>
      </w:r>
      <w:r>
        <w:rPr>
          <w:rFonts w:ascii="Arial" w:cs="Arial" w:eastAsia="Arial" w:hAnsi="Arial"/>
          <w:sz w:val="22"/>
          <w:szCs w:val="22"/>
        </w:rPr>
        <w:t xml:space="preserve">Foundational attack formulation. NIMA is a specific subclass — you specialize it to the non-IID IoT setting where the attacker mimics a specific client's distribution rather than staying close to a global distribution.</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Manipulating the Byzantine — Shejwalkar &amp; Houmansadr (NDSS 2021)</w:t>
      </w:r>
    </w:p>
    <w:p>
      <w:pPr>
        <w:spacing w:after="100" w:before="80" w:line="276"/>
      </w:pPr>
      <w:r>
        <w:rPr>
          <w:rFonts w:ascii="Arial" w:cs="Arial" w:eastAsia="Arial" w:hAnsi="Arial"/>
          <w:sz w:val="22"/>
          <w:szCs w:val="22"/>
        </w:rPr>
        <w:t xml:space="preserve">One of the two most important attack papers for your thesis.</w:t>
      </w:r>
    </w:p>
    <w:p>
      <w:pPr>
        <w:spacing w:after="100" w:before="80" w:line="276"/>
      </w:pPr>
      <w:r>
        <w:rPr>
          <w:rFonts w:ascii="Arial" w:cs="Arial" w:eastAsia="Arial" w:hAnsi="Arial"/>
          <w:b/>
          <w:bCs/>
          <w:sz w:val="22"/>
          <w:szCs w:val="22"/>
        </w:rPr>
        <w:t xml:space="preserve">What they did: </w:t>
      </w:r>
      <w:r>
        <w:rPr>
          <w:rFonts w:ascii="Arial" w:cs="Arial" w:eastAsia="Arial" w:hAnsi="Arial"/>
          <w:sz w:val="22"/>
          <w:szCs w:val="22"/>
        </w:rPr>
        <w:t xml:space="preserve">Presented a general framework for model poisoning that works against any aggregation rule. They optimize the poisoned update to satisfy two constraints simultaneously: (1) maximize model accuracy degradation, and (2) pass whatever aggregation filter is in use.</w:t>
      </w:r>
    </w:p>
    <w:p>
      <w:pPr>
        <w:spacing w:after="100" w:before="80" w:line="276"/>
      </w:pPr>
      <w:r>
        <w:rPr>
          <w:rFonts w:ascii="Arial" w:cs="Arial" w:eastAsia="Arial" w:hAnsi="Arial"/>
          <w:b/>
          <w:bCs/>
          <w:sz w:val="22"/>
          <w:szCs w:val="22"/>
        </w:rPr>
        <w:t xml:space="preserve">Critical result for your work: </w:t>
      </w:r>
      <w:r>
        <w:rPr>
          <w:rFonts w:ascii="Arial" w:cs="Arial" w:eastAsia="Arial" w:hAnsi="Arial"/>
          <w:sz w:val="22"/>
          <w:szCs w:val="22"/>
        </w:rPr>
        <w:t xml:space="preserve">As the non-IID degree of data increases, the impact of all model poisoning attacks increases. Higher non-IID degrees make it difficult for Byzantine-robust aggregation rules to reliably detect and remove malicious gradients.</w:t>
      </w:r>
    </w:p>
    <w:p>
      <w:pPr>
        <w:pBdr>
          <w:top w:val="single" w:color="FFA000" w:sz="4" w:space="4"/>
          <w:bottom w:val="single" w:color="FFA000" w:sz="4" w:space="4"/>
          <w:left w:val="thick" w:color="FFA000" w:sz="12" w:space="4"/>
          <w:right w:val="single" w:color="FFA000" w:sz="4" w:space="4"/>
        </w:pBdr>
        <w:shd w:fill="FFF3CD" w:val="clear"/>
        <w:spacing w:after="120" w:before="120"/>
        <w:ind w:left="180" w:right="180"/>
      </w:pPr>
      <w:r>
        <w:rPr>
          <w:rFonts w:ascii="Arial" w:cs="Arial" w:eastAsia="Arial" w:hAnsi="Arial"/>
          <w:i/>
          <w:iCs/>
          <w:sz w:val="22"/>
          <w:szCs w:val="22"/>
        </w:rPr>
        <w:t xml:space="preserve">This is your core theoretical motivation. NIMA is specifically designed for the high non-IID IoT setting where this effect is strongest. You are not just observing this — you are building an attack that deliberately maximizes it by mimicking per-client distributions.</w:t>
      </w:r>
    </w:p>
    <w:p>
      <w:pPr>
        <w:spacing w:after="100" w:before="80" w:line="276"/>
      </w:pPr>
      <w:r>
        <w:rPr>
          <w:rFonts w:ascii="Arial" w:cs="Arial" w:eastAsia="Arial" w:hAnsi="Arial"/>
          <w:b w:val="false"/>
          <w:bCs w:val="false"/>
          <w:sz w:val="22"/>
          <w:szCs w:val="22"/>
        </w:rPr>
        <w:t xml:space="preserve">They also introduced DnC (Divide and Conquer) defense, </w:t>
      </w:r>
      <w:r>
        <w:rPr>
          <w:rFonts w:ascii="Arial" w:cs="Arial" w:eastAsia="Arial" w:hAnsi="Arial"/>
          <w:i/>
          <w:iCs/>
          <w:sz w:val="22"/>
          <w:szCs w:val="22"/>
        </w:rPr>
        <w:t xml:space="preserve">which uses global PCA-based outlier detection. It still does not model per-client expected distributions. NIMA defeats it.</w:t>
      </w:r>
    </w:p>
    <w:p>
      <w:pPr>
        <w:spacing w:after="100" w:before="80" w:line="276"/>
      </w:pPr>
      <w:r>
        <w:rPr>
          <w:rFonts w:ascii="Arial" w:cs="Arial" w:eastAsia="Arial" w:hAnsi="Arial"/>
          <w:b/>
          <w:bCs/>
          <w:sz w:val="22"/>
          <w:szCs w:val="22"/>
        </w:rPr>
        <w:t xml:space="preserve">Your use: </w:t>
      </w:r>
      <w:r>
        <w:rPr>
          <w:rFonts w:ascii="Arial" w:cs="Arial" w:eastAsia="Arial" w:hAnsi="Arial"/>
          <w:sz w:val="22"/>
          <w:szCs w:val="22"/>
        </w:rPr>
        <w:t xml:space="preserve">Cite in Introduction as foundational motivation for why adaptive poisoning in non-IID settings is unsolved.</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Back to the Drawing Board — Shejwalkar, Houmansadr, Kairouz, Ramage (IEEE S&amp;P 2022)</w:t>
      </w:r>
    </w:p>
    <w:p>
      <w:pPr>
        <w:spacing w:after="100" w:before="80" w:line="276"/>
      </w:pPr>
      <w:r>
        <w:rPr>
          <w:rFonts w:ascii="Arial" w:cs="Arial" w:eastAsia="Arial" w:hAnsi="Arial"/>
          <w:sz w:val="22"/>
          <w:szCs w:val="22"/>
        </w:rPr>
        <w:t xml:space="preserve">A Google-authored reality check on the entire FL poisoning literature.</w:t>
      </w:r>
    </w:p>
    <w:p>
      <w:pPr>
        <w:spacing w:after="100" w:before="80" w:line="276"/>
      </w:pPr>
      <w:r>
        <w:rPr>
          <w:rFonts w:ascii="Arial" w:cs="Arial" w:eastAsia="Arial" w:hAnsi="Arial"/>
          <w:b/>
          <w:bCs/>
          <w:sz w:val="22"/>
          <w:szCs w:val="22"/>
        </w:rPr>
        <w:t xml:space="preserve">What they did: </w:t>
      </w:r>
      <w:r>
        <w:rPr>
          <w:rFonts w:ascii="Arial" w:cs="Arial" w:eastAsia="Arial" w:hAnsi="Arial"/>
          <w:sz w:val="22"/>
          <w:szCs w:val="22"/>
        </w:rPr>
        <w:t xml:space="preserve">Found that contrary to established belief, FL without any defenses is highly robust in practice. Many existing works make unrealistic assumptions — impractically high percentages of compromised clients, or unrealistic adversary capabilities.</w:t>
      </w:r>
    </w:p>
    <w:p>
      <w:pPr>
        <w:spacing w:after="100" w:before="80" w:line="276"/>
      </w:pPr>
      <w:r>
        <w:rPr>
          <w:rFonts w:ascii="Arial" w:cs="Arial" w:eastAsia="Arial" w:hAnsi="Arial"/>
          <w:b/>
          <w:bCs/>
          <w:sz w:val="22"/>
          <w:szCs w:val="22"/>
        </w:rPr>
        <w:t xml:space="preserve">What this means for your work: </w:t>
      </w:r>
      <w:r>
        <w:rPr>
          <w:rFonts w:ascii="Arial" w:cs="Arial" w:eastAsia="Arial" w:hAnsi="Arial"/>
          <w:sz w:val="22"/>
          <w:szCs w:val="22"/>
        </w:rPr>
        <w:t xml:space="preserve">Direct challenge to your threat model. If you claim NIMA works at realistic malicious fractions, you need to define what realistic means and show it works there.</w:t>
      </w:r>
    </w:p>
    <w:p>
      <w:pPr>
        <w:pBdr>
          <w:top w:val="single" w:color="1565C0" w:sz="4" w:space="4"/>
          <w:bottom w:val="single" w:color="1565C0" w:sz="4" w:space="4"/>
          <w:left w:val="thick" w:color="1565C0" w:sz="12" w:space="4"/>
          <w:right w:val="single" w:color="1565C0" w:sz="4" w:space="4"/>
        </w:pBdr>
        <w:shd w:fill="E3F2FD" w:val="clear"/>
        <w:spacing w:after="120" w:before="120"/>
        <w:ind w:left="180" w:right="180"/>
      </w:pPr>
      <w:r>
        <w:rPr>
          <w:rFonts w:ascii="Arial" w:cs="Arial" w:eastAsia="Arial" w:hAnsi="Arial"/>
          <w:i/>
          <w:iCs/>
          <w:sz w:val="22"/>
          <w:szCs w:val="22"/>
        </w:rPr>
        <w:t xml:space="preserve">The IoT non-IID setting is a special case where even a small malicious fraction (5-10%) can do significant damage to minority class detection — because minority attack classes like Web and BruteForce only appear in a few specific devices anyway. Argue this explicitly.</w:t>
      </w:r>
    </w:p>
    <w:p>
      <w:pPr>
        <w:spacing w:after="100" w:before="80" w:line="276"/>
      </w:pPr>
      <w:r>
        <w:rPr>
          <w:rFonts w:ascii="Arial" w:cs="Arial" w:eastAsia="Arial" w:hAnsi="Arial"/>
          <w:b/>
          <w:bCs/>
          <w:sz w:val="22"/>
          <w:szCs w:val="22"/>
        </w:rPr>
        <w:t xml:space="preserve">Your use: </w:t>
      </w:r>
      <w:r>
        <w:rPr>
          <w:rFonts w:ascii="Arial" w:cs="Arial" w:eastAsia="Arial" w:hAnsi="Arial"/>
          <w:sz w:val="22"/>
          <w:szCs w:val="22"/>
        </w:rPr>
        <w:t xml:space="preserve">Cite in your threat model section. Engage with their constraints explicitly.</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AutoAdapt — Krauss, Konig, Dmitrienko, Kanzow (NDSS 2024)</w:t>
      </w:r>
    </w:p>
    <w:p>
      <w:pPr>
        <w:spacing w:after="100" w:before="80" w:line="276"/>
      </w:pPr>
      <w:r>
        <w:rPr>
          <w:rFonts w:ascii="Arial" w:cs="Arial" w:eastAsia="Arial" w:hAnsi="Arial"/>
          <w:b/>
          <w:bCs/>
          <w:sz w:val="22"/>
          <w:szCs w:val="22"/>
        </w:rPr>
        <w:t xml:space="preserve">What they did: </w:t>
      </w:r>
      <w:r>
        <w:rPr>
          <w:rFonts w:ascii="Arial" w:cs="Arial" w:eastAsia="Arial" w:hAnsi="Arial"/>
          <w:sz w:val="22"/>
          <w:szCs w:val="22"/>
        </w:rPr>
        <w:t xml:space="preserve">Introduced an adaptive poisoning attack that automatically adjusts to bypass detection. The attacker monitors global model behavior and adapts the poisoned gradient direction to avoid triggering statistical anomaly detectors.</w:t>
      </w:r>
    </w:p>
    <w:p>
      <w:pPr>
        <w:spacing w:after="100" w:before="80" w:line="276"/>
      </w:pPr>
      <w:r>
        <w:rPr>
          <w:rFonts w:ascii="Arial" w:cs="Arial" w:eastAsia="Arial" w:hAnsi="Arial"/>
          <w:b/>
          <w:bCs/>
          <w:sz w:val="22"/>
          <w:szCs w:val="22"/>
        </w:rPr>
        <w:t xml:space="preserve">The key difference from NIMA: </w:t>
      </w:r>
      <w:r>
        <w:rPr>
          <w:rFonts w:ascii="Arial" w:cs="Arial" w:eastAsia="Arial" w:hAnsi="Arial"/>
          <w:sz w:val="22"/>
          <w:szCs w:val="22"/>
        </w:rPr>
        <w:t xml:space="preserve">AutoAdapt adapts to global detection metrics — it tries to stay close to the global gradient distribution. NIMA specifically mimics a single legitimate client's per-client gradient distribution band.</w:t>
      </w:r>
    </w:p>
    <w:p>
      <w:pPr>
        <w:pBdr>
          <w:top w:val="single" w:color="C62828" w:sz="4" w:space="4"/>
          <w:bottom w:val="single" w:color="C62828" w:sz="4" w:space="4"/>
          <w:left w:val="thick" w:color="C62828" w:sz="12" w:space="4"/>
          <w:right w:val="single" w:color="C62828" w:sz="4" w:space="4"/>
        </w:pBdr>
        <w:shd w:fill="FCE4EC" w:val="clear"/>
        <w:spacing w:after="120" w:before="120"/>
        <w:ind w:left="180" w:right="180"/>
      </w:pPr>
      <w:r>
        <w:rPr>
          <w:rFonts w:ascii="Arial" w:cs="Arial" w:eastAsia="Arial" w:hAnsi="Arial"/>
          <w:i/>
          <w:iCs/>
          <w:sz w:val="22"/>
          <w:szCs w:val="22"/>
        </w:rPr>
        <w:t xml:space="preserve">NIMA is a more specific and harder-to-detect attack than AutoAdapt because it exploits the fact that IoT devices legitimately look very different from each other. Global-threshold defenses cannot separate NIMA from legitimate non-IID heterogeneity, even when AutoAdapt would be detectable.</w:t>
      </w:r>
    </w:p>
    <w:p>
      <w:pPr>
        <w:spacing w:after="100" w:before="80" w:line="276"/>
      </w:pPr>
      <w:r>
        <w:rPr>
          <w:rFonts w:ascii="Arial" w:cs="Arial" w:eastAsia="Arial" w:hAnsi="Arial"/>
          <w:b/>
          <w:bCs/>
          <w:sz w:val="22"/>
          <w:szCs w:val="22"/>
        </w:rPr>
        <w:t xml:space="preserve">Your use: </w:t>
      </w:r>
      <w:r>
        <w:rPr>
          <w:rFonts w:ascii="Arial" w:cs="Arial" w:eastAsia="Arial" w:hAnsi="Arial"/>
          <w:sz w:val="22"/>
          <w:szCs w:val="22"/>
        </w:rPr>
        <w:t xml:space="preserve">Primary prior work for NIMA. Must explicitly state the distinction in your paper.</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NDSS 2025 — Poisoning Attacks on FL-based IoT IDS</w:t>
      </w:r>
    </w:p>
    <w:p>
      <w:pPr>
        <w:pBdr>
          <w:top w:val="single" w:color="B71C1C" w:sz="4" w:space="4"/>
          <w:bottom w:val="single" w:color="B71C1C" w:sz="4" w:space="4"/>
          <w:left w:val="thick" w:color="B71C1C" w:sz="12" w:space="4"/>
          <w:right w:val="single" w:color="B71C1C" w:sz="4" w:space="4"/>
        </w:pBdr>
        <w:shd w:fill="FFEBEE" w:val="clear"/>
        <w:spacing w:after="120" w:before="120"/>
        <w:ind w:left="180" w:right="180"/>
      </w:pPr>
      <w:r>
        <w:rPr>
          <w:rFonts w:ascii="Arial" w:cs="Arial" w:eastAsia="Arial" w:hAnsi="Arial"/>
          <w:i/>
          <w:iCs/>
          <w:sz w:val="22"/>
          <w:szCs w:val="22"/>
        </w:rPr>
        <w:t xml:space="preserve">MOST URGENT ACTION: This is a 2025 NDSS paper specifically on poisoning attacks against FL-based IoT IDS. Find and read this paper before finalizing your NIMA definition and threat model. If it formalizes a similar attack, your novelty claim needs to differentiate immediately.</w:t>
      </w:r>
    </w:p>
    <w:p>
      <w:pPr>
        <w:spacing w:after="60" w:before="60"/>
      </w:pPr>
      <w:r>
        <w:t xml:space="preserve"/>
      </w:r>
    </w:p>
    <w:p>
      <w:pPr>
        <w:pBdr>
          <w:bottom w:val="single" w:color="CCCCCC" w:sz="4" w:space="1"/>
        </w:pBdr>
        <w:spacing w:after="120" w:before="120"/>
      </w:pPr>
      <w:r>
        <w:t xml:space="preserve"/>
      </w:r>
    </w:p>
    <w:p>
      <w:pPr>
        <w:pStyle w:val="Heading1"/>
        <w:spacing w:after="180" w:before="360"/>
      </w:pPr>
      <w:r>
        <w:rPr>
          <w:rFonts w:ascii="Arial" w:cs="Arial" w:eastAsia="Arial" w:hAnsi="Arial"/>
          <w:b/>
          <w:bCs/>
          <w:sz w:val="32"/>
          <w:szCs w:val="32"/>
        </w:rPr>
        <w:t xml:space="preserve">Layer 3 — Defense Papers</w:t>
      </w:r>
    </w:p>
    <w:p>
      <w:pPr>
        <w:spacing w:after="100" w:before="80" w:line="276"/>
      </w:pPr>
      <w:r>
        <w:rPr>
          <w:rFonts w:ascii="Arial" w:cs="Arial" w:eastAsia="Arial" w:hAnsi="Arial"/>
          <w:sz w:val="22"/>
          <w:szCs w:val="22"/>
        </w:rPr>
        <w:t xml:space="preserve">These papers define what has been tried to stop poisoning — and why every one of them fails against NIMA specifically.</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FLTrust — Cao et al. (NDSS 2021)</w:t>
      </w:r>
    </w:p>
    <w:p>
      <w:pPr>
        <w:spacing w:after="100" w:before="80" w:line="276"/>
      </w:pPr>
      <w:r>
        <w:rPr>
          <w:rFonts w:ascii="Arial" w:cs="Arial" w:eastAsia="Arial" w:hAnsi="Arial"/>
          <w:b/>
          <w:bCs/>
          <w:sz w:val="22"/>
          <w:szCs w:val="22"/>
        </w:rPr>
        <w:t xml:space="preserve">What they did: </w:t>
      </w:r>
      <w:r>
        <w:rPr>
          <w:rFonts w:ascii="Arial" w:cs="Arial" w:eastAsia="Arial" w:hAnsi="Arial"/>
          <w:sz w:val="22"/>
          <w:szCs w:val="22"/>
        </w:rPr>
        <w:t xml:space="preserve">The server maintains a small clean root dataset and uses it to compute a reference gradient. Each incoming client update is evaluated by its cosine similarity to this reference. Clients with low similarity get down-weighted or rejected.</w:t>
      </w:r>
    </w:p>
    <w:p>
      <w:pPr>
        <w:spacing w:after="100" w:before="80" w:line="276"/>
      </w:pPr>
      <w:r>
        <w:rPr>
          <w:rFonts w:ascii="Arial" w:cs="Arial" w:eastAsia="Arial" w:hAnsi="Arial"/>
          <w:b/>
          <w:bCs/>
          <w:sz w:val="22"/>
          <w:szCs w:val="22"/>
        </w:rPr>
        <w:t xml:space="preserve">Fatal weakness: </w:t>
      </w:r>
      <w:r>
        <w:rPr>
          <w:rFonts w:ascii="Arial" w:cs="Arial" w:eastAsia="Arial" w:hAnsi="Arial"/>
          <w:sz w:val="22"/>
          <w:szCs w:val="22"/>
        </w:rPr>
        <w:t xml:space="preserve">Requires a clean root dataset. In IoT environments, the server typically does not have a clean labeled dataset of IoT traffic. Also, in non-IID settings, legitimate clients have low cosine similarity to the global reference because their local data distributions differ.</w:t>
      </w:r>
    </w:p>
    <w:p>
      <w:pPr>
        <w:spacing w:after="100" w:before="80" w:line="276"/>
      </w:pPr>
      <w:r>
        <w:rPr>
          <w:rFonts w:ascii="Arial" w:cs="Arial" w:eastAsia="Arial" w:hAnsi="Arial"/>
          <w:b/>
          <w:bCs/>
          <w:sz w:val="22"/>
          <w:szCs w:val="22"/>
        </w:rPr>
        <w:t xml:space="preserve">Your use: </w:t>
      </w:r>
      <w:r>
        <w:rPr>
          <w:rFonts w:ascii="Arial" w:cs="Arial" w:eastAsia="Arial" w:hAnsi="Arial"/>
          <w:sz w:val="22"/>
          <w:szCs w:val="22"/>
        </w:rPr>
        <w:t xml:space="preserve">Cite as defense that fails in practice for IoT because it requires a clean root dataset. Your defense does not require one — highlight this advantage.</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FoolsGold — Fung et al. (IEEE TDSC 2021)</w:t>
      </w:r>
    </w:p>
    <w:p>
      <w:pPr>
        <w:spacing w:after="100" w:before="80" w:line="276"/>
      </w:pPr>
      <w:r>
        <w:rPr>
          <w:rFonts w:ascii="Arial" w:cs="Arial" w:eastAsia="Arial" w:hAnsi="Arial"/>
          <w:b/>
          <w:bCs/>
          <w:sz w:val="22"/>
          <w:szCs w:val="22"/>
        </w:rPr>
        <w:t xml:space="preserve">What they did: </w:t>
      </w:r>
      <w:r>
        <w:rPr>
          <w:rFonts w:ascii="Arial" w:cs="Arial" w:eastAsia="Arial" w:hAnsi="Arial"/>
          <w:sz w:val="22"/>
          <w:szCs w:val="22"/>
        </w:rPr>
        <w:t xml:space="preserve">Designed for Sybil attacks where one attacker controls many fake clients submitting identical or near-identical updates. Detects collusion by measuring pairwise similarity between client updates. Colluding clients get down-weighted.</w:t>
      </w:r>
    </w:p>
    <w:p>
      <w:pPr>
        <w:spacing w:after="100" w:before="80" w:line="276"/>
      </w:pPr>
      <w:r>
        <w:rPr>
          <w:rFonts w:ascii="Arial" w:cs="Arial" w:eastAsia="Arial" w:hAnsi="Arial"/>
          <w:b/>
          <w:bCs/>
          <w:sz w:val="22"/>
          <w:szCs w:val="22"/>
        </w:rPr>
        <w:t xml:space="preserve">Why it fails against NIMA: </w:t>
      </w:r>
      <w:r>
        <w:rPr>
          <w:rFonts w:ascii="Arial" w:cs="Arial" w:eastAsia="Arial" w:hAnsi="Arial"/>
          <w:sz w:val="22"/>
          <w:szCs w:val="22"/>
        </w:rPr>
        <w:t xml:space="preserve">NIMA involves a single (or few) malicious client mimicking one specific other legitimate client. The update looks similar to that one client but not to all clients globally. FoolsGold will not catch it.</w:t>
      </w:r>
    </w:p>
    <w:p>
      <w:pPr>
        <w:spacing w:after="100" w:before="80" w:line="276"/>
      </w:pPr>
      <w:r>
        <w:rPr>
          <w:rFonts w:ascii="Arial" w:cs="Arial" w:eastAsia="Arial" w:hAnsi="Arial"/>
          <w:b/>
          <w:bCs/>
          <w:sz w:val="22"/>
          <w:szCs w:val="22"/>
        </w:rPr>
        <w:t xml:space="preserve">Your use: </w:t>
      </w:r>
      <w:r>
        <w:rPr>
          <w:rFonts w:ascii="Arial" w:cs="Arial" w:eastAsia="Arial" w:hAnsi="Arial"/>
          <w:sz w:val="22"/>
          <w:szCs w:val="22"/>
        </w:rPr>
        <w:t xml:space="preserve">Cite as defense targeting a different threat model (colluding Sybils) that does not address individual mimicry.</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FLAME — Nguyen et al. (USENIX Security 2022)</w:t>
      </w:r>
    </w:p>
    <w:p>
      <w:pPr>
        <w:spacing w:after="100" w:before="80" w:line="276"/>
      </w:pPr>
      <w:r>
        <w:rPr>
          <w:rFonts w:ascii="Arial" w:cs="Arial" w:eastAsia="Arial" w:hAnsi="Arial"/>
          <w:b/>
          <w:bCs/>
          <w:sz w:val="22"/>
          <w:szCs w:val="22"/>
        </w:rPr>
        <w:t xml:space="preserve">What they did: </w:t>
      </w:r>
      <w:r>
        <w:rPr>
          <w:rFonts w:ascii="Arial" w:cs="Arial" w:eastAsia="Arial" w:hAnsi="Arial"/>
          <w:sz w:val="22"/>
          <w:szCs w:val="22"/>
        </w:rPr>
        <w:t xml:space="preserve">Clusters similar updates together and keeps only the largest cluster (assuming majority are benign). Then applies noise to further suppress any remaining poisoned influence.</w:t>
      </w:r>
    </w:p>
    <w:p>
      <w:pPr>
        <w:spacing w:after="100" w:before="80" w:line="276"/>
      </w:pPr>
      <w:r>
        <w:rPr>
          <w:rFonts w:ascii="Arial" w:cs="Arial" w:eastAsia="Arial" w:hAnsi="Arial"/>
          <w:b/>
          <w:bCs/>
          <w:sz w:val="22"/>
          <w:szCs w:val="22"/>
        </w:rPr>
        <w:t xml:space="preserve">Why it fails against NIMA: </w:t>
      </w:r>
      <w:r>
        <w:rPr>
          <w:rFonts w:ascii="Arial" w:cs="Arial" w:eastAsia="Arial" w:hAnsi="Arial"/>
          <w:sz w:val="22"/>
          <w:szCs w:val="22"/>
        </w:rPr>
        <w:t xml:space="preserve">In non-IID IoT, the clustering separates clients by their legitimate task distribution. A NIMA attacker joins the legitimate cluster of their target client's type, making their update indistinguishable from that cluster's centroid.</w:t>
      </w:r>
    </w:p>
    <w:p>
      <w:pPr>
        <w:pBdr>
          <w:top w:val="single" w:color="FFA000" w:sz="4" w:space="4"/>
          <w:bottom w:val="single" w:color="FFA000" w:sz="4" w:space="4"/>
          <w:left w:val="thick" w:color="FFA000" w:sz="12" w:space="4"/>
          <w:right w:val="single" w:color="FFA000" w:sz="4" w:space="4"/>
        </w:pBdr>
        <w:shd w:fill="FFF3CD" w:val="clear"/>
        <w:spacing w:after="120" w:before="120"/>
        <w:ind w:left="180" w:right="180"/>
      </w:pPr>
      <w:r>
        <w:rPr>
          <w:rFonts w:ascii="Arial" w:cs="Arial" w:eastAsia="Arial" w:hAnsi="Arial"/>
          <w:i/>
          <w:iCs/>
          <w:sz w:val="22"/>
          <w:szCs w:val="22"/>
        </w:rPr>
        <w:t xml:space="preserve">FLAME's clustering approach is what NIMA is specifically designed to evade. NIMA does not mimic a global average — it mimics the centroid of a specific legitimate cluster.</w:t>
      </w:r>
    </w:p>
    <w:p>
      <w:pPr>
        <w:spacing w:after="100" w:before="80" w:line="276"/>
      </w:pPr>
      <w:r>
        <w:rPr>
          <w:rFonts w:ascii="Arial" w:cs="Arial" w:eastAsia="Arial" w:hAnsi="Arial"/>
          <w:b/>
          <w:bCs/>
          <w:sz w:val="22"/>
          <w:szCs w:val="22"/>
        </w:rPr>
        <w:t xml:space="preserve">Your use: </w:t>
      </w:r>
      <w:r>
        <w:rPr>
          <w:rFonts w:ascii="Arial" w:cs="Arial" w:eastAsia="Arial" w:hAnsi="Arial"/>
          <w:sz w:val="22"/>
          <w:szCs w:val="22"/>
        </w:rPr>
        <w:t xml:space="preserve">Primary target defense to evade and compare against. Your experiments must show NIMA bypasses FLAME while your defense catches it.</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FLDetector — Zhang et al. (KDD 2022)</w:t>
      </w:r>
    </w:p>
    <w:p>
      <w:pPr>
        <w:spacing w:after="100" w:before="80" w:line="276"/>
      </w:pPr>
      <w:r>
        <w:rPr>
          <w:rFonts w:ascii="Arial" w:cs="Arial" w:eastAsia="Arial" w:hAnsi="Arial"/>
          <w:b/>
          <w:bCs/>
          <w:sz w:val="22"/>
          <w:szCs w:val="22"/>
        </w:rPr>
        <w:t xml:space="preserve">What they did: </w:t>
      </w:r>
      <w:r>
        <w:rPr>
          <w:rFonts w:ascii="Arial" w:cs="Arial" w:eastAsia="Arial" w:hAnsi="Arial"/>
          <w:sz w:val="22"/>
          <w:szCs w:val="22"/>
        </w:rPr>
        <w:t xml:space="preserve">Detects malicious clients by checking their model-update consistency across rounds. The server predicts each client's model update based on historical model updates using the Cauchy mean value theorem and L-BFGS. Clients whose received updates are inconsistent with predictions in multiple iterations get flagged.</w:t>
      </w:r>
    </w:p>
    <w:p>
      <w:pPr>
        <w:spacing w:after="100" w:before="80" w:line="276"/>
      </w:pPr>
      <w:r>
        <w:rPr>
          <w:rFonts w:ascii="Arial" w:cs="Arial" w:eastAsia="Arial" w:hAnsi="Arial"/>
          <w:b/>
          <w:bCs/>
          <w:sz w:val="22"/>
          <w:szCs w:val="22"/>
        </w:rPr>
        <w:t xml:space="preserve">Why it overlaps and why you differ: </w:t>
      </w:r>
      <w:r>
        <w:rPr>
          <w:rFonts w:ascii="Arial" w:cs="Arial" w:eastAsia="Arial" w:hAnsi="Arial"/>
          <w:sz w:val="22"/>
          <w:szCs w:val="22"/>
        </w:rPr>
        <w:t xml:space="preserve">FLDetector uses a single global prediction model for all clients. In non-IID IoT, different device types have genuinely different training trajectories — a Mirai-specialized device follows a completely different trajectory from a Web-attack-specialized device. FLDetector would produce high inconsistency scores for legitimate heterogeneous clients, making the threshold meaningless.</w:t>
      </w:r>
    </w:p>
    <w:p>
      <w:pPr>
        <w:pBdr>
          <w:top w:val="single" w:color="1565C0" w:sz="4" w:space="4"/>
          <w:bottom w:val="single" w:color="1565C0" w:sz="4" w:space="4"/>
          <w:left w:val="thick" w:color="1565C0" w:sz="12" w:space="4"/>
          <w:right w:val="single" w:color="1565C0" w:sz="4" w:space="4"/>
        </w:pBdr>
        <w:shd w:fill="E3F2FD" w:val="clear"/>
        <w:spacing w:after="120" w:before="120"/>
        <w:ind w:left="180" w:right="180"/>
      </w:pPr>
      <w:r>
        <w:rPr>
          <w:rFonts w:ascii="Arial" w:cs="Arial" w:eastAsia="Arial" w:hAnsi="Arial"/>
          <w:i/>
          <w:iCs/>
          <w:sz w:val="22"/>
          <w:szCs w:val="22"/>
        </w:rPr>
        <w:t xml:space="preserve">Your defense's differentiator: you maintain a per-client expected trajectory (D-hat-i-conditioned bands) rather than a global prediction. You learn what device type i specifically should be sending, not what an average device should send.</w:t>
      </w:r>
    </w:p>
    <w:p>
      <w:pPr>
        <w:spacing w:after="100" w:before="80" w:line="276"/>
      </w:pPr>
      <w:r>
        <w:rPr>
          <w:rFonts w:ascii="Arial" w:cs="Arial" w:eastAsia="Arial" w:hAnsi="Arial"/>
          <w:b/>
          <w:bCs/>
          <w:sz w:val="22"/>
          <w:szCs w:val="22"/>
        </w:rPr>
        <w:t xml:space="preserve">Your use: </w:t>
      </w:r>
      <w:r>
        <w:rPr>
          <w:rFonts w:ascii="Arial" w:cs="Arial" w:eastAsia="Arial" w:hAnsi="Arial"/>
          <w:sz w:val="22"/>
          <w:szCs w:val="22"/>
        </w:rPr>
        <w:t xml:space="preserve">Most direct technical competitor. Your experiments must show FLDetector has high false rejection rate in non-IID IoT, while your defense maintains low FRR.</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MUD-HoG (2022)</w:t>
      </w:r>
    </w:p>
    <w:p>
      <w:pPr>
        <w:spacing w:after="100" w:before="80" w:line="276"/>
      </w:pPr>
      <w:r>
        <w:rPr>
          <w:rFonts w:ascii="Arial" w:cs="Arial" w:eastAsia="Arial" w:hAnsi="Arial"/>
          <w:b/>
          <w:bCs/>
          <w:sz w:val="22"/>
          <w:szCs w:val="22"/>
        </w:rPr>
        <w:t xml:space="preserve">What they did: </w:t>
      </w:r>
      <w:r>
        <w:rPr>
          <w:rFonts w:ascii="Arial" w:cs="Arial" w:eastAsia="Arial" w:hAnsi="Arial"/>
          <w:sz w:val="22"/>
          <w:szCs w:val="22"/>
        </w:rPr>
        <w:t xml:space="preserve">Uses both long-term and short-term gradient history to distinguish malicious clients from ones that are merely unstable due to data drift. Intuition: a malicious client's updates drift in a specific damaging direction over time; an honest client whose distribution shifts slightly maintains long-term consistency.</w:t>
      </w:r>
    </w:p>
    <w:p>
      <w:pPr>
        <w:spacing w:after="100" w:before="80" w:line="276"/>
      </w:pPr>
      <w:r>
        <w:rPr>
          <w:rFonts w:ascii="Arial" w:cs="Arial" w:eastAsia="Arial" w:hAnsi="Arial"/>
          <w:b/>
          <w:bCs/>
          <w:sz w:val="22"/>
          <w:szCs w:val="22"/>
        </w:rPr>
        <w:t xml:space="preserve">Why NIMA evades it: </w:t>
      </w:r>
      <w:r>
        <w:rPr>
          <w:rFonts w:ascii="Arial" w:cs="Arial" w:eastAsia="Arial" w:hAnsi="Arial"/>
          <w:sz w:val="22"/>
          <w:szCs w:val="22"/>
        </w:rPr>
        <w:t xml:space="preserve">NIMA clients deliberately maintain consistency — they keep mimicking the same legitimate client's distribution every round. MUD-HoG would flag them as non-drifting and benign. Your D-hat-i-conditioned bands catch them because the mimicked distribution is someone else's distribution, not their own.</w:t>
      </w:r>
    </w:p>
    <w:p>
      <w:pPr>
        <w:spacing w:after="100" w:before="80" w:line="276"/>
      </w:pPr>
      <w:r>
        <w:rPr>
          <w:rFonts w:ascii="Arial" w:cs="Arial" w:eastAsia="Arial" w:hAnsi="Arial"/>
          <w:b/>
          <w:bCs/>
          <w:sz w:val="22"/>
          <w:szCs w:val="22"/>
        </w:rPr>
        <w:t xml:space="preserve">Your use: </w:t>
      </w:r>
      <w:r>
        <w:rPr>
          <w:rFonts w:ascii="Arial" w:cs="Arial" w:eastAsia="Arial" w:hAnsi="Arial"/>
          <w:sz w:val="22"/>
          <w:szCs w:val="22"/>
        </w:rPr>
        <w:t xml:space="preserve">Cite in Related Work. State specifically why your approach catches what MUD-HoG cannot.</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DeepSight — Rieger et al. (NDSS 2022)</w:t>
      </w:r>
    </w:p>
    <w:p>
      <w:pPr>
        <w:spacing w:after="100" w:before="80" w:line="276"/>
      </w:pPr>
      <w:r>
        <w:rPr>
          <w:rFonts w:ascii="Arial" w:cs="Arial" w:eastAsia="Arial" w:hAnsi="Arial"/>
          <w:b/>
          <w:bCs/>
          <w:sz w:val="22"/>
          <w:szCs w:val="22"/>
        </w:rPr>
        <w:t xml:space="preserve">What they did: </w:t>
      </w:r>
      <w:r>
        <w:rPr>
          <w:rFonts w:ascii="Arial" w:cs="Arial" w:eastAsia="Arial" w:hAnsi="Arial"/>
          <w:sz w:val="22"/>
          <w:szCs w:val="22"/>
        </w:rPr>
        <w:t xml:space="preserve">Backdoor detection via deep model inspection — analyzing internal activations of submitted models rather than just weight vectors.</w:t>
      </w:r>
    </w:p>
    <w:p>
      <w:pPr>
        <w:spacing w:after="100" w:before="80" w:line="276"/>
      </w:pPr>
      <w:r>
        <w:rPr>
          <w:rFonts w:ascii="Arial" w:cs="Arial" w:eastAsia="Arial" w:hAnsi="Arial"/>
          <w:b/>
          <w:bCs/>
          <w:sz w:val="22"/>
          <w:szCs w:val="22"/>
        </w:rPr>
        <w:t xml:space="preserve">Your use: </w:t>
      </w:r>
      <w:r>
        <w:rPr>
          <w:rFonts w:ascii="Arial" w:cs="Arial" w:eastAsia="Arial" w:hAnsi="Arial"/>
          <w:sz w:val="22"/>
          <w:szCs w:val="22"/>
        </w:rPr>
        <w:t xml:space="preserve">Cite briefly as related defense in the broader FL security landscape. Less directly relevant to your untargeted poisoning setting.</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FreqFed — Fereidooni et al. (NDSS 2024)</w:t>
      </w:r>
    </w:p>
    <w:p>
      <w:pPr>
        <w:spacing w:after="100" w:before="80" w:line="276"/>
      </w:pPr>
      <w:r>
        <w:rPr>
          <w:rFonts w:ascii="Arial" w:cs="Arial" w:eastAsia="Arial" w:hAnsi="Arial"/>
          <w:b/>
          <w:bCs/>
          <w:sz w:val="22"/>
          <w:szCs w:val="22"/>
        </w:rPr>
        <w:t xml:space="preserve">What they did: </w:t>
      </w:r>
      <w:r>
        <w:rPr>
          <w:rFonts w:ascii="Arial" w:cs="Arial" w:eastAsia="Arial" w:hAnsi="Arial"/>
          <w:sz w:val="22"/>
          <w:szCs w:val="22"/>
        </w:rPr>
        <w:t xml:space="preserve">Uses frequency-domain analysis of gradient updates to detect poisoning. Malicious updates have unusual spectral properties compared to benign ones.</w:t>
      </w:r>
    </w:p>
    <w:p>
      <w:pPr>
        <w:spacing w:after="100" w:before="80" w:line="276"/>
      </w:pPr>
      <w:r>
        <w:rPr>
          <w:rFonts w:ascii="Arial" w:cs="Arial" w:eastAsia="Arial" w:hAnsi="Arial"/>
          <w:b/>
          <w:bCs/>
          <w:sz w:val="22"/>
          <w:szCs w:val="22"/>
        </w:rPr>
        <w:t xml:space="preserve">Why it fails against NIMA: </w:t>
      </w:r>
      <w:r>
        <w:rPr>
          <w:rFonts w:ascii="Arial" w:cs="Arial" w:eastAsia="Arial" w:hAnsi="Arial"/>
          <w:sz w:val="22"/>
          <w:szCs w:val="22"/>
        </w:rPr>
        <w:t xml:space="preserve">Your NIMA updates are designed to match a specific client's distribution — they would have similar spectral properties to that client's legitimate updates.</w:t>
      </w:r>
    </w:p>
    <w:p>
      <w:pPr>
        <w:spacing w:after="100" w:before="80" w:line="276"/>
      </w:pPr>
      <w:r>
        <w:rPr>
          <w:rFonts w:ascii="Arial" w:cs="Arial" w:eastAsia="Arial" w:hAnsi="Arial"/>
          <w:b/>
          <w:bCs/>
          <w:sz w:val="22"/>
          <w:szCs w:val="22"/>
        </w:rPr>
        <w:t xml:space="preserve">Your use: </w:t>
      </w:r>
      <w:r>
        <w:rPr>
          <w:rFonts w:ascii="Arial" w:cs="Arial" w:eastAsia="Arial" w:hAnsi="Arial"/>
          <w:sz w:val="22"/>
          <w:szCs w:val="22"/>
        </w:rPr>
        <w:t xml:space="preserve">Cite to show awareness of frequency-domain approaches and explain why distribution-based detection is more appropriate for NIMA.</w:t>
      </w:r>
    </w:p>
    <w:p>
      <w:pPr>
        <w:spacing w:after="60" w:before="60"/>
      </w:pPr>
      <w:r>
        <w:t xml:space="preserve"/>
      </w:r>
    </w:p>
    <w:p>
      <w:pPr>
        <w:pBdr>
          <w:bottom w:val="single" w:color="CCCCCC" w:sz="4" w:space="1"/>
        </w:pBdr>
        <w:spacing w:after="120" w:before="120"/>
      </w:pPr>
      <w:r>
        <w:t xml:space="preserve"/>
      </w:r>
    </w:p>
    <w:p>
      <w:pPr>
        <w:pStyle w:val="Heading1"/>
        <w:spacing w:after="180" w:before="360"/>
      </w:pPr>
      <w:r>
        <w:rPr>
          <w:rFonts w:ascii="Arial" w:cs="Arial" w:eastAsia="Arial" w:hAnsi="Arial"/>
          <w:b/>
          <w:bCs/>
          <w:sz w:val="32"/>
          <w:szCs w:val="32"/>
        </w:rPr>
        <w:t xml:space="preserve">Layer 4 — Non-IID and Heterogeneity Papers</w:t>
      </w:r>
    </w:p>
    <w:p>
      <w:pPr>
        <w:spacing w:after="100" w:before="80" w:line="276"/>
      </w:pPr>
      <w:r>
        <w:rPr>
          <w:rFonts w:ascii="Arial" w:cs="Arial" w:eastAsia="Arial" w:hAnsi="Arial"/>
          <w:sz w:val="22"/>
          <w:szCs w:val="22"/>
        </w:rPr>
        <w:t xml:space="preserve">These are crucial for your thesis motivation. They prove and characterize the fundamental problem that makes NIMA possible.</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GAS — Byzantine-Robust Learning on Heterogeneous Data via Gradient Splitting (2023)</w:t>
      </w:r>
    </w:p>
    <w:p>
      <w:pPr>
        <w:spacing w:after="100" w:before="80" w:line="276"/>
      </w:pPr>
      <w:r>
        <w:rPr>
          <w:rFonts w:ascii="Arial" w:cs="Arial" w:eastAsia="Arial" w:hAnsi="Arial"/>
          <w:b/>
          <w:bCs/>
          <w:sz w:val="22"/>
          <w:szCs w:val="22"/>
        </w:rPr>
        <w:t xml:space="preserve">What they did: </w:t>
      </w:r>
      <w:r>
        <w:rPr>
          <w:rFonts w:ascii="Arial" w:cs="Arial" w:eastAsia="Arial" w:hAnsi="Arial"/>
          <w:sz w:val="22"/>
          <w:szCs w:val="22"/>
        </w:rPr>
        <w:t xml:space="preserve">Proved theoretically that Byzantine-robust aggregation rules fundamentally break when data is heterogeneous. The 'safe zone' assumptions underlying Krum, Trimmed Mean, etc. require the benign gradient variance to be small relative to the signal. In non-IID settings, benign gradient variance is large by definition — different devices are learning genuinely different things.</w:t>
      </w:r>
    </w:p>
    <w:p>
      <w:pPr>
        <w:spacing w:after="100" w:before="80" w:line="276"/>
      </w:pPr>
      <w:r>
        <w:rPr>
          <w:rFonts w:ascii="Arial" w:cs="Arial" w:eastAsia="Arial" w:hAnsi="Arial"/>
          <w:b/>
          <w:bCs/>
          <w:sz w:val="22"/>
          <w:szCs w:val="22"/>
        </w:rPr>
        <w:t xml:space="preserve">Your use: </w:t>
      </w:r>
      <w:r>
        <w:rPr>
          <w:rFonts w:ascii="Arial" w:cs="Arial" w:eastAsia="Arial" w:hAnsi="Arial"/>
          <w:sz w:val="22"/>
          <w:szCs w:val="22"/>
        </w:rPr>
        <w:t xml:space="preserve">Primary theoretical motivation paper. Cite in Introduction to formally explain why global-threshold defenses fail before presenting NIMA.</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Fair Detection of Poisoning Attacks in FL on Non-IID Data (2023)</w:t>
      </w:r>
    </w:p>
    <w:p>
      <w:pPr>
        <w:spacing w:after="100" w:before="80" w:line="276"/>
      </w:pPr>
      <w:r>
        <w:rPr>
          <w:rFonts w:ascii="Arial" w:cs="Arial" w:eastAsia="Arial" w:hAnsi="Arial"/>
          <w:b/>
          <w:bCs/>
          <w:sz w:val="22"/>
          <w:szCs w:val="22"/>
        </w:rPr>
        <w:t xml:space="preserve">What they did: </w:t>
      </w:r>
      <w:r>
        <w:rPr>
          <w:rFonts w:ascii="Arial" w:cs="Arial" w:eastAsia="Arial" w:hAnsi="Arial"/>
          <w:sz w:val="22"/>
          <w:szCs w:val="22"/>
        </w:rPr>
        <w:t xml:space="preserve">Directly addressed the False Rejection Rate (FRR) problem — existing defenses designed for IID settings unfairly flag legitimate heterogeneous clients as malicious. Proposed detection methods that account for natural data heterogeneity to reduce false positives.</w:t>
      </w:r>
    </w:p>
    <w:p>
      <w:pPr>
        <w:spacing w:after="100" w:before="80" w:line="276"/>
      </w:pPr>
      <w:r>
        <w:rPr>
          <w:rFonts w:ascii="Arial" w:cs="Arial" w:eastAsia="Arial" w:hAnsi="Arial"/>
          <w:b/>
          <w:bCs/>
          <w:sz w:val="22"/>
          <w:szCs w:val="22"/>
        </w:rPr>
        <w:t xml:space="preserve">Your use: </w:t>
      </w:r>
      <w:r>
        <w:rPr>
          <w:rFonts w:ascii="Arial" w:cs="Arial" w:eastAsia="Arial" w:hAnsi="Arial"/>
          <w:sz w:val="22"/>
          <w:szCs w:val="22"/>
        </w:rPr>
        <w:t xml:space="preserve">Cite to justify why FRR is a core evaluation axis in your paper alongside Attack Success Rate (ASR). Any defense that works by being paranoid will trivially reduce ASR at the cost of rejecting real clients.</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Ditto — Li et al. (ICML 2021)</w:t>
      </w:r>
    </w:p>
    <w:p>
      <w:pPr>
        <w:spacing w:after="100" w:before="80" w:line="276"/>
      </w:pPr>
      <w:r>
        <w:rPr>
          <w:rFonts w:ascii="Arial" w:cs="Arial" w:eastAsia="Arial" w:hAnsi="Arial"/>
          <w:b/>
          <w:bCs/>
          <w:sz w:val="22"/>
          <w:szCs w:val="22"/>
        </w:rPr>
        <w:t xml:space="preserve">What they did: </w:t>
      </w:r>
      <w:r>
        <w:rPr>
          <w:rFonts w:ascii="Arial" w:cs="Arial" w:eastAsia="Arial" w:hAnsi="Arial"/>
          <w:sz w:val="22"/>
          <w:szCs w:val="22"/>
        </w:rPr>
        <w:t xml:space="preserve">Proposed personalizing the FL model per-client — each client maintains a personal model in addition to the global model. The personal model adapts to the client's local distribution.</w:t>
      </w:r>
    </w:p>
    <w:p>
      <w:pPr>
        <w:spacing w:after="100" w:before="80" w:line="276"/>
      </w:pPr>
      <w:r>
        <w:rPr>
          <w:rFonts w:ascii="Arial" w:cs="Arial" w:eastAsia="Arial" w:hAnsi="Arial"/>
          <w:b/>
          <w:bCs/>
          <w:sz w:val="22"/>
          <w:szCs w:val="22"/>
        </w:rPr>
        <w:t xml:space="preserve">Your use: </w:t>
      </w:r>
      <w:r>
        <w:rPr>
          <w:rFonts w:ascii="Arial" w:cs="Arial" w:eastAsia="Arial" w:hAnsi="Arial"/>
          <w:sz w:val="22"/>
          <w:szCs w:val="22"/>
        </w:rPr>
        <w:t xml:space="preserve">'Ditto personalizes the model — we personalize the defense. These are complementary, not competing.' Cite as contrast.</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RaSA — Wang et al. (IEEE TIFS 2025)</w:t>
      </w:r>
    </w:p>
    <w:p>
      <w:pPr>
        <w:spacing w:after="100" w:before="80" w:line="276"/>
      </w:pPr>
      <w:r>
        <w:rPr>
          <w:rFonts w:ascii="Arial" w:cs="Arial" w:eastAsia="Arial" w:hAnsi="Arial"/>
          <w:b/>
          <w:bCs/>
          <w:sz w:val="22"/>
          <w:szCs w:val="22"/>
        </w:rPr>
        <w:t xml:space="preserve">What they did: </w:t>
      </w:r>
      <w:r>
        <w:rPr>
          <w:rFonts w:ascii="Arial" w:cs="Arial" w:eastAsia="Arial" w:hAnsi="Arial"/>
          <w:sz w:val="22"/>
          <w:szCs w:val="22"/>
        </w:rPr>
        <w:t xml:space="preserve">A Robust and adaptive Secure Aggregation protocol with adaptive weights updating strategy that considers both gradient similarity and gradient diversity. Explicitly tackles non-IID heterogeneity in FL aggregation. Prevents privacy leakage from both gradients and aggregation weights.</w:t>
      </w:r>
    </w:p>
    <w:p>
      <w:pPr>
        <w:spacing w:after="100" w:before="80" w:line="276"/>
      </w:pPr>
      <w:r>
        <w:rPr>
          <w:rFonts w:ascii="Arial" w:cs="Arial" w:eastAsia="Arial" w:hAnsi="Arial"/>
          <w:b/>
          <w:bCs/>
          <w:sz w:val="22"/>
          <w:szCs w:val="22"/>
        </w:rPr>
        <w:t xml:space="preserve">The gap: </w:t>
      </w:r>
      <w:r>
        <w:rPr>
          <w:rFonts w:ascii="Arial" w:cs="Arial" w:eastAsia="Arial" w:hAnsi="Arial"/>
          <w:sz w:val="22"/>
          <w:szCs w:val="22"/>
        </w:rPr>
        <w:t xml:space="preserve">RaSA's adaptive weights are based on gradient similarity/diversity globally — it is a smarter global weighting scheme, not per-client distribution modeling.</w:t>
      </w:r>
    </w:p>
    <w:p>
      <w:pPr>
        <w:pBdr>
          <w:top w:val="single" w:color="B71C1C" w:sz="4" w:space="4"/>
          <w:bottom w:val="single" w:color="B71C1C" w:sz="4" w:space="4"/>
          <w:left w:val="thick" w:color="B71C1C" w:sz="12" w:space="4"/>
          <w:right w:val="single" w:color="B71C1C" w:sz="4" w:space="4"/>
        </w:pBdr>
        <w:shd w:fill="FFEBEE" w:val="clear"/>
        <w:spacing w:after="120" w:before="120"/>
        <w:ind w:left="180" w:right="180"/>
      </w:pPr>
      <w:r>
        <w:rPr>
          <w:rFonts w:ascii="Arial" w:cs="Arial" w:eastAsia="Arial" w:hAnsi="Arial"/>
          <w:i/>
          <w:iCs/>
          <w:sz w:val="22"/>
          <w:szCs w:val="22"/>
        </w:rPr>
        <w:t xml:space="preserve">This is the gap analysis 'closest competitor — already published in TIFS.' Your experiments MUST outperform RaSA under NIMA injection. If your paper does not beat RaSA, reviewers will reject it.</w:t>
      </w:r>
    </w:p>
    <w:p>
      <w:pPr>
        <w:spacing w:after="60" w:before="60"/>
      </w:pPr>
      <w:r>
        <w:t xml:space="preserve"/>
      </w:r>
    </w:p>
    <w:p>
      <w:pPr>
        <w:pBdr>
          <w:bottom w:val="single" w:color="CCCCCC" w:sz="4" w:space="1"/>
        </w:pBdr>
        <w:spacing w:after="120" w:before="120"/>
      </w:pPr>
      <w:r>
        <w:t xml:space="preserve"/>
      </w:r>
    </w:p>
    <w:p>
      <w:pPr>
        <w:pStyle w:val="Heading1"/>
        <w:spacing w:after="180" w:before="360"/>
      </w:pPr>
      <w:r>
        <w:rPr>
          <w:rFonts w:ascii="Arial" w:cs="Arial" w:eastAsia="Arial" w:hAnsi="Arial"/>
          <w:b/>
          <w:bCs/>
          <w:sz w:val="32"/>
          <w:szCs w:val="32"/>
        </w:rPr>
        <w:t xml:space="preserve">Layer 5 — FL-IDS Papers (Your Specific Domain)</w:t>
      </w:r>
    </w:p>
    <w:p>
      <w:pPr>
        <w:spacing w:after="100" w:before="80" w:line="276"/>
      </w:pPr>
      <w:r>
        <w:rPr>
          <w:rFonts w:ascii="Arial" w:cs="Arial" w:eastAsia="Arial" w:hAnsi="Arial"/>
          <w:sz w:val="22"/>
          <w:szCs w:val="22"/>
        </w:rPr>
        <w:t xml:space="preserve">These are the papers doing FL-based intrusion detection — your exact domain. These are the papers reviewers will compare you against most directly.</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FedMADE — Sun et al. (ISC 2024)</w:t>
      </w:r>
    </w:p>
    <w:p>
      <w:pPr>
        <w:spacing w:after="100" w:before="80" w:line="276"/>
      </w:pPr>
      <w:r>
        <w:rPr>
          <w:rFonts w:ascii="Arial" w:cs="Arial" w:eastAsia="Arial" w:hAnsi="Arial"/>
          <w:b/>
          <w:bCs/>
          <w:sz w:val="22"/>
          <w:szCs w:val="22"/>
        </w:rPr>
        <w:t xml:space="preserve">What they did: </w:t>
      </w:r>
      <w:r>
        <w:rPr>
          <w:rFonts w:ascii="Arial" w:cs="Arial" w:eastAsia="Arial" w:hAnsi="Arial"/>
          <w:sz w:val="22"/>
          <w:szCs w:val="22"/>
        </w:rPr>
        <w:t xml:space="preserve">Introduced a dynamic aggregation method that clusters devices by their traffic patterns and aggregates local models based on their contributions toward overall performance. Used CICIoT2023 with device-based non-IID partitioning. Achieved up to 71.07% improvement in minority attack classification. Claimed robustness against poisoning attacks.</w:t>
      </w:r>
    </w:p>
    <w:p>
      <w:pPr>
        <w:spacing w:after="100" w:before="80" w:line="276"/>
      </w:pPr>
      <w:r>
        <w:rPr>
          <w:rFonts w:ascii="Arial" w:cs="Arial" w:eastAsia="Arial" w:hAnsi="Arial"/>
          <w:b/>
          <w:bCs/>
          <w:sz w:val="22"/>
          <w:szCs w:val="22"/>
        </w:rPr>
        <w:t xml:space="preserve">The critical gap: </w:t>
      </w:r>
      <w:r>
        <w:rPr>
          <w:rFonts w:ascii="Arial" w:cs="Arial" w:eastAsia="Arial" w:hAnsi="Arial"/>
          <w:sz w:val="22"/>
          <w:szCs w:val="22"/>
        </w:rPr>
        <w:t xml:space="preserve">FedMADE's robustness claim is against standard poisoning (label-flipping, random scaling). It has NOT been tested against NIMA — an attack that specifically mimics the Web/BruteForce device's gradient distribution. FedMADE cannot distinguish a poisoned update that matches the Web-device cluster centroid from a legitimate Web-device update.</w:t>
      </w:r>
    </w:p>
    <w:p>
      <w:pPr>
        <w:spacing w:after="100" w:before="80" w:line="276"/>
      </w:pPr>
      <w:r>
        <w:rPr>
          <w:rFonts w:ascii="Arial" w:cs="Arial" w:eastAsia="Arial" w:hAnsi="Arial"/>
          <w:b/>
          <w:bCs/>
          <w:sz w:val="22"/>
          <w:szCs w:val="22"/>
        </w:rPr>
        <w:t xml:space="preserve">Your use: </w:t>
      </w:r>
      <w:r>
        <w:rPr>
          <w:rFonts w:ascii="Arial" w:cs="Arial" w:eastAsia="Arial" w:hAnsi="Arial"/>
          <w:sz w:val="22"/>
          <w:szCs w:val="22"/>
        </w:rPr>
        <w:t xml:space="preserve">Closest FL-IDS baseline. Your Stage 2 may use similar partitioning. Your Stage 3 shows NIMA breaks FedMADE's robustness claim while your defense catches it.</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AGAT-FL — Sanjalawe et al. (PeerJ CS 2025)</w:t>
      </w:r>
    </w:p>
    <w:p>
      <w:pPr>
        <w:spacing w:after="100" w:before="80" w:line="276"/>
      </w:pPr>
      <w:r>
        <w:rPr>
          <w:rFonts w:ascii="Arial" w:cs="Arial" w:eastAsia="Arial" w:hAnsi="Arial"/>
          <w:b/>
          <w:bCs/>
          <w:sz w:val="22"/>
          <w:szCs w:val="22"/>
        </w:rPr>
        <w:t xml:space="preserve">What they did: </w:t>
      </w:r>
      <w:r>
        <w:rPr>
          <w:rFonts w:ascii="Arial" w:cs="Arial" w:eastAsia="Arial" w:hAnsi="Arial"/>
          <w:sz w:val="22"/>
          <w:szCs w:val="22"/>
        </w:rPr>
        <w:t xml:space="preserve">Combined dynamic trust-aware aggregation using graph attention networks, a hybrid CNN-GRU model for spatial-temporal anomaly detection, and Mahalanobis distance-based filtering. Trust scores assigned based on historical performance and behavioral indicators.</w:t>
      </w:r>
    </w:p>
    <w:p>
      <w:pPr>
        <w:spacing w:after="100" w:before="80" w:line="276"/>
      </w:pPr>
      <w:r>
        <w:rPr>
          <w:rFonts w:ascii="Arial" w:cs="Arial" w:eastAsia="Arial" w:hAnsi="Arial"/>
          <w:b/>
          <w:bCs/>
          <w:sz w:val="22"/>
          <w:szCs w:val="22"/>
        </w:rPr>
        <w:t xml:space="preserve">The overlap: </w:t>
      </w:r>
      <w:r>
        <w:rPr>
          <w:rFonts w:ascii="Arial" w:cs="Arial" w:eastAsia="Arial" w:hAnsi="Arial"/>
          <w:sz w:val="22"/>
          <w:szCs w:val="22"/>
        </w:rPr>
        <w:t xml:space="preserve">Historical behavioral scoring on FL-IDS — one component of what you are doing.</w:t>
      </w:r>
    </w:p>
    <w:p>
      <w:pPr>
        <w:spacing w:after="100" w:before="80" w:line="276"/>
      </w:pPr>
      <w:r>
        <w:rPr>
          <w:rFonts w:ascii="Arial" w:cs="Arial" w:eastAsia="Arial" w:hAnsi="Arial"/>
          <w:b/>
          <w:bCs/>
          <w:sz w:val="22"/>
          <w:szCs w:val="22"/>
        </w:rPr>
        <w:t xml:space="preserve">The gap: </w:t>
      </w:r>
      <w:r>
        <w:rPr>
          <w:rFonts w:ascii="Arial" w:cs="Arial" w:eastAsia="Arial" w:hAnsi="Arial"/>
          <w:sz w:val="22"/>
          <w:szCs w:val="22"/>
        </w:rPr>
        <w:t xml:space="preserve">Their Mahalanobis distance filtering is a global statistical test — it does not condition on per-client expected distributions.</w:t>
      </w:r>
    </w:p>
    <w:p>
      <w:pPr>
        <w:spacing w:after="100" w:before="80" w:line="276"/>
      </w:pPr>
      <w:r>
        <w:rPr>
          <w:rFonts w:ascii="Arial" w:cs="Arial" w:eastAsia="Arial" w:hAnsi="Arial"/>
          <w:b/>
          <w:bCs/>
          <w:sz w:val="22"/>
          <w:szCs w:val="22"/>
        </w:rPr>
        <w:t xml:space="preserve">Your use: </w:t>
      </w:r>
      <w:r>
        <w:rPr>
          <w:rFonts w:ascii="Arial" w:cs="Arial" w:eastAsia="Arial" w:hAnsi="Arial"/>
          <w:sz w:val="22"/>
          <w:szCs w:val="22"/>
        </w:rPr>
        <w:t xml:space="preserve">Cannot claim historical behavioral scoring as novel without engaging this paper. Frame your contribution as the specific D-hat-i-conditioned per-client band.</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pFL-IDS — Thein, Shiraishi, Morii (Future Gener Comput Syst 2024)</w:t>
      </w:r>
    </w:p>
    <w:p>
      <w:pPr>
        <w:spacing w:after="100" w:before="80" w:line="276"/>
      </w:pPr>
      <w:r>
        <w:rPr>
          <w:rFonts w:ascii="Arial" w:cs="Arial" w:eastAsia="Arial" w:hAnsi="Arial"/>
          <w:b/>
          <w:bCs/>
          <w:sz w:val="22"/>
          <w:szCs w:val="22"/>
        </w:rPr>
        <w:t xml:space="preserve">What they did: </w:t>
      </w:r>
      <w:r>
        <w:rPr>
          <w:rFonts w:ascii="Arial" w:cs="Arial" w:eastAsia="Arial" w:hAnsi="Arial"/>
          <w:sz w:val="22"/>
          <w:szCs w:val="22"/>
        </w:rPr>
        <w:t xml:space="preserve">FL-IDS with poisoning defense and personalization. Uses cosine-similarity centroid detection on heterogeneous IoT data.</w:t>
      </w:r>
    </w:p>
    <w:p>
      <w:pPr>
        <w:spacing w:after="100" w:before="80" w:line="276"/>
      </w:pPr>
      <w:r>
        <w:rPr>
          <w:rFonts w:ascii="Arial" w:cs="Arial" w:eastAsia="Arial" w:hAnsi="Arial"/>
          <w:b/>
          <w:bCs/>
          <w:sz w:val="22"/>
          <w:szCs w:val="22"/>
        </w:rPr>
        <w:t xml:space="preserve">The gap: </w:t>
      </w:r>
      <w:r>
        <w:rPr>
          <w:rFonts w:ascii="Arial" w:cs="Arial" w:eastAsia="Arial" w:hAnsi="Arial"/>
          <w:sz w:val="22"/>
          <w:szCs w:val="22"/>
        </w:rPr>
        <w:t xml:space="preserve">pFL-IDS uses a global centroid for comparison — measures how far each update is from the average of all updates. Your defense uses per-client D-hat-i-conditioned bands — measures how far each update is from where that specific client should be.</w:t>
      </w:r>
    </w:p>
    <w:p>
      <w:pPr>
        <w:spacing w:after="100" w:before="80" w:line="276"/>
      </w:pPr>
      <w:r>
        <w:rPr>
          <w:rFonts w:ascii="Arial" w:cs="Arial" w:eastAsia="Arial" w:hAnsi="Arial"/>
          <w:b/>
          <w:bCs/>
          <w:sz w:val="22"/>
          <w:szCs w:val="22"/>
        </w:rPr>
        <w:t xml:space="preserve">Your use: </w:t>
      </w:r>
      <w:r>
        <w:rPr>
          <w:rFonts w:ascii="Arial" w:cs="Arial" w:eastAsia="Arial" w:hAnsi="Arial"/>
          <w:sz w:val="22"/>
          <w:szCs w:val="22"/>
        </w:rPr>
        <w:t xml:space="preserve">High-overlap paper that reviewers will compare against directly. Must cite and differentiate clearly.</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TAIM (MDPI 2025)</w:t>
      </w:r>
    </w:p>
    <w:p>
      <w:pPr>
        <w:spacing w:after="100" w:before="80" w:line="276"/>
      </w:pPr>
      <w:r>
        <w:rPr>
          <w:rFonts w:ascii="Arial" w:cs="Arial" w:eastAsia="Arial" w:hAnsi="Arial"/>
          <w:b/>
          <w:bCs/>
          <w:sz w:val="22"/>
          <w:szCs w:val="22"/>
        </w:rPr>
        <w:t xml:space="preserve">What they did: </w:t>
      </w:r>
      <w:r>
        <w:rPr>
          <w:rFonts w:ascii="Arial" w:cs="Arial" w:eastAsia="Arial" w:hAnsi="Arial"/>
          <w:sz w:val="22"/>
          <w:szCs w:val="22"/>
        </w:rPr>
        <w:t xml:space="preserve">Multidimensional trust model using participation frequency and gradient consistency. Computes Bayesian reputation scores per client in FL.</w:t>
      </w:r>
    </w:p>
    <w:p>
      <w:pPr>
        <w:spacing w:after="100" w:before="80" w:line="276"/>
      </w:pPr>
      <w:r>
        <w:rPr>
          <w:rFonts w:ascii="Arial" w:cs="Arial" w:eastAsia="Arial" w:hAnsi="Arial"/>
          <w:b/>
          <w:bCs/>
          <w:sz w:val="22"/>
          <w:szCs w:val="22"/>
        </w:rPr>
        <w:t xml:space="preserve">Your use: </w:t>
      </w:r>
      <w:r>
        <w:rPr>
          <w:rFonts w:ascii="Arial" w:cs="Arial" w:eastAsia="Arial" w:hAnsi="Arial"/>
          <w:sz w:val="22"/>
          <w:szCs w:val="22"/>
        </w:rPr>
        <w:t xml:space="preserve">Overlaps with Hᵢ history scoring component. Cite alongside AGAT-FL to close the door on overclaiming history-based novelty.</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FedTrust-Net (2025)</w:t>
      </w:r>
    </w:p>
    <w:p>
      <w:pPr>
        <w:spacing w:after="100" w:before="80" w:line="276"/>
      </w:pPr>
      <w:r>
        <w:rPr>
          <w:rFonts w:ascii="Arial" w:cs="Arial" w:eastAsia="Arial" w:hAnsi="Arial"/>
          <w:b/>
          <w:bCs/>
          <w:sz w:val="22"/>
          <w:szCs w:val="22"/>
        </w:rPr>
        <w:t xml:space="preserve">What they did: </w:t>
      </w:r>
      <w:r>
        <w:rPr>
          <w:rFonts w:ascii="Arial" w:cs="Arial" w:eastAsia="Arial" w:hAnsi="Arial"/>
          <w:sz w:val="22"/>
          <w:szCs w:val="22"/>
        </w:rPr>
        <w:t xml:space="preserve">Reputation-guided weighting on CICIoT2023 — uses your exact primary dataset.</w:t>
      </w:r>
    </w:p>
    <w:p>
      <w:pPr>
        <w:pBdr>
          <w:top w:val="single" w:color="B71C1C" w:sz="4" w:space="4"/>
          <w:bottom w:val="single" w:color="B71C1C" w:sz="4" w:space="4"/>
          <w:left w:val="thick" w:color="B71C1C" w:sz="12" w:space="4"/>
          <w:right w:val="single" w:color="B71C1C" w:sz="4" w:space="4"/>
        </w:pBdr>
        <w:shd w:fill="FFEBEE" w:val="clear"/>
        <w:spacing w:after="120" w:before="120"/>
        <w:ind w:left="180" w:right="180"/>
      </w:pPr>
      <w:r>
        <w:rPr>
          <w:rFonts w:ascii="Arial" w:cs="Arial" w:eastAsia="Arial" w:hAnsi="Arial"/>
          <w:i/>
          <w:iCs/>
          <w:sz w:val="22"/>
          <w:szCs w:val="22"/>
        </w:rPr>
        <w:t xml:space="preserve">URGENT: Find this paper immediately. Reviewers will compare your results against FedTrust-Net directly since you use the same dataset.</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FD-IDS (2025), pFedCross (2025), P3Fed (2025)</w:t>
      </w:r>
    </w:p>
    <w:p>
      <w:pPr>
        <w:spacing w:after="100" w:before="80" w:line="276"/>
      </w:pPr>
      <w:r>
        <w:rPr>
          <w:rFonts w:ascii="Arial" w:cs="Arial" w:eastAsia="Arial" w:hAnsi="Arial"/>
          <w:b/>
          <w:bCs/>
          <w:sz w:val="22"/>
          <w:szCs w:val="22"/>
        </w:rPr>
        <w:t xml:space="preserve">What they did: </w:t>
      </w:r>
      <w:r>
        <w:rPr>
          <w:rFonts w:ascii="Arial" w:cs="Arial" w:eastAsia="Arial" w:hAnsi="Arial"/>
          <w:sz w:val="22"/>
          <w:szCs w:val="22"/>
        </w:rPr>
        <w:t xml:space="preserve">Various personalized FL-IDS frameworks addressing non-IID accuracy degradation. Collectively these papers prove that personalized FL-IDS is a crowded space.</w:t>
      </w:r>
    </w:p>
    <w:p>
      <w:pPr>
        <w:spacing w:after="100" w:before="80" w:line="276"/>
      </w:pPr>
      <w:r>
        <w:rPr>
          <w:rFonts w:ascii="Arial" w:cs="Arial" w:eastAsia="Arial" w:hAnsi="Arial"/>
          <w:b/>
          <w:bCs/>
          <w:sz w:val="22"/>
          <w:szCs w:val="22"/>
        </w:rPr>
        <w:t xml:space="preserve">Your use: </w:t>
      </w:r>
      <w:r>
        <w:rPr>
          <w:rFonts w:ascii="Arial" w:cs="Arial" w:eastAsia="Arial" w:hAnsi="Arial"/>
          <w:sz w:val="22"/>
          <w:szCs w:val="22"/>
        </w:rPr>
        <w:t xml:space="preserve">Cite in related work to reinforce that your novelty is not personalization itself but the NIMA attack formulation and per-client defense mechanism.</w:t>
      </w:r>
    </w:p>
    <w:p>
      <w:pPr>
        <w:spacing w:after="60" w:before="60"/>
      </w:pPr>
      <w:r>
        <w:t xml:space="preserve"/>
      </w:r>
    </w:p>
    <w:p>
      <w:pPr>
        <w:pBdr>
          <w:bottom w:val="single" w:color="CCCCCC" w:sz="4" w:space="1"/>
        </w:pBdr>
        <w:spacing w:after="120" w:before="120"/>
      </w:pPr>
      <w:r>
        <w:t xml:space="preserve"/>
      </w:r>
    </w:p>
    <w:p>
      <w:pPr>
        <w:pStyle w:val="Heading1"/>
        <w:spacing w:after="180" w:before="360"/>
      </w:pPr>
      <w:r>
        <w:rPr>
          <w:rFonts w:ascii="Arial" w:cs="Arial" w:eastAsia="Arial" w:hAnsi="Arial"/>
          <w:b/>
          <w:bCs/>
          <w:sz w:val="32"/>
          <w:szCs w:val="32"/>
        </w:rPr>
        <w:t xml:space="preserve">Complete Paper Reference Table</w:t>
      </w:r>
    </w:p>
    <w:p>
      <w:pPr>
        <w:spacing w:after="100" w:before="80" w:line="276"/>
      </w:pPr>
      <w:r>
        <w:rPr>
          <w:rFonts w:ascii="Arial" w:cs="Arial" w:eastAsia="Arial" w:hAnsi="Arial"/>
          <w:sz w:val="22"/>
          <w:szCs w:val="22"/>
        </w:rPr>
        <w:t xml:space="preserve">All 34 papers from the gap analysis, organized by category and relevance to your work.</w:t>
      </w:r>
    </w:p>
    <w:p>
      <w:pPr>
        <w:spacing w:after="60" w:before="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2400"/>
        <w:gridCol w:w="1160"/>
      </w:tblGrid>
      <w:tr>
        <w:trPr>
          <w:tblHeader/>
        </w:trPr>
        <w:tc>
          <w:tcPr>
            <w:tcW w:type="dxa" w:w="3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Paper</w:t>
            </w:r>
          </w:p>
        </w:tc>
        <w:tc>
          <w:tcPr>
            <w:tcW w:type="dxa" w:w="1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Venue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Your Use</w:t>
            </w:r>
          </w:p>
        </w:tc>
        <w:tc>
          <w:tcPr>
            <w:tcW w:type="dxa" w:w="11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Overlap</w:t>
            </w:r>
          </w:p>
        </w:tc>
      </w:tr>
      <w:tr>
        <w:tc>
          <w:tcPr>
            <w:tcW w:type="dxa" w:w="3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FedAvg — McMahan et al.</w:t>
            </w:r>
          </w:p>
        </w:tc>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AISTATS 2017</w:t>
            </w:r>
          </w:p>
        </w:tc>
        <w:tc>
          <w:tcPr>
            <w:tcW w:type="dxa" w:w="2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Table 1 baseline — always cite</w:t>
            </w:r>
          </w:p>
        </w:tc>
        <w:tc>
          <w:tcPr>
            <w:tcW w:type="dxa" w:w="1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Foundation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Krum — Blanchard et 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NeurIPS 2017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Defense NIMA bypasses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Foundation</w:t>
            </w:r>
          </w:p>
        </w:tc>
      </w:tr>
      <w:tr>
        <w:tc>
          <w:tcPr>
            <w:tcW w:type="dxa" w:w="3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Trimmed Mean/Median — Yin et al.</w:t>
            </w:r>
          </w:p>
        </w:tc>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ICML 2018</w:t>
            </w:r>
          </w:p>
        </w:tc>
        <w:tc>
          <w:tcPr>
            <w:tcW w:type="dxa" w:w="2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Defense NIMA bypasses</w:t>
            </w:r>
          </w:p>
        </w:tc>
        <w:tc>
          <w:tcPr>
            <w:tcW w:type="dxa" w:w="1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Foundation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FedProx — Li et 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MLSys 2020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Convergence contrast (not security)</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Foundation</w:t>
            </w:r>
          </w:p>
        </w:tc>
      </w:tr>
      <w:tr>
        <w:tc>
          <w:tcPr>
            <w:tcW w:type="dxa" w:w="3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SCAFFOLD — Karimireddy et al.</w:t>
            </w:r>
          </w:p>
        </w:tc>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ICML 2020</w:t>
            </w:r>
          </w:p>
        </w:tc>
        <w:tc>
          <w:tcPr>
            <w:tcW w:type="dxa" w:w="2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Convergence theory section</w:t>
            </w:r>
          </w:p>
        </w:tc>
        <w:tc>
          <w:tcPr>
            <w:tcW w:type="dxa" w:w="1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Foundation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CICIoT2023 — Neto et 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Sensors 2023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Primary benchmark — must cite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Foundation</w:t>
            </w:r>
          </w:p>
        </w:tc>
      </w:tr>
      <w:tr>
        <w:tc>
          <w:tcPr>
            <w:tcW w:type="dxa" w:w="3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Model Replacement — Bagdasaryan et al.</w:t>
            </w:r>
          </w:p>
        </w:tc>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AISTATS 2020</w:t>
            </w:r>
          </w:p>
        </w:tc>
        <w:tc>
          <w:tcPr>
            <w:tcW w:type="dxa" w:w="2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Related attack background</w:t>
            </w:r>
          </w:p>
        </w:tc>
        <w:tc>
          <w:tcPr>
            <w:tcW w:type="dxa" w:w="1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Low</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Local Poisoning — Fang et 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USENIX 2020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Attack formulation basis for NIMA</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w:t>
            </w:r>
          </w:p>
        </w:tc>
      </w:tr>
      <w:tr>
        <w:tc>
          <w:tcPr>
            <w:tcW w:type="dxa" w:w="3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Manipulating the Byzantine — Shejwalkar &amp; Houmansadr</w:t>
            </w:r>
          </w:p>
        </w:tc>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NDSS 2021</w:t>
            </w:r>
          </w:p>
        </w:tc>
        <w:tc>
          <w:tcPr>
            <w:tcW w:type="dxa" w:w="2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Core motivation — cite in intro</w:t>
            </w:r>
          </w:p>
        </w:tc>
        <w:tc>
          <w:tcPr>
            <w:tcW w:type="dxa" w:w="1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High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Back to the Drawing Board — Shejwalkar et 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IEEE S&amp;P 2022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Threat model calibration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r>
      <w:tr>
        <w:tc>
          <w:tcPr>
            <w:tcW w:type="dxa" w:w="3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AutoAdapt — Krauss et al.</w:t>
            </w:r>
          </w:p>
        </w:tc>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NDSS 2024</w:t>
            </w:r>
          </w:p>
        </w:tc>
        <w:tc>
          <w:tcPr>
            <w:tcW w:type="dxa" w:w="2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Closest prior to NIMA — differentiate clearly</w:t>
            </w:r>
          </w:p>
        </w:tc>
        <w:tc>
          <w:tcPr>
            <w:tcW w:type="dxa" w:w="1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Medium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Poisoning on FL-based IoT IDS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NDSS 2025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READ FIRST — potential conflict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r>
      <w:tr>
        <w:tc>
          <w:tcPr>
            <w:tcW w:type="dxa" w:w="3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FLTrust — Cao et al.</w:t>
            </w:r>
          </w:p>
        </w:tc>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NDSS 2021</w:t>
            </w:r>
          </w:p>
        </w:tc>
        <w:tc>
          <w:tcPr>
            <w:tcW w:type="dxa" w:w="2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Defense requiring clean root dataset</w:t>
            </w:r>
          </w:p>
        </w:tc>
        <w:tc>
          <w:tcPr>
            <w:tcW w:type="dxa" w:w="1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Medium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FoolsGold — Fung et 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IEEE TDSC 2021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Sybil defense — different threat model</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w:t>
            </w:r>
          </w:p>
        </w:tc>
      </w:tr>
      <w:tr>
        <w:tc>
          <w:tcPr>
            <w:tcW w:type="dxa" w:w="3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FLAME — Nguyen et al.</w:t>
            </w:r>
          </w:p>
        </w:tc>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USENIX 2022</w:t>
            </w:r>
          </w:p>
        </w:tc>
        <w:tc>
          <w:tcPr>
            <w:tcW w:type="dxa" w:w="2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Primary target defense for NIMA to evade</w:t>
            </w:r>
          </w:p>
        </w:tc>
        <w:tc>
          <w:tcPr>
            <w:tcW w:type="dxa" w:w="1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Medium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DeepSight — Rieger et 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NDSS 2022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Backdoor defense — brief mention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Low</w:t>
            </w:r>
          </w:p>
        </w:tc>
      </w:tr>
      <w:tr>
        <w:tc>
          <w:tcPr>
            <w:tcW w:type="dxa" w:w="3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FLDetector — Zhang et al.</w:t>
            </w:r>
          </w:p>
        </w:tc>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KDD 2022</w:t>
            </w:r>
          </w:p>
        </w:tc>
        <w:tc>
          <w:tcPr>
            <w:tcW w:type="dxa" w:w="2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Most direct technical competitor</w:t>
            </w:r>
          </w:p>
        </w:tc>
        <w:tc>
          <w:tcPr>
            <w:tcW w:type="dxa" w:w="1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High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MUD-HoG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History-based — differentiate per-client vs global</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r>
      <w:tr>
        <w:tc>
          <w:tcPr>
            <w:tcW w:type="dxa" w:w="3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FreqFed — Fereidooni et al.</w:t>
            </w:r>
          </w:p>
        </w:tc>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NDSS 2024</w:t>
            </w:r>
          </w:p>
        </w:tc>
        <w:tc>
          <w:tcPr>
            <w:tcW w:type="dxa" w:w="2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Frequency domain — explain why not for NIMA</w:t>
            </w:r>
          </w:p>
        </w:tc>
        <w:tc>
          <w:tcPr>
            <w:tcW w:type="dxa" w:w="1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Low</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GAS — Gradient Splitting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Theoretical motivation — cite in intro</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w:t>
            </w:r>
          </w:p>
        </w:tc>
      </w:tr>
      <w:tr>
        <w:tc>
          <w:tcPr>
            <w:tcW w:type="dxa" w:w="3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Fair Detection on Non-IID</w:t>
            </w:r>
          </w:p>
        </w:tc>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2023</w:t>
            </w:r>
          </w:p>
        </w:tc>
        <w:tc>
          <w:tcPr>
            <w:tcW w:type="dxa" w:w="2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Justify FRR as evaluation axis</w:t>
            </w:r>
          </w:p>
        </w:tc>
        <w:tc>
          <w:tcPr>
            <w:tcW w:type="dxa" w:w="1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Medium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Ditto — Li et 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ICML 2021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Model personalization contrast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Low</w:t>
            </w:r>
          </w:p>
        </w:tc>
      </w:tr>
      <w:tr>
        <w:tc>
          <w:tcPr>
            <w:tcW w:type="dxa" w:w="3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RaSA — Wang et al.</w:t>
            </w:r>
          </w:p>
        </w:tc>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IEEE TIFS 2025</w:t>
            </w:r>
          </w:p>
        </w:tc>
        <w:tc>
          <w:tcPr>
            <w:tcW w:type="dxa" w:w="2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Closest competitor — must outperform</w:t>
            </w:r>
          </w:p>
        </w:tc>
        <w:tc>
          <w:tcPr>
            <w:tcW w:type="dxa" w:w="1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High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FedMADE — Sun et 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ISC 2024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Closest FL-IDS baseline on CICIoT2023</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w:t>
            </w:r>
          </w:p>
        </w:tc>
      </w:tr>
      <w:tr>
        <w:tc>
          <w:tcPr>
            <w:tcW w:type="dxa" w:w="3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AGAT-FL — Sanjalawe et al.</w:t>
            </w:r>
          </w:p>
        </w:tc>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PeerJ CS 2025</w:t>
            </w:r>
          </w:p>
        </w:tc>
        <w:tc>
          <w:tcPr>
            <w:tcW w:type="dxa" w:w="2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History scoring overlap — differentiate</w:t>
            </w:r>
          </w:p>
        </w:tc>
        <w:tc>
          <w:tcPr>
            <w:tcW w:type="dxa" w:w="1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High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pFL-IDS — Thein et 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FGCS 2024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 overlap — cite and differentiate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r>
      <w:tr>
        <w:tc>
          <w:tcPr>
            <w:tcW w:type="dxa" w:w="3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TAIM</w:t>
            </w:r>
          </w:p>
        </w:tc>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MDPI 2025</w:t>
            </w:r>
          </w:p>
        </w:tc>
        <w:tc>
          <w:tcPr>
            <w:tcW w:type="dxa" w:w="2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History scoring — cite to bound novelty claim</w:t>
            </w:r>
          </w:p>
        </w:tc>
        <w:tc>
          <w:tcPr>
            <w:tcW w:type="dxa" w:w="1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High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FedTrust-Net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Uses CICIoT2023 — find immediately</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r>
      <w:tr>
        <w:tc>
          <w:tcPr>
            <w:tcW w:type="dxa" w:w="3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FD-IDS</w:t>
            </w:r>
          </w:p>
        </w:tc>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2025</w:t>
            </w:r>
          </w:p>
        </w:tc>
        <w:tc>
          <w:tcPr>
            <w:tcW w:type="dxa" w:w="2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Non-IID accuracy — contrast with security focus</w:t>
            </w:r>
          </w:p>
        </w:tc>
        <w:tc>
          <w:tcPr>
            <w:tcW w:type="dxa" w:w="1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Low</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pFedCross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Personalized FL-IDS — crowded space evidence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Low</w:t>
            </w:r>
          </w:p>
        </w:tc>
      </w:tr>
      <w:tr>
        <w:tc>
          <w:tcPr>
            <w:tcW w:type="dxa" w:w="3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P3Fed</w:t>
            </w:r>
          </w:p>
        </w:tc>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2025</w:t>
            </w:r>
          </w:p>
        </w:tc>
        <w:tc>
          <w:tcPr>
            <w:tcW w:type="dxa" w:w="2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Personalized FL-IDS — crowded space evidence</w:t>
            </w:r>
          </w:p>
        </w:tc>
        <w:tc>
          <w:tcPr>
            <w:tcW w:type="dxa" w:w="1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Low</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NF-ToN-IoT-v3, NF-BoT-IoT-v3 — Sarhan et 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UNSW 2025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Cross-dataset generalization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Foundation</w:t>
            </w:r>
          </w:p>
        </w:tc>
      </w:tr>
      <w:tr>
        <w:tc>
          <w:tcPr>
            <w:tcW w:type="dxa" w:w="3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Edge-IIoTset — Ferrag et al.</w:t>
            </w:r>
          </w:p>
        </w:tc>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IEEE Access 2022</w:t>
            </w:r>
          </w:p>
        </w:tc>
        <w:tc>
          <w:tcPr>
            <w:tcW w:type="dxa" w:w="2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Cross-dataset generalization</w:t>
            </w:r>
          </w:p>
        </w:tc>
        <w:tc>
          <w:tcPr>
            <w:tcW w:type="dxa" w:w="1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Foundation</w:t>
            </w:r>
          </w:p>
        </w:tc>
      </w:tr>
    </w:tbl>
    <w:p>
      <w:pPr>
        <w:spacing w:after="60" w:before="60"/>
      </w:pPr>
      <w:r>
        <w:t xml:space="preserve"/>
      </w:r>
    </w:p>
    <w:p>
      <w:pPr>
        <w:pBdr>
          <w:bottom w:val="single" w:color="CCCCCC" w:sz="4" w:space="1"/>
        </w:pBdr>
        <w:spacing w:after="120" w:before="120"/>
      </w:pPr>
      <w:r>
        <w:t xml:space="preserve"/>
      </w:r>
    </w:p>
    <w:p>
      <w:pPr>
        <w:pStyle w:val="Heading1"/>
        <w:spacing w:after="180" w:before="360"/>
      </w:pPr>
      <w:r>
        <w:rPr>
          <w:rFonts w:ascii="Arial" w:cs="Arial" w:eastAsia="Arial" w:hAnsi="Arial"/>
          <w:b/>
          <w:bCs/>
          <w:sz w:val="32"/>
          <w:szCs w:val="32"/>
        </w:rPr>
        <w:t xml:space="preserve">Honest Assessment — Is NIMA Feasible?</w:t>
      </w:r>
    </w:p>
    <w:p>
      <w:pPr>
        <w:spacing w:after="60" w:before="60"/>
      </w:pPr>
      <w:r>
        <w:t xml:space="preserve"/>
      </w:r>
    </w:p>
    <w:p>
      <w:pPr>
        <w:pStyle w:val="Heading2"/>
        <w:spacing w:after="120" w:before="280"/>
      </w:pPr>
      <w:r>
        <w:rPr>
          <w:rFonts w:ascii="Arial" w:cs="Arial" w:eastAsia="Arial" w:hAnsi="Arial"/>
          <w:b/>
          <w:bCs/>
          <w:sz w:val="26"/>
          <w:szCs w:val="26"/>
        </w:rPr>
        <w:t xml:space="preserve">What Is Definitely Feasible</w:t>
      </w:r>
    </w:p>
    <w:p>
      <w:pPr>
        <w:pStyle w:val="ListParagraph"/>
        <w:numPr>
          <w:ilvl w:val="0"/>
          <w:numId w:val="2"/>
        </w:numPr>
        <w:spacing w:after="40" w:before="40"/>
      </w:pPr>
      <w:r>
        <w:rPr>
          <w:rFonts w:ascii="Arial" w:cs="Arial" w:eastAsia="Arial" w:hAnsi="Arial"/>
          <w:sz w:val="22"/>
          <w:szCs w:val="22"/>
        </w:rPr>
        <w:t xml:space="preserve">Stage 1 centralized baseline: independently publishable. No existing CICIoT2023 paper does all of this together.</w:t>
      </w:r>
    </w:p>
    <w:p>
      <w:pPr>
        <w:pStyle w:val="ListParagraph"/>
        <w:numPr>
          <w:ilvl w:val="0"/>
          <w:numId w:val="2"/>
        </w:numPr>
        <w:spacing w:after="40" w:before="40"/>
      </w:pPr>
      <w:r>
        <w:rPr>
          <w:rFonts w:ascii="Arial" w:cs="Arial" w:eastAsia="Arial" w:hAnsi="Arial"/>
          <w:sz w:val="22"/>
          <w:szCs w:val="22"/>
        </w:rPr>
        <w:t xml:space="preserve">The NIMA attack concept: the logic is correct. Shejwalkar's NDSS 2021 paper showed empirically that poisoning effectiveness increases with non-IID degree — you are formalizing why.</w:t>
      </w:r>
    </w:p>
    <w:p>
      <w:pPr>
        <w:pStyle w:val="ListParagraph"/>
        <w:numPr>
          <w:ilvl w:val="0"/>
          <w:numId w:val="2"/>
        </w:numPr>
        <w:spacing w:after="40" w:before="40"/>
      </w:pPr>
      <w:r>
        <w:rPr>
          <w:rFonts w:ascii="Arial" w:cs="Arial" w:eastAsia="Arial" w:hAnsi="Arial"/>
          <w:sz w:val="22"/>
          <w:szCs w:val="22"/>
        </w:rPr>
        <w:t xml:space="preserve">FL simulation on CICIoT2023: standard engineering. FedMADE already demonstrated device-based partitioning on this exact dataset.</w:t>
      </w:r>
    </w:p>
    <w:p>
      <w:pPr>
        <w:spacing w:after="60" w:before="60"/>
      </w:pPr>
      <w:r>
        <w:t xml:space="preserve"/>
      </w:r>
    </w:p>
    <w:p>
      <w:pPr>
        <w:pStyle w:val="Heading2"/>
        <w:spacing w:after="120" w:before="280"/>
      </w:pPr>
      <w:r>
        <w:rPr>
          <w:rFonts w:ascii="Arial" w:cs="Arial" w:eastAsia="Arial" w:hAnsi="Arial"/>
          <w:b/>
          <w:bCs/>
          <w:sz w:val="26"/>
          <w:szCs w:val="26"/>
        </w:rPr>
        <w:t xml:space="preserve">What Is Genuinely Hard</w:t>
      </w:r>
    </w:p>
    <w:p>
      <w:pPr>
        <w:pStyle w:val="Heading3"/>
        <w:spacing w:after="100" w:before="200"/>
      </w:pPr>
      <w:r>
        <w:rPr>
          <w:rFonts w:ascii="Arial" w:cs="Arial" w:eastAsia="Arial" w:hAnsi="Arial"/>
          <w:b/>
          <w:bCs/>
          <w:color w:val="2E75B6"/>
          <w:sz w:val="24"/>
          <w:szCs w:val="24"/>
        </w:rPr>
        <w:t xml:space="preserve">Problem 1 — The Defense Has Theoretical Gaps</w:t>
      </w:r>
    </w:p>
    <w:p>
      <w:pPr>
        <w:pStyle w:val="ListParagraph"/>
        <w:numPr>
          <w:ilvl w:val="0"/>
          <w:numId w:val="2"/>
        </w:numPr>
        <w:spacing w:after="40" w:before="40"/>
      </w:pPr>
      <w:r>
        <w:rPr>
          <w:rFonts w:ascii="Arial" w:cs="Arial" w:eastAsia="Arial" w:hAnsi="Arial"/>
          <w:sz w:val="22"/>
          <w:szCs w:val="22"/>
        </w:rPr>
        <w:t xml:space="preserve">Cold start problem: you need history to build the per-client band. How many rounds? What happens during that window?</w:t>
      </w:r>
    </w:p>
    <w:p>
      <w:pPr>
        <w:pStyle w:val="ListParagraph"/>
        <w:numPr>
          <w:ilvl w:val="0"/>
          <w:numId w:val="2"/>
        </w:numPr>
        <w:spacing w:after="40" w:before="40"/>
      </w:pPr>
      <w:r>
        <w:rPr>
          <w:rFonts w:ascii="Arial" w:cs="Arial" w:eastAsia="Arial" w:hAnsi="Arial"/>
          <w:sz w:val="22"/>
          <w:szCs w:val="22"/>
        </w:rPr>
        <w:t xml:space="preserve">Non-stationarity: as the global model changes round-over-round, what a legitimate client should send also changes. A naive sliding window may not track the moving target.</w:t>
      </w:r>
    </w:p>
    <w:p>
      <w:pPr>
        <w:pStyle w:val="ListParagraph"/>
        <w:numPr>
          <w:ilvl w:val="0"/>
          <w:numId w:val="2"/>
        </w:numPr>
        <w:spacing w:after="40" w:before="40"/>
      </w:pPr>
      <w:r>
        <w:rPr>
          <w:rFonts w:ascii="Arial" w:cs="Arial" w:eastAsia="Arial" w:hAnsi="Arial"/>
          <w:sz w:val="22"/>
          <w:szCs w:val="22"/>
        </w:rPr>
        <w:t xml:space="preserve">Adaptive adversary: a sophisticated NIMA attacker who knows you use per-client bands can gradually drift submissions over many rounds, slowly shifting the band center before exploiting it.</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Problem 2 — The Novelty Claim Is Fragile in Places</w:t>
      </w:r>
    </w:p>
    <w:p>
      <w:pPr>
        <w:spacing w:after="100" w:before="80" w:line="276"/>
      </w:pPr>
      <w:r>
        <w:rPr>
          <w:rFonts w:ascii="Arial" w:cs="Arial" w:eastAsia="Arial" w:hAnsi="Arial"/>
          <w:sz w:val="22"/>
          <w:szCs w:val="22"/>
        </w:rPr>
        <w:t xml:space="preserve">AGAT-FL, FLDetector, MUD-HoG, and pFL-IDS all do forms of per-client or history-based detection. Your differentiator is conditioning on per-client distribution rather than global — real and meaningful, but you must articulate it precisely with measurable experimental evidence.</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Problem 3 — The Attacker Capability Assumption</w:t>
      </w:r>
    </w:p>
    <w:p>
      <w:pPr>
        <w:spacing w:after="100" w:before="80" w:line="276"/>
      </w:pPr>
      <w:r>
        <w:rPr>
          <w:rFonts w:ascii="Arial" w:cs="Arial" w:eastAsia="Arial" w:hAnsi="Arial"/>
          <w:sz w:val="22"/>
          <w:szCs w:val="22"/>
        </w:rPr>
        <w:t xml:space="preserve">For NIMA to work, the malicious client needs to know the gradient distribution of its target legitimate client. The most realistic justification: if you compromised a camera, you know what camera traffic looks like. State this precisely in your threat model. If you assume too much capability, the S&amp;P 2022 paper will come up in review.</w:t>
      </w:r>
    </w:p>
    <w:p>
      <w:pPr>
        <w:spacing w:after="60" w:before="60"/>
      </w:pPr>
      <w:r>
        <w:t xml:space="preserve"/>
      </w:r>
    </w:p>
    <w:p>
      <w:pPr>
        <w:pStyle w:val="Heading2"/>
        <w:spacing w:after="120" w:before="280"/>
      </w:pPr>
      <w:r>
        <w:rPr>
          <w:rFonts w:ascii="Arial" w:cs="Arial" w:eastAsia="Arial" w:hAnsi="Arial"/>
          <w:b/>
          <w:bCs/>
          <w:sz w:val="26"/>
          <w:szCs w:val="26"/>
        </w:rPr>
        <w:t xml:space="preserve">What Could Kill It</w:t>
      </w:r>
    </w:p>
    <w:p>
      <w:pPr>
        <w:pBdr>
          <w:top w:val="single" w:color="B71C1C" w:sz="4" w:space="4"/>
          <w:bottom w:val="single" w:color="B71C1C" w:sz="4" w:space="4"/>
          <w:left w:val="thick" w:color="B71C1C" w:sz="12" w:space="4"/>
          <w:right w:val="single" w:color="B71C1C" w:sz="4" w:space="4"/>
        </w:pBdr>
        <w:shd w:fill="FFEBEE" w:val="clear"/>
        <w:spacing w:after="120" w:before="120"/>
        <w:ind w:left="180" w:right="180"/>
      </w:pPr>
      <w:r>
        <w:rPr>
          <w:rFonts w:ascii="Arial" w:cs="Arial" w:eastAsia="Arial" w:hAnsi="Arial"/>
          <w:i/>
          <w:iCs/>
          <w:sz w:val="22"/>
          <w:szCs w:val="22"/>
        </w:rPr>
        <w:t xml:space="preserve">Risk 1 — The NDSS 2025 paper: If it formalizes a similar mimicry-based attack with a per-client defense, your C2 contribution evaporates. Find and read this paper before writing anything.</w:t>
      </w:r>
    </w:p>
    <w:p>
      <w:pPr>
        <w:pBdr>
          <w:top w:val="single" w:color="FFA000" w:sz="4" w:space="4"/>
          <w:bottom w:val="single" w:color="FFA000" w:sz="4" w:space="4"/>
          <w:left w:val="thick" w:color="FFA000" w:sz="12" w:space="4"/>
          <w:right w:val="single" w:color="FFA000" w:sz="4" w:space="4"/>
        </w:pBdr>
        <w:shd w:fill="FFF3CD" w:val="clear"/>
        <w:spacing w:after="120" w:before="120"/>
        <w:ind w:left="180" w:right="180"/>
      </w:pPr>
      <w:r>
        <w:rPr>
          <w:rFonts w:ascii="Arial" w:cs="Arial" w:eastAsia="Arial" w:hAnsi="Arial"/>
          <w:i/>
          <w:iCs/>
          <w:sz w:val="22"/>
          <w:szCs w:val="22"/>
        </w:rPr>
        <w:t xml:space="preserve">Risk 2 — Scope: You are on notebook 07. The full system is Stage 1 + Stage 2 + NIMA + Defense + Evaluation + Writing. Each is months of work. Trying to do everything in year 1 while doing coursework is very ambitious.</w:t>
      </w:r>
    </w:p>
    <w:p>
      <w:pPr>
        <w:pBdr>
          <w:top w:val="single" w:color="FFA000" w:sz="4" w:space="4"/>
          <w:bottom w:val="single" w:color="FFA000" w:sz="4" w:space="4"/>
          <w:left w:val="thick" w:color="FFA000" w:sz="12" w:space="4"/>
          <w:right w:val="single" w:color="FFA000" w:sz="4" w:space="4"/>
        </w:pBdr>
        <w:shd w:fill="FFF3CD" w:val="clear"/>
        <w:spacing w:after="120" w:before="120"/>
        <w:ind w:left="180" w:right="180"/>
      </w:pPr>
      <w:r>
        <w:rPr>
          <w:rFonts w:ascii="Arial" w:cs="Arial" w:eastAsia="Arial" w:hAnsi="Arial"/>
          <w:i/>
          <w:iCs/>
          <w:sz w:val="22"/>
          <w:szCs w:val="22"/>
        </w:rPr>
        <w:t xml:space="preserve">Risk 3 — The experiment may not show what you expect: NIMA might be partially caught by FLAME or FLDetector in practice, or the poisoning effect might be too weak to matter. Plan for the experiment to be messy.</w:t>
      </w:r>
    </w:p>
    <w:p>
      <w:pPr>
        <w:spacing w:after="60" w:before="60"/>
      </w:pPr>
      <w:r>
        <w:t xml:space="preserve"/>
      </w:r>
    </w:p>
    <w:p>
      <w:pPr>
        <w:pStyle w:val="Heading2"/>
        <w:spacing w:after="120" w:before="280"/>
      </w:pPr>
      <w:r>
        <w:rPr>
          <w:rFonts w:ascii="Arial" w:cs="Arial" w:eastAsia="Arial" w:hAnsi="Arial"/>
          <w:b/>
          <w:bCs/>
          <w:sz w:val="26"/>
          <w:szCs w:val="26"/>
        </w:rPr>
        <w:t xml:space="preserve">Recommended Strategy</w:t>
      </w:r>
    </w:p>
    <w:p>
      <w:pPr>
        <w:pStyle w:val="ListParagraph"/>
        <w:numPr>
          <w:ilvl w:val="0"/>
          <w:numId w:val="2"/>
        </w:numPr>
        <w:spacing w:after="40" w:before="40"/>
      </w:pPr>
      <w:r>
        <w:rPr>
          <w:rFonts w:ascii="Arial" w:cs="Arial" w:eastAsia="Arial" w:hAnsi="Arial"/>
          <w:sz w:val="22"/>
          <w:szCs w:val="22"/>
        </w:rPr>
        <w:t xml:space="preserve">Paper 1 (write now, submit this year): Centralized multiclass IDS on CICIoT2023. RF + XGBoost + MLP + 1D CNN. SMOTE-ENN. Imbalanced test. Per-class metrics. Target IEEE Access or similar.</w:t>
      </w:r>
    </w:p>
    <w:p>
      <w:pPr>
        <w:pStyle w:val="ListParagraph"/>
        <w:numPr>
          <w:ilvl w:val="0"/>
          <w:numId w:val="2"/>
        </w:numPr>
        <w:spacing w:after="40" w:before="40"/>
      </w:pPr>
      <w:r>
        <w:rPr>
          <w:rFonts w:ascii="Arial" w:cs="Arial" w:eastAsia="Arial" w:hAnsi="Arial"/>
          <w:sz w:val="22"/>
          <w:szCs w:val="22"/>
        </w:rPr>
        <w:t xml:space="preserve">Paper 2 (end of year 1 / start of year 2): FL simulation with non-IID partitioning. Characterize performance degradation and FRR of existing defenses under realistic IoT heterogeneity. Rigorous empirical characterization — no NIMA yet.</w:t>
      </w:r>
    </w:p>
    <w:p>
      <w:pPr>
        <w:pStyle w:val="ListParagraph"/>
        <w:numPr>
          <w:ilvl w:val="0"/>
          <w:numId w:val="2"/>
        </w:numPr>
        <w:spacing w:after="40" w:before="40"/>
      </w:pPr>
      <w:r>
        <w:rPr>
          <w:rFonts w:ascii="Arial" w:cs="Arial" w:eastAsia="Arial" w:hAnsi="Arial"/>
          <w:sz w:val="22"/>
          <w:szCs w:val="22"/>
        </w:rPr>
        <w:t xml:space="preserve">Paper 3 (year 2-3): Full NIMA system — attack + defense + ablation + theoretical analysis.</w:t>
      </w:r>
    </w:p>
    <w:p>
      <w:pPr>
        <w:spacing w:after="60" w:before="60"/>
      </w:pPr>
      <w:r>
        <w:t xml:space="preserve"/>
      </w:r>
    </w:p>
    <w:p>
      <w:pPr>
        <w:pBdr>
          <w:top w:val="single" w:color="2E7D32" w:sz="4" w:space="4"/>
          <w:bottom w:val="single" w:color="2E7D32" w:sz="4" w:space="4"/>
          <w:left w:val="thick" w:color="2E7D32" w:sz="12" w:space="4"/>
          <w:right w:val="single" w:color="2E7D32" w:sz="4" w:space="4"/>
        </w:pBdr>
        <w:shd w:fill="E8F4E8" w:val="clear"/>
        <w:spacing w:after="120" w:before="120"/>
        <w:ind w:left="180" w:right="180"/>
      </w:pPr>
      <w:r>
        <w:rPr>
          <w:rFonts w:ascii="Arial" w:cs="Arial" w:eastAsia="Arial" w:hAnsi="Arial"/>
          <w:i/>
          <w:iCs/>
          <w:sz w:val="22"/>
          <w:szCs w:val="22"/>
        </w:rPr>
        <w:t xml:space="preserve">Bottom line: The approach is real. The vulnerability exists. The defense concept is in the right direction. But read the NDSS 2025 paper first. The centralized baseline alone is worth publishing right now. Build it right — the rest follows.</w:t>
      </w:r>
    </w:p>
    <w:p>
      <w:pPr>
        <w:spacing w:after="60" w:before="60"/>
      </w:pPr>
      <w:r>
        <w:t xml:space="preserve"/>
      </w:r>
    </w:p>
    <w:p>
      <w:pPr>
        <w:pBdr>
          <w:bottom w:val="single" w:color="CCCCCC" w:sz="4" w:space="1"/>
        </w:pBdr>
        <w:spacing w:after="120" w:before="120"/>
      </w:pPr>
      <w:r>
        <w:t xml:space="preserve"/>
      </w:r>
    </w:p>
    <w:p>
      <w:pPr>
        <w:pStyle w:val="Heading1"/>
        <w:spacing w:after="180" w:before="360"/>
      </w:pPr>
      <w:r>
        <w:rPr>
          <w:rFonts w:ascii="Arial" w:cs="Arial" w:eastAsia="Arial" w:hAnsi="Arial"/>
          <w:b/>
          <w:bCs/>
          <w:sz w:val="32"/>
          <w:szCs w:val="32"/>
        </w:rPr>
        <w:t xml:space="preserve">Immediate Actions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Find and read the NDSS 2025 poisoning FL-IDS paper before finalizing NIMA definition</w:t>
      </w:r>
    </w:p>
    <w:p>
      <w:pPr>
        <w:pStyle w:val="ListParagraph"/>
        <w:numPr>
          <w:ilvl w:val="0"/>
          <w:numId w:val="2"/>
        </w:numPr>
        <w:spacing w:after="40" w:before="40"/>
      </w:pPr>
      <w:r>
        <w:rPr>
          <w:rFonts w:ascii="Arial" w:cs="Arial" w:eastAsia="Arial" w:hAnsi="Arial"/>
          <w:sz w:val="22"/>
          <w:szCs w:val="22"/>
        </w:rPr>
        <w:t xml:space="preserve">Find and read FedTrust-Net (2025) — it uses CICIoT2023</w:t>
      </w:r>
    </w:p>
    <w:p>
      <w:pPr>
        <w:pStyle w:val="ListParagraph"/>
        <w:numPr>
          <w:ilvl w:val="0"/>
          <w:numId w:val="2"/>
        </w:numPr>
        <w:spacing w:after="40" w:before="40"/>
      </w:pPr>
      <w:r>
        <w:rPr>
          <w:rFonts w:ascii="Arial" w:cs="Arial" w:eastAsia="Arial" w:hAnsi="Arial"/>
          <w:sz w:val="22"/>
          <w:szCs w:val="22"/>
        </w:rPr>
        <w:t xml:space="preserve">Complete notebooks 07 and 08 (multiclass ML and DL baselines)</w:t>
      </w:r>
    </w:p>
    <w:p>
      <w:pPr>
        <w:pStyle w:val="ListParagraph"/>
        <w:numPr>
          <w:ilvl w:val="0"/>
          <w:numId w:val="2"/>
        </w:numPr>
        <w:spacing w:after="40" w:before="40"/>
      </w:pPr>
      <w:r>
        <w:rPr>
          <w:rFonts w:ascii="Arial" w:cs="Arial" w:eastAsia="Arial" w:hAnsi="Arial"/>
          <w:sz w:val="22"/>
          <w:szCs w:val="22"/>
        </w:rPr>
        <w:t xml:space="preserve">Add to literature notes: Shejwalkar NDSS 2021, S&amp;P 2022, FLDetector, MUD-HoG, AGAT-FL, pFL-IDS, FedMADE, RaSA</w:t>
      </w:r>
    </w:p>
    <w:p>
      <w:pPr>
        <w:pStyle w:val="ListParagraph"/>
        <w:numPr>
          <w:ilvl w:val="0"/>
          <w:numId w:val="2"/>
        </w:numPr>
        <w:spacing w:after="40" w:before="40"/>
      </w:pPr>
      <w:r>
        <w:rPr>
          <w:rFonts w:ascii="Arial" w:cs="Arial" w:eastAsia="Arial" w:hAnsi="Arial"/>
          <w:sz w:val="22"/>
          <w:szCs w:val="22"/>
        </w:rPr>
        <w:t xml:space="preserve">Consider submitting Paper 1 (centralized baseline) to a journal this year</w:t>
      </w:r>
    </w:p>
    <w:p>
      <w:pPr>
        <w:spacing w:after="60" w:before="60"/>
      </w:pPr>
      <w:r>
        <w:t xml:space="preserve"/>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2026-04-05T08:28:46.912Z</dcterms:created>
  <dcterms:modified xsi:type="dcterms:W3CDTF">2026-04-05T08:28:46.913Z</dcterms:modified>
</cp:coreProperties>
</file>

<file path=docProps/custom.xml><?xml version="1.0" encoding="utf-8"?>
<Properties xmlns="http://schemas.openxmlformats.org/officeDocument/2006/custom-properties" xmlns:vt="http://schemas.openxmlformats.org/officeDocument/2006/docPropsVTypes"/>
</file>