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0"/>
      </w:pPr>
      <w:r>
        <w:t xml:space="preserve"/>
      </w:r>
    </w:p>
    <w:p>
      <w:pPr>
        <w:spacing w:before="0" w:after="40"/>
        <w:jc w:val="center"/>
      </w:pPr>
      <w:r>
        <w:rPr>
          <w:rFonts w:ascii="Arial" w:cs="Arial" w:eastAsia="Arial" w:hAnsi="Arial"/>
          <w:b/>
          <w:bCs/>
          <w:caps/>
          <w:color w:val="2E75B6"/>
          <w:sz w:val="20"/>
          <w:szCs w:val="20"/>
        </w:rPr>
        <w:t xml:space="preserve">CA-FedDef RESEARCH FRAMEWORK</w:t>
      </w:r>
    </w:p>
    <w:p>
      <w:pPr>
        <w:spacing w:before="0" w:after="160"/>
        <w:jc w:val="center"/>
      </w:pPr>
      <w:r>
        <w:rPr>
          <w:rFonts w:ascii="Arial" w:cs="Arial" w:eastAsia="Arial" w:hAnsi="Arial"/>
          <w:i/>
          <w:iCs/>
          <w:color w:val="555555"/>
          <w:sz w:val="24"/>
          <w:szCs w:val="24"/>
        </w:rPr>
        <w:t xml:space="preserve">Experiments · Datasets · SUSS Taxonomy · Architecture · Methodology Table</w:t>
      </w:r>
    </w:p>
    <w:p>
      <w:pPr>
        <w:spacing w:before="0" w:after="60"/>
        <w:jc w:val="center"/>
      </w:pPr>
      <w:r>
        <w:rPr>
          <w:rFonts w:ascii="Arial" w:cs="Arial" w:eastAsia="Arial" w:hAnsi="Arial"/>
          <w:b/>
          <w:bCs/>
          <w:color w:val="1F3864"/>
          <w:sz w:val="36"/>
          <w:szCs w:val="36"/>
        </w:rPr>
        <w:t xml:space="preserve">Client-Profile-Aware Defense Framework for Federated Learning in Heterogeneous IoT Networks</w:t>
      </w:r>
    </w:p>
    <w:p>
      <w:pPr>
        <w:spacing w:before="100" w:after="0"/>
      </w:pPr>
      <w:r>
        <w:t xml:space="preserve"/>
      </w:r>
    </w:p>
    <w:p>
      <w:pPr>
        <w:spacing w:before="0" w:after="40"/>
        <w:jc w:val="center"/>
      </w:pPr>
      <w:r>
        <w:rPr>
          <w:rFonts w:ascii="Arial" w:cs="Arial" w:eastAsia="Arial" w:hAnsi="Arial"/>
          <w:color w:val="555555"/>
          <w:sz w:val="22"/>
          <w:szCs w:val="22"/>
        </w:rPr>
        <w:t xml:space="preserve">Target Venue: IEEE Transactions on Information Forensics and Security (IEEE TIFS, Q1)</w:t>
      </w:r>
    </w:p>
    <w:p>
      <w:pPr>
        <w:spacing w:before="400" w:after="0"/>
      </w:pPr>
      <w:r>
        <w:t xml:space="preserve"/>
      </w:r>
    </w:p>
    <w:p>
      <w:pPr>
        <w:pBdr>
          <w:top w:val="single" w:color="2E75B6" w:sz="6" w:space="8"/>
        </w:pBdr>
        <w:spacing w:before="0" w:after="0"/>
        <w:jc w:val="center"/>
      </w:pPr>
      <w:r>
        <w:rPr>
          <w:rFonts w:ascii="Arial" w:cs="Arial" w:eastAsia="Arial" w:hAnsi="Arial"/>
          <w:i/>
          <w:iCs/>
          <w:color w:val="2E75B6"/>
          <w:sz w:val="20"/>
          <w:szCs w:val="20"/>
        </w:rPr>
        <w:t xml:space="preserve">Sections 4–9 of Working Draft v1.0   |   Companion to the Problem Formulation &amp; System Model document</w:t>
      </w:r>
    </w:p>
    <w:p>
      <w:pPr>
        <w:pStyle w:val="Heading1"/>
        <w:pBdr>
          <w:bottom w:val="single" w:color="2E75B6" w:sz="6" w:space="4"/>
        </w:pBdr>
        <w:spacing w:before="360" w:after="120"/>
      </w:pPr>
      <w:r>
        <w:rPr>
          <w:rFonts w:ascii="Arial" w:cs="Arial" w:eastAsia="Arial" w:hAnsi="Arial"/>
          <w:b/>
          <w:bCs/>
          <w:color w:val="1F3864"/>
          <w:sz w:val="32"/>
          <w:szCs w:val="32"/>
        </w:rPr>
        <w:t xml:space="preserve">4.  Experimental Datasets</w:t>
      </w:r>
    </w:p>
    <w:p>
      <w:pPr>
        <w:spacing w:before="60" w:after="80"/>
        <w:jc w:val="both"/>
      </w:pPr>
      <w:r>
        <w:rPr>
          <w:rFonts w:ascii="Arial" w:cs="Arial" w:eastAsia="Arial" w:hAnsi="Arial"/>
          <w:sz w:val="22"/>
          <w:szCs w:val="22"/>
        </w:rPr>
        <w:t xml:space="preserve">Four publicly available IoT network security datasets are selected to evaluate CA-FedDef across all claimed novelty dimensions. Together they cover: (i) attack diversity, (ii) multi-source feature heterogeneity, (iii) extreme resource constraints, and (iv) class imbalance — the four real-world IoT conditions that motivate the framework. No single dataset provides all four, making multi-dataset evaluation essential and expected by IEEE TIFS reviewers.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900"/>
        <w:gridCol w:w="1100"/>
        <w:gridCol w:w="1900"/>
        <w:gridCol w:w="316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Dataset</w:t>
            </w:r>
          </w:p>
        </w:tc>
        <w:tc>
          <w:tcPr>
            <w:tcW w:type="dxa" w:w="9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Source</w:t>
            </w:r>
          </w:p>
        </w:tc>
        <w:tc>
          <w:tcPr>
            <w:tcW w:type="dxa" w:w="9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Clients (sim.)</w:t>
            </w:r>
          </w:p>
        </w:tc>
        <w:tc>
          <w:tcPr>
            <w:tcW w:type="dxa" w:w="11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Attack Classes</w:t>
            </w:r>
          </w:p>
        </w:tc>
        <w:tc>
          <w:tcPr>
            <w:tcW w:type="dxa" w:w="19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Non-IID Role</w:t>
            </w:r>
          </w:p>
        </w:tc>
        <w:tc>
          <w:tcPr>
            <w:tcW w:type="dxa" w:w="31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Primary Purpose in CA-FedDef</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CIC-IoT 2023</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UNB / CCCS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10–100</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33 attack types</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Partition by device class → label skew per client</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Primary training + NIMA attack simulation (largest attack diversity)</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TON_IoT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UNSW</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10–50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9 attack types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Multi-source traffic (network, OS, sensor) → feature shift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Cross-dataset generalisation test; resource-constrained client simulation</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Edge-IIoTset</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IEEE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5–20</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15 attack types</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Strict resource constraints; industrial protocol heterogeneity</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Defence-under-resource-constraint evaluation; tier-C client testing</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BoT-IoT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UNSW</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5–30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 macro-classes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Extreme class imbalance (&gt;90% benign) → quantity heterogeneity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Ablation study on SUSS threshold sensitivity under imbalanced data</w:t>
            </w:r>
          </w:p>
        </w:tc>
      </w:tr>
    </w:tbl>
    <w:p>
      <w:pPr>
        <w:spacing w:before="120" w:after="0"/>
      </w:pPr>
      <w:r>
        <w:t xml:space="preserve"/>
      </w:r>
    </w:p>
    <w:p>
      <w:pPr>
        <w:pStyle w:val="Heading2"/>
        <w:spacing w:before="260" w:after="80"/>
      </w:pPr>
      <w:r>
        <w:rPr>
          <w:rFonts w:ascii="Arial" w:cs="Arial" w:eastAsia="Arial" w:hAnsi="Arial"/>
          <w:b/>
          <w:bCs/>
          <w:color w:val="2E75B6"/>
          <w:sz w:val="26"/>
          <w:szCs w:val="26"/>
        </w:rPr>
        <w:t xml:space="preserve">4.1  Non-IID Partitioning Protocol</w:t>
      </w:r>
    </w:p>
    <w:p>
      <w:pPr>
        <w:spacing w:before="60" w:after="80"/>
        <w:jc w:val="both"/>
      </w:pPr>
      <w:r>
        <w:rPr>
          <w:rFonts w:ascii="Arial" w:cs="Arial" w:eastAsia="Arial" w:hAnsi="Arial"/>
          <w:sz w:val="22"/>
          <w:szCs w:val="22"/>
        </w:rPr>
        <w:t xml:space="preserve">Each dataset is partitioned into N simulated clients following the protocols below. The Dirichlet-based label skew partition (Dir(α)) is the de-facto standard in the FL literature and must be used for comparability with baselines. The device-type partition maps directly to real-world IoT deployment conditions.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600"/>
        <w:gridCol w:w="2400"/>
        <w:gridCol w:w="3800"/>
      </w:tblGrid>
      <w:tr>
        <w:trPr>
          <w:tblHeader/>
        </w:trPr>
        <w:tc>
          <w:tcPr>
            <w:tcW w:type="dxa" w:w="15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Heterogeneity Type</w:t>
            </w:r>
          </w:p>
        </w:tc>
        <w:tc>
          <w:tcPr>
            <w:tcW w:type="dxa" w:w="16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Partition Method</w:t>
            </w:r>
          </w:p>
        </w:tc>
        <w:tc>
          <w:tcPr>
            <w:tcW w:type="dxa" w:w="24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Parameter Range</w:t>
            </w:r>
          </w:p>
        </w:tc>
        <w:tc>
          <w:tcPr>
            <w:tcW w:type="dxa" w:w="38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Effect on CA-FedDef Testing</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Label Skew</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Dirichlet (Dir(α))</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α ∈ {0.1, 0.3, 0.5, 1.0} — lower α = higher skew</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Tests whether ATS correctly widens anomaly band for high-skew clients without false rejection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Feature Shift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Device-type partition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Group clients by device role (sensor, gateway, actuator)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Tests CPB ability to distinguish feature-shifted benign updates from model poisoning</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Quantity Imbalance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Power-law sampling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Ratio range 1:10 to 1:100 across clients</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Tests PGA weighting under extreme sample-size disparity across tiers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Temporal Drift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Concept drift injection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Attack distribution shift every 20 rounds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Tests H_i (history) adaptation speed; adversary cannot exploit stale profiles</w:t>
            </w:r>
          </w:p>
        </w:tc>
      </w:tr>
    </w:tbl>
    <w:p>
      <w:pPr>
        <w:spacing w:before="120" w:after="0"/>
      </w:pPr>
      <w:r>
        <w:t xml:space="preserve"/>
      </w:r>
    </w:p>
    <w:p>
      <w:pPr>
        <w:pStyle w:val="Heading2"/>
        <w:spacing w:before="260" w:after="80"/>
      </w:pPr>
      <w:r>
        <w:rPr>
          <w:rFonts w:ascii="Arial" w:cs="Arial" w:eastAsia="Arial" w:hAnsi="Arial"/>
          <w:b/>
          <w:bCs/>
          <w:color w:val="2E75B6"/>
          <w:sz w:val="26"/>
          <w:szCs w:val="26"/>
        </w:rPr>
        <w:t xml:space="preserve">4.2  Resource Tier Assignment</w:t>
      </w:r>
    </w:p>
    <w:p>
      <w:pPr>
        <w:spacing w:before="60" w:after="80"/>
        <w:jc w:val="both"/>
      </w:pPr>
      <w:r>
        <w:rPr>
          <w:rFonts w:ascii="Arial" w:cs="Arial" w:eastAsia="Arial" w:hAnsi="Arial"/>
          <w:sz w:val="22"/>
          <w:szCs w:val="22"/>
        </w:rPr>
        <w:t xml:space="preserve">All clients are assigned to one of three resource tiers to simulate real IoT heterogeneity. The tier assignment is fixed per experiment run to ensure reproducibility.</w:t>
      </w:r>
    </w:p>
    <w:p>
      <w:pPr>
        <w:pStyle w:val="ListParagraph"/>
        <w:numPr>
          <w:ilvl w:val="0"/>
          <w:numId w:val="2"/>
        </w:numPr>
        <w:spacing w:before="40" w:after="40"/>
      </w:pPr>
      <w:r>
        <w:rPr>
          <w:rFonts w:ascii="Arial" w:cs="Arial" w:eastAsia="Arial" w:hAnsi="Arial"/>
          <w:sz w:val="22"/>
          <w:szCs w:val="22"/>
        </w:rPr>
        <w:t xml:space="preserve">Tier A — High-resource clients (e.g., edge gateway, RPi 4): Full LLAF enabled, deep ATS validation. Approx. 20% of clients.</w:t>
      </w:r>
    </w:p>
    <w:p>
      <w:pPr>
        <w:pStyle w:val="ListParagraph"/>
        <w:numPr>
          <w:ilvl w:val="0"/>
          <w:numId w:val="2"/>
        </w:numPr>
        <w:spacing w:before="40" w:after="40"/>
      </w:pPr>
      <w:r>
        <w:rPr>
          <w:rFonts w:ascii="Arial" w:cs="Arial" w:eastAsia="Arial" w:hAnsi="Arial"/>
          <w:sz w:val="22"/>
          <w:szCs w:val="22"/>
        </w:rPr>
        <w:t xml:space="preserve">Tier B — Mid-resource clients (e.g., RPi 3, microcontroller with RTOS): Partial LLAF, standard ATS scoring. Approx. 50% of clients.</w:t>
      </w:r>
    </w:p>
    <w:p>
      <w:pPr>
        <w:pStyle w:val="ListParagraph"/>
        <w:numPr>
          <w:ilvl w:val="0"/>
          <w:numId w:val="2"/>
        </w:numPr>
        <w:spacing w:before="40" w:after="40"/>
      </w:pPr>
      <w:r>
        <w:rPr>
          <w:rFonts w:ascii="Arial" w:cs="Arial" w:eastAsia="Arial" w:hAnsi="Arial"/>
          <w:sz w:val="22"/>
          <w:szCs w:val="22"/>
        </w:rPr>
        <w:t xml:space="preserve">Tier C — Low-resource clients (e.g., bare sensor nodes, ESP32-class devices): No LLAF, lightweight ATS (gradient norm only). Approx. 30% of clients.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200"/>
              <w:bottom w:type="dxa" w:w="120"/>
              <w:right w:type="dxa" w:w="200"/>
            </w:tcMar>
          </w:tcPr>
          <w:p>
            <w:pPr>
              <w:spacing w:before="0" w:after="40"/>
            </w:pPr>
            <w:r>
              <w:rPr>
                <w:rFonts w:ascii="Arial" w:cs="Arial" w:eastAsia="Arial" w:hAnsi="Arial"/>
                <w:b/>
                <w:bCs/>
                <w:color w:val="1F3864"/>
                <w:sz w:val="20"/>
                <w:szCs w:val="20"/>
              </w:rPr>
              <w:t xml:space="preserve">Why Tier C matters for novelty:</w:t>
            </w:r>
          </w:p>
          <w:p>
            <w:pPr>
              <w:spacing w:before="0" w:after="0"/>
              <w:jc w:val="both"/>
            </w:pPr>
            <w:r>
              <w:rPr>
                <w:rFonts w:ascii="Arial" w:cs="Arial" w:eastAsia="Arial" w:hAnsi="Arial"/>
                <w:color w:val="1F3864"/>
                <w:sz w:val="20"/>
                <w:szCs w:val="20"/>
              </w:rPr>
              <w:t xml:space="preserve">Existing defences (Krum, FLTrust) apply full gradient-space analysis to all clients. For Tier-C clients, this analysis is computationally infeasible AND produces high false-rejection rates because Tier-C clients have the most extreme data skew. CA-FedDef is the first framework to acknowledge this by lowering the anomaly bar for Tier-C while maintaining global security guarantees through the ATS history term H_i.</w:t>
            </w:r>
          </w:p>
        </w:tc>
      </w:tr>
    </w:tbl>
    <w:p>
      <w:pPr>
        <w:spacing w:before="120" w:after="0"/>
      </w:pPr>
      <w:r>
        <w:t xml:space="preserve"/>
      </w:r>
    </w:p>
    <w:p>
      <w:pPr>
        <w:pStyle w:val="Heading2"/>
        <w:spacing w:before="260" w:after="80"/>
      </w:pPr>
      <w:r>
        <w:rPr>
          <w:rFonts w:ascii="Arial" w:cs="Arial" w:eastAsia="Arial" w:hAnsi="Arial"/>
          <w:b/>
          <w:bCs/>
          <w:color w:val="2E75B6"/>
          <w:sz w:val="26"/>
          <w:szCs w:val="26"/>
        </w:rPr>
        <w:t xml:space="preserve">4.3  Attack Injection Protocol</w:t>
      </w:r>
    </w:p>
    <w:p>
      <w:pPr>
        <w:spacing w:before="60" w:after="80"/>
        <w:jc w:val="both"/>
      </w:pPr>
      <w:r>
        <w:rPr>
          <w:rFonts w:ascii="Arial" w:cs="Arial" w:eastAsia="Arial" w:hAnsi="Arial"/>
          <w:sz w:val="22"/>
          <w:szCs w:val="22"/>
        </w:rPr>
        <w:t xml:space="preserve">Attacks are injected by designating η·N clients as adversarial (default η = 0.2, i.e., 20%). Three attack types are evaluated:</w:t>
      </w:r>
    </w:p>
    <w:p>
      <w:pPr>
        <w:pStyle w:val="ListParagraph"/>
        <w:numPr>
          <w:ilvl w:val="0"/>
          <w:numId w:val="2"/>
        </w:numPr>
        <w:spacing w:before="40" w:after="40"/>
      </w:pPr>
      <w:r>
        <w:rPr>
          <w:rFonts w:ascii="Arial" w:cs="Arial" w:eastAsia="Arial" w:hAnsi="Arial"/>
          <w:b/>
          <w:bCs/>
          <w:sz w:val="22"/>
          <w:szCs w:val="22"/>
        </w:rPr>
        <w:t xml:space="preserve">Standard Model Poisoning (SMP): </w:t>
      </w:r>
      <w:r>
        <w:rPr>
          <w:rFonts w:ascii="Arial" w:cs="Arial" w:eastAsia="Arial" w:hAnsi="Arial"/>
          <w:sz w:val="22"/>
          <w:szCs w:val="22"/>
        </w:rPr>
        <w:t xml:space="preserve">Adversary crafts Δw_i to maximise classification error on the target class. Baseline Byzantine attack.</w:t>
      </w:r>
    </w:p>
    <w:p>
      <w:pPr>
        <w:pStyle w:val="ListParagraph"/>
        <w:numPr>
          <w:ilvl w:val="0"/>
          <w:numId w:val="2"/>
        </w:numPr>
        <w:spacing w:before="40" w:after="40"/>
      </w:pPr>
      <w:r>
        <w:rPr>
          <w:rFonts w:ascii="Arial" w:cs="Arial" w:eastAsia="Arial" w:hAnsi="Arial"/>
          <w:b/>
          <w:bCs/>
          <w:sz w:val="22"/>
          <w:szCs w:val="22"/>
        </w:rPr>
        <w:t xml:space="preserve">Label-Flipping Attack (LFA): </w:t>
      </w:r>
      <w:r>
        <w:rPr>
          <w:rFonts w:ascii="Arial" w:cs="Arial" w:eastAsia="Arial" w:hAnsi="Arial"/>
          <w:sz w:val="22"/>
          <w:szCs w:val="22"/>
        </w:rPr>
        <w:t xml:space="preserve">Adversary flips labels of class k → class j in training data. Commonly used in IoT IDS literature.</w:t>
      </w:r>
    </w:p>
    <w:p>
      <w:pPr>
        <w:pStyle w:val="ListParagraph"/>
        <w:numPr>
          <w:ilvl w:val="0"/>
          <w:numId w:val="2"/>
        </w:numPr>
        <w:spacing w:before="40" w:after="40"/>
      </w:pPr>
      <w:r>
        <w:rPr>
          <w:rFonts w:ascii="Arial" w:cs="Arial" w:eastAsia="Arial" w:hAnsi="Arial"/>
          <w:b/>
          <w:bCs/>
          <w:sz w:val="22"/>
          <w:szCs w:val="22"/>
        </w:rPr>
        <w:t xml:space="preserve">Non-IID Masquerade Attack (NIMA): </w:t>
      </w:r>
      <w:r>
        <w:rPr>
          <w:rFonts w:ascii="Arial" w:cs="Arial" w:eastAsia="Arial" w:hAnsi="Arial"/>
          <w:sz w:val="22"/>
          <w:szCs w:val="22"/>
        </w:rPr>
        <w:t xml:space="preserve">Adversary analyses target Tier-C client's gradient profile over 5 rounds, then crafts a poisoned update whose cosine similarity to the expected non-IID gradient band falls within the benign range of global-threshold defences. This is the novel attack defined in §1.3.1 and is unique to this evaluation.</w:t>
      </w:r>
    </w:p>
    <w:p>
      <w:pPr>
        <w:spacing w:before="160" w:after="0"/>
      </w:pPr>
      <w:r>
        <w:t xml:space="preserve"/>
      </w:r>
    </w:p>
    <w:p>
      <w:pPr>
        <w:pStyle w:val="Heading1"/>
        <w:pBdr>
          <w:bottom w:val="single" w:color="2E75B6" w:sz="6" w:space="4"/>
        </w:pBdr>
        <w:spacing w:before="360" w:after="120"/>
      </w:pPr>
      <w:r>
        <w:rPr>
          <w:rFonts w:ascii="Arial" w:cs="Arial" w:eastAsia="Arial" w:hAnsi="Arial"/>
          <w:b/>
          <w:bCs/>
          <w:color w:val="1F3864"/>
          <w:sz w:val="32"/>
          <w:szCs w:val="32"/>
        </w:rPr>
        <w:t xml:space="preserve">5.  Experimental Steps</w:t>
      </w:r>
    </w:p>
    <w:p>
      <w:pPr>
        <w:spacing w:before="60" w:after="80"/>
        <w:jc w:val="both"/>
      </w:pPr>
      <w:r>
        <w:rPr>
          <w:rFonts w:ascii="Arial" w:cs="Arial" w:eastAsia="Arial" w:hAnsi="Arial"/>
          <w:sz w:val="22"/>
          <w:szCs w:val="22"/>
        </w:rPr>
        <w:t xml:space="preserve">The eight-step experimental protocol below is structured to generate evidence for every novel claim in the paper while satisfying IEEE TIFS expectations for rigour, ablation depth, and reproducibility.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960"/>
        <w:gridCol w:w="280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Stage</w:t>
            </w:r>
          </w:p>
        </w:tc>
        <w:tc>
          <w:tcPr>
            <w:tcW w:type="dxa" w:w="39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You Do</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It Tests / Justifies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Environment Setup</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Implement FL simulation in Python (Flower / PySyft / custom). Define N={10, 30, 50, 100} client pools. Assign resource tiers. Partition each dataset using Dir(α) protocol. Set communication rounds T=100 (warm-up) + 200 (evaluation).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Establishes reproducible baseline and validates non-IID partition quality before any defence is applied.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Baseline Runs (No Attack)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Run all 8 baselines + CA-FedDef on each dataset under IID and non-IID (α=0.3) conditions. No adversary. Record macro-F1, accuracy, convergence round.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Confirms CA-FedDef does not degrade accuracy vs. standard methods in benign conditions. Addresses TIFS reviewer concern: 'does personalisation hurt clean performance?'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Attack Injection — SMP + LFA</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Introduce η=0.2 adversarial clients using Standard Model Poisoning, then Label-Flipping, separately. Evaluate all baselines + CA-FedDef. Record attack success rate (ASR), accuracy drop, false rejection rate (FRR) of benign clients.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Establishes CA-FedDef performance on standard known attacks vs. competitive baselines (Krum, FLTrust, RaSA).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NIMA Evaluation (Core Novel Attack)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Run NIMA against all defences under non-IID (α=0.1, high skew). Measure ASR and FRR specifically for Tier-C clients. Compare CA-FedDef (full) vs. CA-FedDef-NH (no history) vs. all baselines.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This is your primary novelty claim. Demonstrates that existing defences fail under NIMA and that H_i is essential for resistance. Expected finding: global-threshold methods (Krum, FLTrust) have ASR &gt; 60% under NIMA; CA-FedDef maintains ASR &lt; 10%.</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Tier-Sensitivity Analysis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Vary Tier-C proportion from 10% to 60% of total clients. Run all attacks. Record FRR specifically for Tier-C benign clients across all methods.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Demonstrates that CA-FedDef's adaptive threshold prevents false rejection of resource-constrained clients — a real IoT problem no existing method solves.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Cross-Dataset Generalisation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Train on CIC-IoT2023, test on TON_IoT (and vice versa). Run NIMA and LFA. Compare CA-FedDef vs. RaSA vs. FLTrust.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Mandatory for TIFS. Demonstrates that client profiles built on one distribution generalise to unseen environments. Expected: other methods degrade 20–30% macro-F1; CA-FedDef degrades &lt; 8% due to distribution-aware profiling.</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7</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Ablation Study</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Run CA-FedDef-NP (no profile, ATS uses gradient only) and CA-FedDef-NH (no history term) alongside CA-FedDef (full). Evaluate all three on NIMA and Tier-C FRR.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Isolates contribution of each component. Required for TIFS to justify design choices rather than treating the system as a black box.</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Overhead Evaluation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Measure per-round communication cost (MB), server-side compute time (ms), and client-side overhead per tier. Compare against FedAvg baseline.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Shows CA-FedDef is deployable in practice. Expected: &lt;5% communication overhead increase vs. FedAvg due to profile metadata; LLAF reduces re-transmission costs on Tier-A/B.</w:t>
            </w:r>
          </w:p>
        </w:tc>
      </w:tr>
    </w:tbl>
    <w:p>
      <w:pPr>
        <w:spacing w:before="160" w:after="0"/>
      </w:pPr>
      <w:r>
        <w:t xml:space="preserve"/>
      </w:r>
    </w:p>
    <w:p>
      <w:pPr>
        <w:pStyle w:val="Heading1"/>
        <w:pBdr>
          <w:bottom w:val="single" w:color="2E75B6" w:sz="6" w:space="4"/>
        </w:pBdr>
        <w:spacing w:before="360" w:after="120"/>
      </w:pPr>
      <w:r>
        <w:rPr>
          <w:rFonts w:ascii="Arial" w:cs="Arial" w:eastAsia="Arial" w:hAnsi="Arial"/>
          <w:b/>
          <w:bCs/>
          <w:color w:val="1F3864"/>
          <w:sz w:val="32"/>
          <w:szCs w:val="32"/>
        </w:rPr>
        <w:t xml:space="preserve">6.  Expected Achievements</w:t>
      </w:r>
    </w:p>
    <w:p>
      <w:pPr>
        <w:spacing w:before="60" w:after="80"/>
        <w:jc w:val="both"/>
      </w:pPr>
      <w:r>
        <w:rPr>
          <w:rFonts w:ascii="Arial" w:cs="Arial" w:eastAsia="Arial" w:hAnsi="Arial"/>
          <w:sz w:val="22"/>
          <w:szCs w:val="22"/>
        </w:rPr>
        <w:t xml:space="preserve">The table below states the quantitative performance targets for CA-FedDef across all eight experimental steps. These are grounded in results reported by the closest baselines (RaSA, FLTrust, SCAFFOLD) and calibrated to represent achievable but publication-worthy improvements. The 'Core Claim' rows (NIMA scenarios) carry the heaviest novelty weight and should be the primary focus of the results section.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600"/>
        <w:gridCol w:w="1600"/>
        <w:gridCol w:w="1680"/>
        <w:gridCol w:w="208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Metric</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Scenario</w:t>
            </w:r>
          </w:p>
        </w:tc>
        <w:tc>
          <w:tcPr>
            <w:tcW w:type="dxa" w:w="16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FedAvg (Expected)</w:t>
            </w:r>
          </w:p>
        </w:tc>
        <w:tc>
          <w:tcPr>
            <w:tcW w:type="dxa" w:w="16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Best Baseline (Expected)</w:t>
            </w:r>
          </w:p>
        </w:tc>
        <w:tc>
          <w:tcPr>
            <w:tcW w:type="dxa" w:w="168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CA-FedDef (Target)</w:t>
            </w:r>
          </w:p>
        </w:tc>
        <w:tc>
          <w:tcPr>
            <w:tcW w:type="dxa" w:w="208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Why This Gap Matters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Macro-F1 (%)</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Benign, Non-IID α=0.3</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777777"/>
                <w:sz w:val="18"/>
                <w:szCs w:val="18"/>
              </w:rPr>
              <w:t xml:space="preserve">78–82</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85–89 (RaSA)</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88–92</w:t>
            </w:r>
          </w:p>
        </w:tc>
        <w:tc>
          <w:tcPr>
            <w:tcW w:type="dxa" w:w="2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Confirms personalisation improves accuracy without any security sacrifice.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Macro-F1 (%)</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NIMA, Non-IID α=0.1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777777"/>
                <w:sz w:val="18"/>
                <w:szCs w:val="18"/>
              </w:rPr>
              <w:t xml:space="preserve">55–65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58–68 (FLTrust)</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82–88</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Core claim: CA-FedDef is the only method that maintains high F1 under NIMA.</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Attack Success Rate (%)</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NIMA, η=0.2</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777777"/>
                <w:sz w:val="18"/>
                <w:szCs w:val="18"/>
              </w:rPr>
              <w:t xml:space="preserve">65–75</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55–65 (RaSA)</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&lt; 10</w:t>
            </w:r>
          </w:p>
        </w:tc>
        <w:tc>
          <w:tcPr>
            <w:tcW w:type="dxa" w:w="2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Demonstrates NIMA resistance. All existing methods fail; only CA-FedDef succeeds.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Attack Success Rate (%)</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SMP, η=0.2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777777"/>
                <w:sz w:val="18"/>
                <w:szCs w:val="18"/>
              </w:rPr>
              <w:t xml:space="preserve">60–70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&lt; 15 (Krum)</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&lt; 12</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Confirms CA-FedDef is at least as good as dedicated Byzantine methods on standard attacks.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False Rejection Rate (%)</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Tier-C, α=0.1</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777777"/>
                <w:sz w:val="18"/>
                <w:szCs w:val="18"/>
              </w:rPr>
              <w:t xml:space="preserve">N/A (no filter)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20–35 (Krum)</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&lt; 5</w:t>
            </w:r>
          </w:p>
        </w:tc>
        <w:tc>
          <w:tcPr>
            <w:tcW w:type="dxa" w:w="2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Tier-C clients are wrongly excluded by Krum/FLTrust; CA-FedDef resolves this.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Convergence Rounds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Non-IID α=0.3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777777"/>
                <w:sz w:val="18"/>
                <w:szCs w:val="18"/>
              </w:rPr>
              <w:t xml:space="preserve">180–220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140–170 (SCAFFOLD)</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120–150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Personalised client profiles accelerate convergence vs. global non-IID methods.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Comm. Overhead vs. FedAvg (%)</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Full system, N=50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777777"/>
                <w:sz w:val="18"/>
                <w:szCs w:val="18"/>
              </w:rPr>
              <w:t xml:space="preserve">0% (baseline)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+8–12% (RaSA)</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&lt; 5%</w:t>
            </w:r>
          </w:p>
        </w:tc>
        <w:tc>
          <w:tcPr>
            <w:tcW w:type="dxa" w:w="2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CA-FedDef is more communication-efficient than RaSA while providing stronger guarantees.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Cross-Dataset F1 Drop (pp)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Train CIC, Test TON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777777"/>
                <w:sz w:val="18"/>
                <w:szCs w:val="18"/>
              </w:rPr>
              <w:t xml:space="preserve">22–30pp drop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18–25pp (FLTrust)</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&lt; 8pp</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Profile-aware distribution estimation enables generalisation; justifies CPB design.</w:t>
            </w:r>
          </w:p>
        </w:tc>
      </w:tr>
    </w:tbl>
    <w:p>
      <w:pPr>
        <w:spacing w:before="120" w:after="0"/>
      </w:pPr>
      <w:r>
        <w:t xml:space="preserve"/>
      </w:r>
    </w:p>
    <w:p>
      <w:pPr>
        <w:pStyle w:val="Heading2"/>
        <w:spacing w:before="260" w:after="80"/>
      </w:pPr>
      <w:r>
        <w:rPr>
          <w:rFonts w:ascii="Arial" w:cs="Arial" w:eastAsia="Arial" w:hAnsi="Arial"/>
          <w:b/>
          <w:bCs/>
          <w:color w:val="2E75B6"/>
          <w:sz w:val="26"/>
          <w:szCs w:val="26"/>
        </w:rPr>
        <w:t xml:space="preserve">6.1  Qualitative Achievement Claims</w:t>
      </w:r>
    </w:p>
    <w:p>
      <w:pPr>
        <w:pStyle w:val="ListParagraph"/>
        <w:numPr>
          <w:ilvl w:val="0"/>
          <w:numId w:val="2"/>
        </w:numPr>
        <w:spacing w:before="40" w:after="40"/>
      </w:pPr>
      <w:r>
        <w:rPr>
          <w:rFonts w:ascii="Arial" w:cs="Arial" w:eastAsia="Arial" w:hAnsi="Arial"/>
          <w:b/>
          <w:bCs/>
          <w:color w:val="2E75B6"/>
          <w:sz w:val="22"/>
          <w:szCs w:val="22"/>
        </w:rPr>
        <w:t xml:space="preserve">Primary Claim: </w:t>
      </w:r>
      <w:r>
        <w:rPr>
          <w:rFonts w:ascii="Arial" w:cs="Arial" w:eastAsia="Arial" w:hAnsi="Arial"/>
          <w:sz w:val="22"/>
          <w:szCs w:val="22"/>
        </w:rPr>
        <w:t xml:space="preserve">CA-FedDef is the first FL defence framework that remains secure under the Non-IID Masquerade Attack (NIMA) — an attack that defeats all existing global-threshold Byzantine methods (Krum, FLTrust, FLAME, RaSA).</w:t>
      </w:r>
    </w:p>
    <w:p>
      <w:pPr>
        <w:pStyle w:val="ListParagraph"/>
        <w:numPr>
          <w:ilvl w:val="0"/>
          <w:numId w:val="2"/>
        </w:numPr>
        <w:spacing w:before="40" w:after="40"/>
      </w:pPr>
      <w:r>
        <w:rPr>
          <w:rFonts w:ascii="Arial" w:cs="Arial" w:eastAsia="Arial" w:hAnsi="Arial"/>
          <w:b/>
          <w:bCs/>
          <w:color w:val="2E75B6"/>
          <w:sz w:val="22"/>
          <w:szCs w:val="22"/>
        </w:rPr>
        <w:t xml:space="preserve">Secondary Claim: </w:t>
      </w:r>
      <w:r>
        <w:rPr>
          <w:rFonts w:ascii="Arial" w:cs="Arial" w:eastAsia="Arial" w:hAnsi="Arial"/>
          <w:sz w:val="22"/>
          <w:szCs w:val="22"/>
        </w:rPr>
        <w:t xml:space="preserve">CA-FedDef eliminates the false rejection problem for Tier-C (resource-constrained) IoT clients, reducing FRR from 20–35% (Krum) to under 5% without compromising security guarantees.</w:t>
      </w:r>
    </w:p>
    <w:p>
      <w:pPr>
        <w:pStyle w:val="ListParagraph"/>
        <w:numPr>
          <w:ilvl w:val="0"/>
          <w:numId w:val="2"/>
        </w:numPr>
        <w:spacing w:before="40" w:after="40"/>
      </w:pPr>
      <w:r>
        <w:rPr>
          <w:rFonts w:ascii="Arial" w:cs="Arial" w:eastAsia="Arial" w:hAnsi="Arial"/>
          <w:b/>
          <w:bCs/>
          <w:color w:val="2E75B6"/>
          <w:sz w:val="22"/>
          <w:szCs w:val="22"/>
        </w:rPr>
        <w:t xml:space="preserve">Tertiary Claim: </w:t>
      </w:r>
      <w:r>
        <w:rPr>
          <w:rFonts w:ascii="Arial" w:cs="Arial" w:eastAsia="Arial" w:hAnsi="Arial"/>
          <w:sz w:val="22"/>
          <w:szCs w:val="22"/>
        </w:rPr>
        <w:t xml:space="preserve">The framework is communication-efficient (&lt; 5% overhead over FedAvg) and resource-feasible for deployment across all three IoT device tiers.</w:t>
      </w:r>
    </w:p>
    <w:p>
      <w:pPr>
        <w:pStyle w:val="ListParagraph"/>
        <w:numPr>
          <w:ilvl w:val="0"/>
          <w:numId w:val="2"/>
        </w:numPr>
        <w:spacing w:before="40" w:after="40"/>
      </w:pPr>
      <w:r>
        <w:rPr>
          <w:rFonts w:ascii="Arial" w:cs="Arial" w:eastAsia="Arial" w:hAnsi="Arial"/>
          <w:b/>
          <w:bCs/>
          <w:color w:val="2E75B6"/>
          <w:sz w:val="22"/>
          <w:szCs w:val="22"/>
        </w:rPr>
        <w:t xml:space="preserve">Theoretical Claim: </w:t>
      </w:r>
      <w:r>
        <w:rPr>
          <w:rFonts w:ascii="Arial" w:cs="Arial" w:eastAsia="Arial" w:hAnsi="Arial"/>
          <w:sz w:val="22"/>
          <w:szCs w:val="22"/>
        </w:rPr>
        <w:t xml:space="preserve">Formal convergence bounds and NIMA resistance guarantees are derived, distinguishing the paper from empirical-only IoT security papers that are typically rejected by IEEE TIFS.</w:t>
      </w:r>
    </w:p>
    <w:p>
      <w:pPr>
        <w:spacing w:before="160" w:after="0"/>
      </w:pPr>
      <w:r>
        <w:t xml:space="preserve"/>
      </w:r>
    </w:p>
    <w:p>
      <w:pPr>
        <w:pStyle w:val="Heading1"/>
        <w:pBdr>
          <w:bottom w:val="single" w:color="2E75B6" w:sz="6" w:space="4"/>
        </w:pBdr>
        <w:spacing w:before="360" w:after="120"/>
      </w:pPr>
      <w:r>
        <w:rPr>
          <w:rFonts w:ascii="Arial" w:cs="Arial" w:eastAsia="Arial" w:hAnsi="Arial"/>
          <w:b/>
          <w:bCs/>
          <w:color w:val="1F3864"/>
          <w:sz w:val="32"/>
          <w:szCs w:val="32"/>
        </w:rPr>
        <w:t xml:space="preserve">7.  SUSS — Suspicious Signal Taxonomy</w:t>
      </w:r>
    </w:p>
    <w:p>
      <w:pPr>
        <w:spacing w:before="60" w:after="80"/>
        <w:jc w:val="both"/>
      </w:pPr>
      <w:r>
        <w:rPr>
          <w:rFonts w:ascii="Arial" w:cs="Arial" w:eastAsia="Arial" w:hAnsi="Arial"/>
          <w:sz w:val="22"/>
          <w:szCs w:val="22"/>
        </w:rPr>
        <w:t xml:space="preserve">The table below defines exactly what CA-FedDef classifies as 'suspicious' during the adaptive trust scoring phase. Each signal has a formal indicator tied to the mathematical framework in §1–2, a detection mechanism inside the system, and a risk disposition. This taxonomy is the operational heart of the ATS component and should be presented in the paper as a formal definition block.</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E0" w:val="clear"/>
            <w:tcMar>
              <w:top w:type="dxa" w:w="120"/>
              <w:left w:type="dxa" w:w="200"/>
              <w:bottom w:type="dxa" w:w="120"/>
              <w:right w:type="dxa" w:w="200"/>
            </w:tcMar>
          </w:tcPr>
          <w:p>
            <w:pPr>
              <w:spacing w:before="0" w:after="40"/>
            </w:pPr>
            <w:r>
              <w:rPr>
                <w:rFonts w:ascii="Arial" w:cs="Arial" w:eastAsia="Arial" w:hAnsi="Arial"/>
                <w:b/>
                <w:bCs/>
                <w:color w:val="6B3500"/>
                <w:sz w:val="20"/>
                <w:szCs w:val="20"/>
              </w:rPr>
              <w:t xml:space="preserve">Design Principle:</w:t>
            </w:r>
          </w:p>
          <w:p>
            <w:pPr>
              <w:spacing w:before="0" w:after="0"/>
              <w:jc w:val="both"/>
            </w:pPr>
            <w:r>
              <w:rPr>
                <w:rFonts w:ascii="Arial" w:cs="Arial" w:eastAsia="Arial" w:hAnsi="Arial"/>
                <w:color w:val="6B3500"/>
                <w:sz w:val="20"/>
                <w:szCs w:val="20"/>
              </w:rPr>
              <w:t xml:space="preserve">A critical distinction between CA-FedDef and all prior work: signals S1–S2 are detectable by existing methods. Signals S3, S7, and S8 are ONLY detectable using the client profile Φ_i. Signal S8 (NIMA) is the core novel detection capability. The taxonomy should be cited in the paper as evidence that the profile is not just an optimisation tool but a necessary security primitive.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700"/>
        <w:gridCol w:w="2160"/>
        <w:gridCol w:w="2400"/>
        <w:gridCol w:w="2700"/>
      </w:tblGrid>
      <w:tr>
        <w:trPr>
          <w:tblHeader/>
        </w:trPr>
        <w:tc>
          <w:tcPr>
            <w:tcW w:type="dxa" w:w="400"/>
            <w:tcBorders>
              <w:top w:val="single" w:color="CCCCCC" w:sz="1"/>
              <w:left w:val="single" w:color="CCCCCC" w:sz="1"/>
              <w:bottom w:val="single" w:color="CCCCCC" w:sz="1"/>
              <w:right w:val="single" w:color="CCCCCC" w:sz="1"/>
            </w:tcBorders>
            <w:shd w:fill="7B2C2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ID</w:t>
            </w:r>
          </w:p>
        </w:tc>
        <w:tc>
          <w:tcPr>
            <w:tcW w:type="dxa" w:w="1700"/>
            <w:tcBorders>
              <w:top w:val="single" w:color="CCCCCC" w:sz="1"/>
              <w:left w:val="single" w:color="CCCCCC" w:sz="1"/>
              <w:bottom w:val="single" w:color="CCCCCC" w:sz="1"/>
              <w:right w:val="single" w:color="CCCCCC" w:sz="1"/>
            </w:tcBorders>
            <w:shd w:fill="7B2C2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SUSS Signal</w:t>
            </w:r>
          </w:p>
        </w:tc>
        <w:tc>
          <w:tcPr>
            <w:tcW w:type="dxa" w:w="2160"/>
            <w:tcBorders>
              <w:top w:val="single" w:color="CCCCCC" w:sz="1"/>
              <w:left w:val="single" w:color="CCCCCC" w:sz="1"/>
              <w:bottom w:val="single" w:color="CCCCCC" w:sz="1"/>
              <w:right w:val="single" w:color="CCCCCC" w:sz="1"/>
            </w:tcBorders>
            <w:shd w:fill="7B2C2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Formal Indicator</w:t>
            </w:r>
          </w:p>
        </w:tc>
        <w:tc>
          <w:tcPr>
            <w:tcW w:type="dxa" w:w="2400"/>
            <w:tcBorders>
              <w:top w:val="single" w:color="CCCCCC" w:sz="1"/>
              <w:left w:val="single" w:color="CCCCCC" w:sz="1"/>
              <w:bottom w:val="single" w:color="CCCCCC" w:sz="1"/>
              <w:right w:val="single" w:color="CCCCCC" w:sz="1"/>
            </w:tcBorders>
            <w:shd w:fill="7B2C2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Detection Mechanism in CA-FedDef</w:t>
            </w:r>
          </w:p>
        </w:tc>
        <w:tc>
          <w:tcPr>
            <w:tcW w:type="dxa" w:w="2700"/>
            <w:tcBorders>
              <w:top w:val="single" w:color="CCCCCC" w:sz="1"/>
              <w:left w:val="single" w:color="CCCCCC" w:sz="1"/>
              <w:bottom w:val="single" w:color="CCCCCC" w:sz="1"/>
              <w:right w:val="single" w:color="CCCCCC" w:sz="1"/>
            </w:tcBorders>
            <w:shd w:fill="7B2C2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Risk Level / Disposition</w:t>
            </w:r>
          </w:p>
        </w:tc>
      </w:tr>
      <w:tr>
        <w:tc>
          <w:tcPr>
            <w:tcW w:type="dxa" w:w="4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S1</w:t>
            </w:r>
          </w:p>
        </w:tc>
        <w:tc>
          <w:tcPr>
            <w:tcW w:type="dxa" w:w="17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Gradient Magnitude Spike</w:t>
            </w:r>
          </w:p>
        </w:tc>
        <w:tc>
          <w:tcPr>
            <w:tcW w:type="dxa" w:w="216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||Δw_i|| &gt; μ_global + 3σ_global</w:t>
            </w:r>
          </w:p>
        </w:tc>
        <w:tc>
          <w:tcPr>
            <w:tcW w:type="dxa" w:w="24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Caught by ATS norm check (applied to ALL tiers). High confidence in detection.</w:t>
            </w:r>
          </w:p>
        </w:tc>
        <w:tc>
          <w:tcPr>
            <w:tcW w:type="dxa" w:w="27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vAlign w:val="center"/>
          </w:tcPr>
          <w:p>
            <w:pPr>
              <w:jc w:val="left"/>
            </w:pPr>
            <w:r>
              <w:rPr>
                <w:rFonts w:ascii="Arial" w:cs="Arial" w:eastAsia="Arial" w:hAnsi="Arial"/>
                <w:b/>
                <w:bCs/>
                <w:color w:val="8B3A00"/>
                <w:sz w:val="18"/>
                <w:szCs w:val="18"/>
              </w:rPr>
              <w:t xml:space="preserve">HIGH — Immediate exclusion. Classic model poisoning signature.</w:t>
            </w:r>
          </w:p>
        </w:tc>
      </w:tr>
      <w:tr>
        <w:tc>
          <w:tcPr>
            <w:tcW w:type="dxa" w:w="4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S2</w:t>
            </w:r>
          </w:p>
        </w:tc>
        <w:tc>
          <w:tcPr>
            <w:tcW w:type="dxa" w:w="17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Direction Reversal</w:t>
            </w:r>
          </w:p>
        </w:tc>
        <w:tc>
          <w:tcPr>
            <w:tcW w:type="dxa" w:w="216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cos(Δw_i, Δw_global) &lt; −0.5</w:t>
            </w:r>
          </w:p>
        </w:tc>
        <w:tc>
          <w:tcPr>
            <w:tcW w:type="dxa" w:w="24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Cosine similarity check in ATS gradient signature G_i. Strong attack signal.</w:t>
            </w:r>
          </w:p>
        </w:tc>
        <w:tc>
          <w:tcPr>
            <w:tcW w:type="dxa" w:w="27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vAlign w:val="center"/>
          </w:tcPr>
          <w:p>
            <w:pPr>
              <w:jc w:val="left"/>
            </w:pPr>
            <w:r>
              <w:rPr>
                <w:rFonts w:ascii="Arial" w:cs="Arial" w:eastAsia="Arial" w:hAnsi="Arial"/>
                <w:b/>
                <w:bCs/>
                <w:color w:val="8B3A00"/>
                <w:sz w:val="18"/>
                <w:szCs w:val="18"/>
              </w:rPr>
              <w:t xml:space="preserve">HIGH — Immediate exclusion. Indicative of gradient inversion / sign-flipping attack.</w:t>
            </w:r>
          </w:p>
        </w:tc>
      </w:tr>
      <w:tr>
        <w:tc>
          <w:tcPr>
            <w:tcW w:type="dxa" w:w="4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S3</w:t>
            </w:r>
          </w:p>
        </w:tc>
        <w:tc>
          <w:tcPr>
            <w:tcW w:type="dxa" w:w="17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Out-of-Profile Deviation</w:t>
            </w:r>
          </w:p>
        </w:tc>
        <w:tc>
          <w:tcPr>
            <w:tcW w:type="dxa" w:w="216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||Δw_i − E[Δw_i | D̂_i]|| &gt; z·σ(D̂_i)</w:t>
            </w:r>
          </w:p>
        </w:tc>
        <w:tc>
          <w:tcPr>
            <w:tcW w:type="dxa" w:w="24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Core CPB mechanism. Update falls outside the expected non-IID band for this client's known distribution. Not flagged by global-threshold methods.</w:t>
            </w:r>
          </w:p>
        </w:tc>
        <w:tc>
          <w:tcPr>
            <w:tcW w:type="dxa" w:w="27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vAlign w:val="center"/>
          </w:tcPr>
          <w:p>
            <w:pPr>
              <w:jc w:val="left"/>
            </w:pPr>
            <w:r>
              <w:rPr>
                <w:rFonts w:ascii="Arial" w:cs="Arial" w:eastAsia="Arial" w:hAnsi="Arial"/>
                <w:b/>
                <w:bCs/>
                <w:color w:val="8B3A00"/>
                <w:sz w:val="18"/>
                <w:szCs w:val="18"/>
              </w:rPr>
              <w:t xml:space="preserve">HIGH — Exclusion after 2 consecutive rounds. Targets NIMA and targeted data poisoning.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S4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History Inconsistency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H_i^(t) &lt; H_threshold AND |G_i^(t) − G_i^(t−1)| &gt; δ_hist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H_i exponential moving average. A previously reliable client with a sudden large gradient shift is suspect. Prevents single-round spoofing.</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75623"/>
                <w:sz w:val="18"/>
                <w:szCs w:val="18"/>
              </w:rPr>
              <w:t xml:space="preserve">MEDIUM — Trust score penalty + flagged for deeper inspection next round.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S5</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Tier Mismatch Behaviour</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Client claims R_i ∈ C_low but upload speed / gradient complexity implies C_high</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Resource profile cross-check in CPB. A Tier-C client uploading a dense high-dimensional gradient is anomalous.</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75623"/>
                <w:sz w:val="18"/>
                <w:szCs w:val="18"/>
              </w:rPr>
              <w:t xml:space="preserve">MEDIUM — Reclassify client tier + apply higher validation. Suggests identity spoofing.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S6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Class Distribution Drift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KL(D̂_i^(t) || D̂_i^(t−1)) &gt; ε_drift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CPB tracks distribution estimate per round. Sudden class distribution change without known concept drift window is suspicious.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75623"/>
                <w:sz w:val="18"/>
                <w:szCs w:val="18"/>
              </w:rPr>
              <w:t xml:space="preserve">MEDIUM — Warning flag. May indicate label-flipping mid-training. Triggers audit in next 3 rounds.</w:t>
            </w:r>
          </w:p>
        </w:tc>
      </w:tr>
      <w:tr>
        <w:tc>
          <w:tcPr>
            <w:tcW w:type="dxa" w:w="4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S7</w:t>
            </w:r>
          </w:p>
        </w:tc>
        <w:tc>
          <w:tcPr>
            <w:tcW w:type="dxa" w:w="17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Outlier Cluster Membership</w:t>
            </w:r>
          </w:p>
        </w:tc>
        <w:tc>
          <w:tcPr>
            <w:tcW w:type="dxa" w:w="216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Client update clusters with ≥ 2 other excluded clients in PCA space</w:t>
            </w:r>
          </w:p>
        </w:tc>
        <w:tc>
          <w:tcPr>
            <w:tcW w:type="dxa" w:w="24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Server-side PCA clustering of all updates. Collusion detection: adversaries who coordinate attacks leave similar gradient fingerprints.</w:t>
            </w:r>
          </w:p>
        </w:tc>
        <w:tc>
          <w:tcPr>
            <w:tcW w:type="dxa" w:w="27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vAlign w:val="center"/>
          </w:tcPr>
          <w:p>
            <w:pPr>
              <w:jc w:val="left"/>
            </w:pPr>
            <w:r>
              <w:rPr>
                <w:rFonts w:ascii="Arial" w:cs="Arial" w:eastAsia="Arial" w:hAnsi="Arial"/>
                <w:b/>
                <w:bCs/>
                <w:color w:val="8B3A00"/>
                <w:sz w:val="18"/>
                <w:szCs w:val="18"/>
              </w:rPr>
              <w:t xml:space="preserve">HIGH — All clustered clients excluded. Targets coordinated Byzantine collusion.</w:t>
            </w:r>
          </w:p>
        </w:tc>
      </w:tr>
      <w:tr>
        <w:tc>
          <w:tcPr>
            <w:tcW w:type="dxa" w:w="400"/>
            <w:tcBorders>
              <w:top w:val="single" w:color="CCCCCC" w:sz="1"/>
              <w:left w:val="single" w:color="CCCCCC" w:sz="1"/>
              <w:bottom w:val="single" w:color="CCCCCC" w:sz="1"/>
              <w:right w:val="single" w:color="CCCCCC" w:sz="1"/>
            </w:tcBorders>
            <w:shd w:fill="FFE2E2" w:val="clear"/>
            <w:tcMar>
              <w:top w:type="dxa" w:w="80"/>
              <w:left w:type="dxa" w:w="120"/>
              <w:bottom w:type="dxa" w:w="80"/>
              <w:right w:type="dxa" w:w="120"/>
            </w:tcMar>
            <w:vAlign w:val="center"/>
          </w:tcPr>
          <w:p>
            <w:pPr>
              <w:jc w:val="center"/>
            </w:pPr>
            <w:r>
              <w:rPr>
                <w:rFonts w:ascii="Arial" w:cs="Arial" w:eastAsia="Arial" w:hAnsi="Arial"/>
                <w:b/>
                <w:bCs/>
                <w:color w:val="7B2C2C"/>
                <w:sz w:val="18"/>
                <w:szCs w:val="18"/>
              </w:rPr>
              <w:t xml:space="preserve">S8</w:t>
            </w:r>
          </w:p>
        </w:tc>
        <w:tc>
          <w:tcPr>
            <w:tcW w:type="dxa" w:w="1700"/>
            <w:tcBorders>
              <w:top w:val="single" w:color="CCCCCC" w:sz="1"/>
              <w:left w:val="single" w:color="CCCCCC" w:sz="1"/>
              <w:bottom w:val="single" w:color="CCCCCC" w:sz="1"/>
              <w:right w:val="single" w:color="CCCCCC" w:sz="1"/>
            </w:tcBorders>
            <w:shd w:fill="FFE2E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Non-IID Masquerade (NIMA)</w:t>
            </w:r>
          </w:p>
        </w:tc>
        <w:tc>
          <w:tcPr>
            <w:tcW w:type="dxa" w:w="2160"/>
            <w:tcBorders>
              <w:top w:val="single" w:color="CCCCCC" w:sz="1"/>
              <w:left w:val="single" w:color="CCCCCC" w:sz="1"/>
              <w:bottom w:val="single" w:color="CCCCCC" w:sz="1"/>
              <w:right w:val="single" w:color="CCCCCC" w:sz="1"/>
            </w:tcBorders>
            <w:shd w:fill="FFE2E2"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Update inside global benign band BUT outside client-specific band: |ψ_global(Δw_i) ≥ τ_global| AND |ψ_client(Δw_i) &lt; τ_i|</w:t>
            </w:r>
          </w:p>
        </w:tc>
        <w:tc>
          <w:tcPr>
            <w:tcW w:type="dxa" w:w="2400"/>
            <w:tcBorders>
              <w:top w:val="single" w:color="CCCCCC" w:sz="1"/>
              <w:left w:val="single" w:color="CCCCCC" w:sz="1"/>
              <w:bottom w:val="single" w:color="CCCCCC" w:sz="1"/>
              <w:right w:val="single" w:color="CCCCCC" w:sz="1"/>
            </w:tcBorders>
            <w:shd w:fill="FFE2E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The unique CA-FedDef signal. Only detectable using the client profile. Missed by ALL existing global-threshold methods.</w:t>
            </w:r>
          </w:p>
        </w:tc>
        <w:tc>
          <w:tcPr>
            <w:tcW w:type="dxa" w:w="2700"/>
            <w:tcBorders>
              <w:top w:val="single" w:color="CCCCCC" w:sz="1"/>
              <w:left w:val="single" w:color="CCCCCC" w:sz="1"/>
              <w:bottom w:val="single" w:color="CCCCCC" w:sz="1"/>
              <w:right w:val="single" w:color="CCCCCC" w:sz="1"/>
            </w:tcBorders>
            <w:shd w:fill="FFE2E2" w:val="clear"/>
            <w:tcMar>
              <w:top w:type="dxa" w:w="80"/>
              <w:left w:type="dxa" w:w="120"/>
              <w:bottom w:type="dxa" w:w="80"/>
              <w:right w:type="dxa" w:w="120"/>
            </w:tcMar>
            <w:vAlign w:val="center"/>
          </w:tcPr>
          <w:p>
            <w:pPr>
              <w:jc w:val="left"/>
            </w:pPr>
            <w:r>
              <w:rPr>
                <w:rFonts w:ascii="Arial" w:cs="Arial" w:eastAsia="Arial" w:hAnsi="Arial"/>
                <w:b/>
                <w:bCs/>
                <w:color w:val="7B2C2C"/>
                <w:sz w:val="18"/>
                <w:szCs w:val="18"/>
              </w:rPr>
              <w:t xml:space="preserve">CRITICAL — Immediate exclusion + adversary flagged for all future rounds.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S9</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Repeated Threshold Grazing</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Trust score τ_i^(t) oscillates between [τ_floor, τ_floor + ε] over ≥ 5 rounds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H_i history pattern analysis. An adversary probing the detection boundary leaves a characteristic oscillating trust trajectory.</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75623"/>
                <w:sz w:val="18"/>
                <w:szCs w:val="18"/>
              </w:rPr>
              <w:t xml:space="preserve">MEDIUM → HIGH — Escalating suspicion. Triggers LLAF (if Tier-A/B) + reduces τ_floor for this client.</w:t>
            </w:r>
          </w:p>
        </w:tc>
      </w:tr>
    </w:tbl>
    <w:p>
      <w:pPr>
        <w:spacing w:before="120" w:after="0"/>
      </w:pPr>
      <w:r>
        <w:t xml:space="preserve"/>
      </w:r>
    </w:p>
    <w:p>
      <w:pPr>
        <w:pStyle w:val="Heading2"/>
        <w:spacing w:before="260" w:after="80"/>
      </w:pPr>
      <w:r>
        <w:rPr>
          <w:rFonts w:ascii="Arial" w:cs="Arial" w:eastAsia="Arial" w:hAnsi="Arial"/>
          <w:b/>
          <w:bCs/>
          <w:color w:val="2E75B6"/>
          <w:sz w:val="26"/>
          <w:szCs w:val="26"/>
        </w:rPr>
        <w:t xml:space="preserve">7.1  Disposition Escalation Policy</w:t>
      </w:r>
    </w:p>
    <w:p>
      <w:pPr>
        <w:spacing w:before="60" w:after="80"/>
        <w:jc w:val="both"/>
      </w:pPr>
      <w:r>
        <w:rPr>
          <w:rFonts w:ascii="Arial" w:cs="Arial" w:eastAsia="Arial" w:hAnsi="Arial"/>
          <w:sz w:val="22"/>
          <w:szCs w:val="22"/>
        </w:rPr>
        <w:t xml:space="preserve">When a client triggers multiple SUSS signals in the same round, the disposition is escalated as follows:</w:t>
      </w:r>
    </w:p>
    <w:p>
      <w:pPr>
        <w:pStyle w:val="ListParagraph"/>
        <w:numPr>
          <w:ilvl w:val="0"/>
          <w:numId w:val="2"/>
        </w:numPr>
        <w:spacing w:before="40" w:after="40"/>
      </w:pPr>
      <w:r>
        <w:rPr>
          <w:rFonts w:ascii="Arial" w:cs="Arial" w:eastAsia="Arial" w:hAnsi="Arial"/>
          <w:sz w:val="22"/>
          <w:szCs w:val="22"/>
        </w:rPr>
        <w:t xml:space="preserve">1 MEDIUM signal → trust score penalty (−20% weight in PGA aggregation).</w:t>
      </w:r>
    </w:p>
    <w:p>
      <w:pPr>
        <w:pStyle w:val="ListParagraph"/>
        <w:numPr>
          <w:ilvl w:val="0"/>
          <w:numId w:val="2"/>
        </w:numPr>
        <w:spacing w:before="40" w:after="40"/>
      </w:pPr>
      <w:r>
        <w:rPr>
          <w:rFonts w:ascii="Arial" w:cs="Arial" w:eastAsia="Arial" w:hAnsi="Arial"/>
          <w:sz w:val="22"/>
          <w:szCs w:val="22"/>
        </w:rPr>
        <w:t xml:space="preserve">2+ MEDIUM signals OR 1 HIGH signal → client excluded from current round; monitored next 3 rounds.</w:t>
      </w:r>
    </w:p>
    <w:p>
      <w:pPr>
        <w:pStyle w:val="ListParagraph"/>
        <w:numPr>
          <w:ilvl w:val="0"/>
          <w:numId w:val="2"/>
        </w:numPr>
        <w:spacing w:before="40" w:after="40"/>
      </w:pPr>
      <w:r>
        <w:rPr>
          <w:rFonts w:ascii="Arial" w:cs="Arial" w:eastAsia="Arial" w:hAnsi="Arial"/>
          <w:sz w:val="22"/>
          <w:szCs w:val="22"/>
        </w:rPr>
        <w:t xml:space="preserve">CRITICAL (S8) OR 3+ HIGH signals → client permanently blacklisted; alert logged for offline audit.</w:t>
      </w:r>
    </w:p>
    <w:p>
      <w:pPr>
        <w:pStyle w:val="ListParagraph"/>
        <w:numPr>
          <w:ilvl w:val="0"/>
          <w:numId w:val="2"/>
        </w:numPr>
        <w:spacing w:before="40" w:after="40"/>
      </w:pPr>
      <w:r>
        <w:rPr>
          <w:rFonts w:ascii="Arial" w:cs="Arial" w:eastAsia="Arial" w:hAnsi="Arial"/>
          <w:sz w:val="22"/>
          <w:szCs w:val="22"/>
        </w:rPr>
        <w:t xml:space="preserve">Any MEDIUM signal on a Tier-C client with H_i &lt; 0.5 → automatically escalated to HIGH (Tier-C clients cannot run LLAF, so server-side escalation compensates).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200"/>
              <w:bottom w:type="dxa" w:w="120"/>
              <w:right w:type="dxa" w:w="200"/>
            </w:tcMar>
          </w:tcPr>
          <w:p>
            <w:pPr>
              <w:spacing w:before="0" w:after="40"/>
            </w:pPr>
            <w:r>
              <w:rPr>
                <w:rFonts w:ascii="Arial" w:cs="Arial" w:eastAsia="Arial" w:hAnsi="Arial"/>
                <w:b/>
                <w:bCs/>
                <w:color w:val="1F3864"/>
                <w:sz w:val="20"/>
                <w:szCs w:val="20"/>
              </w:rPr>
              <w:t xml:space="preserve">Key Insight for TIFS Claim:</w:t>
            </w:r>
          </w:p>
          <w:p>
            <w:pPr>
              <w:spacing w:before="0" w:after="0"/>
              <w:jc w:val="both"/>
            </w:pPr>
            <w:r>
              <w:rPr>
                <w:rFonts w:ascii="Arial" w:cs="Arial" w:eastAsia="Arial" w:hAnsi="Arial"/>
                <w:color w:val="1F3864"/>
                <w:sz w:val="20"/>
                <w:szCs w:val="20"/>
              </w:rPr>
              <w:t xml:space="preserve">The escalation policy for Tier-C clients (last bullet) is the mechanism by which CA-FedDef compensates for the absence of LLAF on resource-constrained devices. This is a direct, testable architectural decision that no existing paper has articulated — it should be stated explicitly in the paper as a design contribution.</w:t>
            </w:r>
          </w:p>
        </w:tc>
      </w:tr>
    </w:tbl>
    <w:p>
      <w:pPr>
        <w:spacing w:before="160" w:after="0"/>
      </w:pPr>
      <w:r>
        <w:t xml:space="preserve"/>
      </w:r>
    </w:p>
    <w:p>
      <w:pPr>
        <w:pStyle w:val="Heading1"/>
        <w:pBdr>
          <w:bottom w:val="single" w:color="2E75B6" w:sz="6" w:space="4"/>
        </w:pBdr>
        <w:spacing w:before="360" w:after="120"/>
      </w:pPr>
      <w:r>
        <w:rPr>
          <w:rFonts w:ascii="Arial" w:cs="Arial" w:eastAsia="Arial" w:hAnsi="Arial"/>
          <w:b/>
          <w:bCs/>
          <w:color w:val="1F3864"/>
          <w:sz w:val="32"/>
          <w:szCs w:val="32"/>
        </w:rPr>
        <w:t xml:space="preserve">8.  System Architecture Diagram</w:t>
      </w:r>
    </w:p>
    <w:p>
      <w:pPr>
        <w:spacing w:before="60" w:after="80"/>
        <w:jc w:val="both"/>
      </w:pPr>
      <w:r>
        <w:rPr>
          <w:rFonts w:ascii="Arial" w:cs="Arial" w:eastAsia="Arial" w:hAnsi="Arial"/>
          <w:sz w:val="22"/>
          <w:szCs w:val="22"/>
        </w:rPr>
        <w:t xml:space="preserve">The diagram below illustrates the CA-FedDef system flow across the three IoT client tiers and the federated server. The middle row shows which SUSS signals are detectable at the client side (via LLAF) versus exclusively at the server side (via CPB/ATS). S8 — the NIMA signal — is only detectable at the server, which is the architectural justification for maintaining a persistent client profile.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60"/>
        <w:gridCol w:w="4420"/>
      </w:tblGrid>
      <w:tr>
        <w:tc>
          <w:tcPr>
            <w:tcW w:type="dxa" w:w="4680"/>
            <w:tcBorders>
              <w:top w:val="none" w:color="FFFFFF" w:sz="0"/>
              <w:left w:val="none" w:color="FFFFFF" w:sz="0"/>
              <w:bottom w:val="none" w:color="FFFFFF" w:sz="0"/>
              <w:right w:val="none" w:color="FFFFFF" w:sz="0"/>
            </w:tcBorders>
            <w:shd w:fill="1F3864" w:val="clear"/>
            <w:tcMar>
              <w:top w:type="dxa" w:w="120"/>
              <w:left w:type="dxa" w:w="100"/>
              <w:bottom w:type="dxa" w:w="120"/>
              <w:right w:type="dxa" w:w="100"/>
            </w:tcMar>
            <w:vAlign w:val="center"/>
          </w:tcPr>
          <w:p>
            <w:pPr>
              <w:jc w:val="center"/>
            </w:pPr>
            <w:r>
              <w:rPr>
                <w:rFonts w:ascii="Arial" w:cs="Arial" w:eastAsia="Arial" w:hAnsi="Arial"/>
                <w:b/>
                <w:bCs/>
                <w:color w:val="FFFFFF"/>
                <w:sz w:val="18"/>
                <w:szCs w:val="18"/>
              </w:rPr>
              <w:t xml:space="preserve">IoT CLIENT LAYER</w:t>
            </w:r>
          </w:p>
        </w:tc>
        <w:tc>
          <w:tcPr>
            <w:tcW w:type="dxa" w:w="2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4420"/>
            <w:tcBorders>
              <w:top w:val="none" w:color="FFFFFF" w:sz="0"/>
              <w:left w:val="none" w:color="FFFFFF" w:sz="0"/>
              <w:bottom w:val="none" w:color="FFFFFF" w:sz="0"/>
              <w:right w:val="none" w:color="FFFFFF" w:sz="0"/>
            </w:tcBorders>
            <w:shd w:fill="2E75B6" w:val="clear"/>
            <w:tcMar>
              <w:top w:type="dxa" w:w="120"/>
              <w:left w:type="dxa" w:w="100"/>
              <w:bottom w:type="dxa" w:w="120"/>
              <w:right w:type="dxa" w:w="100"/>
            </w:tcMar>
            <w:vAlign w:val="center"/>
          </w:tcPr>
          <w:p>
            <w:pPr>
              <w:jc w:val="center"/>
            </w:pPr>
            <w:r>
              <w:rPr>
                <w:rFonts w:ascii="Arial" w:cs="Arial" w:eastAsia="Arial" w:hAnsi="Arial"/>
                <w:b/>
                <w:bCs/>
                <w:color w:val="FFFFFF"/>
                <w:sz w:val="18"/>
                <w:szCs w:val="18"/>
              </w:rPr>
              <w:t xml:space="preserve">SERVER LAYER</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40"/>
        <w:gridCol w:w="80"/>
        <w:gridCol w:w="1340"/>
        <w:gridCol w:w="80"/>
        <w:gridCol w:w="1340"/>
        <w:gridCol w:w="280"/>
        <w:gridCol w:w="4420"/>
      </w:tblGrid>
      <w:tr>
        <w:tc>
          <w:tcPr>
            <w:tcW w:type="dxa" w:w="1340"/>
            <w:tcBorders>
              <w:top w:val="single" w:color="70AD47" w:sz="4"/>
              <w:left w:val="single" w:color="70AD47" w:sz="4"/>
              <w:bottom w:val="single" w:color="70AD47" w:sz="4"/>
              <w:right w:val="single" w:color="70AD47" w:sz="4"/>
            </w:tcBorders>
            <w:shd w:fill="FFFFFF" w:val="clear"/>
            <w:tcMar>
              <w:top w:type="dxa" w:w="80"/>
              <w:left w:type="dxa" w:w="80"/>
              <w:bottom w:type="dxa" w:w="80"/>
              <w:right w:type="dxa" w:w="80"/>
            </w:tcMar>
            <w:vAlign w:val="center"/>
          </w:tcPr>
          <w:p>
            <w:pPr>
              <w:spacing w:before="0" w:after="20"/>
              <w:jc w:val="center"/>
            </w:pPr>
            <w:r>
              <w:rPr>
                <w:rFonts w:ascii="Arial" w:cs="Arial" w:eastAsia="Arial" w:hAnsi="Arial"/>
                <w:b/>
                <w:bCs/>
                <w:color w:val="70AD47"/>
                <w:sz w:val="20"/>
                <w:szCs w:val="20"/>
              </w:rPr>
              <w:t xml:space="preserve">Tier A</w:t>
            </w:r>
          </w:p>
          <w:p>
            <w:pPr>
              <w:spacing w:before="0" w:after="20"/>
              <w:jc w:val="center"/>
            </w:pPr>
            <w:r>
              <w:rPr>
                <w:rFonts w:ascii="Arial" w:cs="Arial" w:eastAsia="Arial" w:hAnsi="Arial"/>
                <w:color w:val="555555"/>
                <w:sz w:val="16"/>
                <w:szCs w:val="16"/>
              </w:rPr>
              <w:t xml:space="preserve">Gateway / RPi 4</w:t>
            </w:r>
          </w:p>
          <w:p>
            <w:pPr>
              <w:spacing w:before="0" w:after="0"/>
              <w:jc w:val="center"/>
            </w:pPr>
            <w:r>
              <w:rPr>
                <w:rFonts w:ascii="Arial" w:cs="Arial" w:eastAsia="Arial" w:hAnsi="Arial"/>
                <w:b/>
                <w:bCs/>
                <w:color w:val="375623"/>
                <w:sz w:val="16"/>
                <w:szCs w:val="16"/>
              </w:rPr>
              <w:t xml:space="preserve">[ LLAF ✓ ]</w:t>
            </w:r>
          </w:p>
        </w:tc>
        <w:tc>
          <w:tcPr>
            <w:tcW w:type="dxa" w:w="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1340"/>
            <w:tcBorders>
              <w:top w:val="single" w:color="ED7D31" w:sz="4"/>
              <w:left w:val="single" w:color="ED7D31" w:sz="4"/>
              <w:bottom w:val="single" w:color="ED7D31" w:sz="4"/>
              <w:right w:val="single" w:color="ED7D31" w:sz="4"/>
            </w:tcBorders>
            <w:shd w:fill="FFFFFF" w:val="clear"/>
            <w:tcMar>
              <w:top w:type="dxa" w:w="80"/>
              <w:left w:type="dxa" w:w="80"/>
              <w:bottom w:type="dxa" w:w="80"/>
              <w:right w:type="dxa" w:w="80"/>
            </w:tcMar>
            <w:vAlign w:val="center"/>
          </w:tcPr>
          <w:p>
            <w:pPr>
              <w:spacing w:before="0" w:after="20"/>
              <w:jc w:val="center"/>
            </w:pPr>
            <w:r>
              <w:rPr>
                <w:rFonts w:ascii="Arial" w:cs="Arial" w:eastAsia="Arial" w:hAnsi="Arial"/>
                <w:b/>
                <w:bCs/>
                <w:color w:val="ED7D31"/>
                <w:sz w:val="20"/>
                <w:szCs w:val="20"/>
              </w:rPr>
              <w:t xml:space="preserve">Tier B</w:t>
            </w:r>
          </w:p>
          <w:p>
            <w:pPr>
              <w:spacing w:before="0" w:after="20"/>
              <w:jc w:val="center"/>
            </w:pPr>
            <w:r>
              <w:rPr>
                <w:rFonts w:ascii="Arial" w:cs="Arial" w:eastAsia="Arial" w:hAnsi="Arial"/>
                <w:color w:val="555555"/>
                <w:sz w:val="16"/>
                <w:szCs w:val="16"/>
              </w:rPr>
              <w:t xml:space="preserve">RPi 3 / RTOS MCU</w:t>
            </w:r>
          </w:p>
          <w:p>
            <w:pPr>
              <w:spacing w:before="0" w:after="0"/>
              <w:jc w:val="center"/>
            </w:pPr>
            <w:r>
              <w:rPr>
                <w:rFonts w:ascii="Arial" w:cs="Arial" w:eastAsia="Arial" w:hAnsi="Arial"/>
                <w:b/>
                <w:bCs/>
                <w:color w:val="375623"/>
                <w:sz w:val="16"/>
                <w:szCs w:val="16"/>
              </w:rPr>
              <w:t xml:space="preserve">[ LLAF ✓ ]</w:t>
            </w:r>
          </w:p>
        </w:tc>
        <w:tc>
          <w:tcPr>
            <w:tcW w:type="dxa" w:w="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1340"/>
            <w:tcBorders>
              <w:top w:val="single" w:color="C00000" w:sz="4"/>
              <w:left w:val="single" w:color="C00000" w:sz="4"/>
              <w:bottom w:val="single" w:color="C00000" w:sz="4"/>
              <w:right w:val="single" w:color="C00000" w:sz="4"/>
            </w:tcBorders>
            <w:shd w:fill="FFFFFF" w:val="clear"/>
            <w:tcMar>
              <w:top w:type="dxa" w:w="80"/>
              <w:left w:type="dxa" w:w="80"/>
              <w:bottom w:type="dxa" w:w="80"/>
              <w:right w:type="dxa" w:w="80"/>
            </w:tcMar>
            <w:vAlign w:val="center"/>
          </w:tcPr>
          <w:p>
            <w:pPr>
              <w:spacing w:before="0" w:after="20"/>
              <w:jc w:val="center"/>
            </w:pPr>
            <w:r>
              <w:rPr>
                <w:rFonts w:ascii="Arial" w:cs="Arial" w:eastAsia="Arial" w:hAnsi="Arial"/>
                <w:b/>
                <w:bCs/>
                <w:color w:val="C00000"/>
                <w:sz w:val="20"/>
                <w:szCs w:val="20"/>
              </w:rPr>
              <w:t xml:space="preserve">Tier C</w:t>
            </w:r>
          </w:p>
          <w:p>
            <w:pPr>
              <w:spacing w:before="0" w:after="20"/>
              <w:jc w:val="center"/>
            </w:pPr>
            <w:r>
              <w:rPr>
                <w:rFonts w:ascii="Arial" w:cs="Arial" w:eastAsia="Arial" w:hAnsi="Arial"/>
                <w:color w:val="555555"/>
                <w:sz w:val="16"/>
                <w:szCs w:val="16"/>
              </w:rPr>
              <w:t xml:space="preserve">ESP32 / Sensor Node</w:t>
            </w:r>
          </w:p>
          <w:p>
            <w:pPr>
              <w:spacing w:before="0" w:after="0"/>
              <w:jc w:val="center"/>
            </w:pPr>
            <w:r>
              <w:rPr>
                <w:rFonts w:ascii="Arial" w:cs="Arial" w:eastAsia="Arial" w:hAnsi="Arial"/>
                <w:b/>
                <w:bCs/>
                <w:color w:val="7B2C2C"/>
                <w:sz w:val="16"/>
                <w:szCs w:val="16"/>
              </w:rPr>
              <w:t xml:space="preserve">[ LLAF ✗ ]</w:t>
            </w:r>
          </w:p>
        </w:tc>
        <w:tc>
          <w:tcPr>
            <w:tcW w:type="dxa" w:w="28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vAlign w:val="center"/>
          </w:tcPr>
          <w:p>
            <w:pPr>
              <w:jc w:val="center"/>
            </w:pPr>
            <w:r>
              <w:rPr>
                <w:rFonts w:ascii="Arial" w:cs="Arial" w:eastAsia="Arial" w:hAnsi="Arial"/>
                <w:b/>
                <w:bCs/>
                <w:color w:val="2E75B6"/>
                <w:sz w:val="32"/>
                <w:szCs w:val="32"/>
              </w:rPr>
              <w:t xml:space="preserve">➜</w:t>
            </w:r>
          </w:p>
        </w:tc>
        <w:tc>
          <w:tcPr>
            <w:tcW w:type="dxa" w:w="442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pPr>
              <w:spacing w:before="0" w:after="40"/>
              <w:jc w:val="center"/>
            </w:pPr>
            <w:r>
              <w:rPr>
                <w:rFonts w:ascii="Arial" w:cs="Arial" w:eastAsia="Arial" w:hAnsi="Arial"/>
                <w:b/>
                <w:bCs/>
                <w:color w:val="FFFFFF"/>
                <w:sz w:val="20"/>
                <w:szCs w:val="20"/>
              </w:rPr>
              <w:t xml:space="preserve">FEDERATED SERVER</w:t>
            </w:r>
          </w:p>
          <w:p>
            <w:pPr>
              <w:spacing w:before="0" w:after="20"/>
              <w:jc w:val="center"/>
            </w:pPr>
            <w:r>
              <w:rPr>
                <w:rFonts w:ascii="Arial" w:cs="Arial" w:eastAsia="Arial" w:hAnsi="Arial"/>
                <w:b/>
                <w:bCs/>
                <w:color w:val="FFF2CC"/>
                <w:sz w:val="18"/>
                <w:szCs w:val="18"/>
              </w:rPr>
              <w:t xml:space="preserve">CPB</w:t>
            </w:r>
            <w:r>
              <w:rPr>
                <w:rFonts w:ascii="Arial" w:cs="Arial" w:eastAsia="Arial" w:hAnsi="Arial"/>
                <w:color w:val="AAAAAA"/>
                <w:sz w:val="18"/>
                <w:szCs w:val="18"/>
              </w:rPr>
              <w:t xml:space="preserve">  →  </w:t>
            </w:r>
            <w:r>
              <w:rPr>
                <w:rFonts w:ascii="Arial" w:cs="Arial" w:eastAsia="Arial" w:hAnsi="Arial"/>
                <w:b/>
                <w:bCs/>
                <w:color w:val="FFF0E0"/>
                <w:sz w:val="18"/>
                <w:szCs w:val="18"/>
              </w:rPr>
              <w:t xml:space="preserve">ATS</w:t>
            </w:r>
            <w:r>
              <w:rPr>
                <w:rFonts w:ascii="Arial" w:cs="Arial" w:eastAsia="Arial" w:hAnsi="Arial"/>
                <w:color w:val="AAAAAA"/>
                <w:sz w:val="18"/>
                <w:szCs w:val="18"/>
              </w:rPr>
              <w:t xml:space="preserve">  →  </w:t>
            </w:r>
            <w:r>
              <w:rPr>
                <w:rFonts w:ascii="Arial" w:cs="Arial" w:eastAsia="Arial" w:hAnsi="Arial"/>
                <w:b/>
                <w:bCs/>
                <w:color w:val="E2EFDA"/>
                <w:sz w:val="18"/>
                <w:szCs w:val="18"/>
              </w:rPr>
              <w:t xml:space="preserve">PGA</w:t>
            </w:r>
          </w:p>
          <w:p>
            <w:pPr>
              <w:spacing w:before="0" w:after="0"/>
              <w:jc w:val="center"/>
            </w:pPr>
            <w:r>
              <w:rPr>
                <w:rFonts w:ascii="Arial" w:cs="Arial" w:eastAsia="Arial" w:hAnsi="Arial"/>
                <w:i/>
                <w:iCs/>
                <w:color w:val="AAAAAA"/>
                <w:sz w:val="14"/>
                <w:szCs w:val="14"/>
              </w:rPr>
              <w:t xml:space="preserve">Client Profile  →  Trust Score  →  Weighted Aggregation</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40"/>
        <w:gridCol w:w="80"/>
        <w:gridCol w:w="1340"/>
        <w:gridCol w:w="80"/>
        <w:gridCol w:w="1340"/>
        <w:gridCol w:w="280"/>
        <w:gridCol w:w="4420"/>
      </w:tblGrid>
      <w:tr>
        <w:tc>
          <w:tcPr>
            <w:tcW w:type="dxa" w:w="1340"/>
            <w:tcBorders>
              <w:top w:val="none" w:color="FFFFFF" w:sz="0"/>
              <w:left w:val="none" w:color="FFFFFF" w:sz="0"/>
              <w:bottom w:val="none" w:color="FFFFFF" w:sz="0"/>
              <w:right w:val="none" w:color="FFFFFF" w:sz="0"/>
            </w:tcBorders>
            <w:shd w:fill="E2EFDA" w:val="clear"/>
            <w:tcMar>
              <w:top w:type="dxa" w:w="100"/>
              <w:left w:type="dxa" w:w="80"/>
              <w:bottom w:type="dxa" w:w="100"/>
              <w:right w:type="dxa" w:w="80"/>
            </w:tcMar>
            <w:vAlign w:val="center"/>
          </w:tcPr>
          <w:p>
            <w:pPr>
              <w:spacing w:before="0" w:after="8"/>
              <w:jc w:val="center"/>
            </w:pPr>
            <w:r>
              <w:rPr>
                <w:rFonts w:ascii="Arial" w:cs="Arial" w:eastAsia="Arial" w:hAnsi="Arial"/>
                <w:b/>
                <w:bCs/>
                <w:color w:val="375623"/>
                <w:sz w:val="15"/>
                <w:szCs w:val="15"/>
              </w:rPr>
              <w:t xml:space="preserve">S1, S2, S5, S9</w:t>
            </w:r>
          </w:p>
          <w:p>
            <w:pPr>
              <w:spacing w:before="0" w:after="0"/>
              <w:jc w:val="center"/>
            </w:pPr>
            <w:r>
              <w:rPr>
                <w:rFonts w:ascii="Arial" w:cs="Arial" w:eastAsia="Arial" w:hAnsi="Arial"/>
                <w:i/>
                <w:iCs/>
                <w:color w:val="375623"/>
                <w:sz w:val="14"/>
                <w:szCs w:val="14"/>
              </w:rPr>
              <w:t xml:space="preserve">Full SUSS detection</w:t>
            </w:r>
          </w:p>
        </w:tc>
        <w:tc>
          <w:tcPr>
            <w:tcW w:type="dxa" w:w="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1340"/>
            <w:tcBorders>
              <w:top w:val="none" w:color="FFFFFF" w:sz="0"/>
              <w:left w:val="none" w:color="FFFFFF" w:sz="0"/>
              <w:bottom w:val="none" w:color="FFFFFF" w:sz="0"/>
              <w:right w:val="none" w:color="FFFFFF" w:sz="0"/>
            </w:tcBorders>
            <w:shd w:fill="FFF0E0" w:val="clear"/>
            <w:tcMar>
              <w:top w:type="dxa" w:w="100"/>
              <w:left w:type="dxa" w:w="80"/>
              <w:bottom w:type="dxa" w:w="100"/>
              <w:right w:type="dxa" w:w="80"/>
            </w:tcMar>
            <w:vAlign w:val="center"/>
          </w:tcPr>
          <w:p>
            <w:pPr>
              <w:spacing w:before="0" w:after="8"/>
              <w:jc w:val="center"/>
            </w:pPr>
            <w:r>
              <w:rPr>
                <w:rFonts w:ascii="Arial" w:cs="Arial" w:eastAsia="Arial" w:hAnsi="Arial"/>
                <w:b/>
                <w:bCs/>
                <w:color w:val="8B4500"/>
                <w:sz w:val="15"/>
                <w:szCs w:val="15"/>
              </w:rPr>
              <w:t xml:space="preserve">S1, S2, S5, S9</w:t>
            </w:r>
          </w:p>
          <w:p>
            <w:pPr>
              <w:spacing w:before="0" w:after="0"/>
              <w:jc w:val="center"/>
            </w:pPr>
            <w:r>
              <w:rPr>
                <w:rFonts w:ascii="Arial" w:cs="Arial" w:eastAsia="Arial" w:hAnsi="Arial"/>
                <w:i/>
                <w:iCs/>
                <w:color w:val="8B4500"/>
                <w:sz w:val="14"/>
                <w:szCs w:val="14"/>
              </w:rPr>
              <w:t xml:space="preserve">Standard detection</w:t>
            </w:r>
          </w:p>
        </w:tc>
        <w:tc>
          <w:tcPr>
            <w:tcW w:type="dxa" w:w="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1340"/>
            <w:tcBorders>
              <w:top w:val="none" w:color="FFFFFF" w:sz="0"/>
              <w:left w:val="none" w:color="FFFFFF" w:sz="0"/>
              <w:bottom w:val="none" w:color="FFFFFF" w:sz="0"/>
              <w:right w:val="none" w:color="FFFFFF" w:sz="0"/>
            </w:tcBorders>
            <w:shd w:fill="FFE2E2" w:val="clear"/>
            <w:tcMar>
              <w:top w:type="dxa" w:w="100"/>
              <w:left w:type="dxa" w:w="80"/>
              <w:bottom w:type="dxa" w:w="100"/>
              <w:right w:type="dxa" w:w="80"/>
            </w:tcMar>
            <w:vAlign w:val="center"/>
          </w:tcPr>
          <w:p>
            <w:pPr>
              <w:spacing w:before="0" w:after="8"/>
              <w:jc w:val="center"/>
            </w:pPr>
            <w:r>
              <w:rPr>
                <w:rFonts w:ascii="Arial" w:cs="Arial" w:eastAsia="Arial" w:hAnsi="Arial"/>
                <w:b/>
                <w:bCs/>
                <w:color w:val="7B2C2C"/>
                <w:sz w:val="15"/>
                <w:szCs w:val="15"/>
              </w:rPr>
              <w:t xml:space="preserve">S1, S2 only</w:t>
            </w:r>
          </w:p>
          <w:p>
            <w:pPr>
              <w:spacing w:before="0" w:after="0"/>
              <w:jc w:val="center"/>
            </w:pPr>
            <w:r>
              <w:rPr>
                <w:rFonts w:ascii="Arial" w:cs="Arial" w:eastAsia="Arial" w:hAnsi="Arial"/>
                <w:i/>
                <w:iCs/>
                <w:color w:val="7B2C2C"/>
                <w:sz w:val="14"/>
                <w:szCs w:val="14"/>
              </w:rPr>
              <w:t xml:space="preserve">Server compensates</w:t>
            </w:r>
          </w:p>
        </w:tc>
        <w:tc>
          <w:tcPr>
            <w:tcW w:type="dxa" w:w="2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4420"/>
            <w:tcBorders>
              <w:top w:val="none" w:color="FFFFFF" w:sz="0"/>
              <w:left w:val="none" w:color="FFFFFF" w:sz="0"/>
              <w:bottom w:val="none" w:color="FFFFFF" w:sz="0"/>
              <w:right w:val="none" w:color="FFFFFF" w:sz="0"/>
            </w:tcBorders>
            <w:shd w:fill="D6E4F7" w:val="clear"/>
            <w:tcMar>
              <w:top w:type="dxa" w:w="100"/>
              <w:left w:type="dxa" w:w="80"/>
              <w:bottom w:type="dxa" w:w="100"/>
              <w:right w:type="dxa" w:w="80"/>
            </w:tcMar>
            <w:vAlign w:val="center"/>
          </w:tcPr>
          <w:p>
            <w:pPr>
              <w:spacing w:before="0" w:after="8"/>
              <w:jc w:val="center"/>
            </w:pPr>
            <w:r>
              <w:rPr>
                <w:rFonts w:ascii="Arial" w:cs="Arial" w:eastAsia="Arial" w:hAnsi="Arial"/>
                <w:b/>
                <w:bCs/>
                <w:color w:val="1F3864"/>
                <w:sz w:val="15"/>
                <w:szCs w:val="15"/>
              </w:rPr>
              <w:t xml:space="preserve">S3, S4, S6, S7, S8 detected server-side</w:t>
            </w:r>
          </w:p>
          <w:p>
            <w:pPr>
              <w:spacing w:before="0" w:after="0"/>
              <w:jc w:val="center"/>
            </w:pPr>
            <w:r>
              <w:rPr>
                <w:rFonts w:ascii="Arial" w:cs="Arial" w:eastAsia="Arial" w:hAnsi="Arial"/>
                <w:b/>
                <w:bCs/>
                <w:i/>
                <w:iCs/>
                <w:color w:val="C00000"/>
                <w:sz w:val="14"/>
                <w:szCs w:val="14"/>
              </w:rPr>
              <w:t xml:space="preserve">NIMA (S8) only detectable here</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0"/>
        <w:gridCol w:w="280"/>
        <w:gridCol w:w="4420"/>
      </w:tblGrid>
      <w:tr>
        <w:tc>
          <w:tcPr>
            <w:tcW w:type="dxa" w:w="832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28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vAlign w:val="center"/>
          </w:tcPr>
          <w:p>
            <w:pPr>
              <w:jc w:val="center"/>
            </w:pPr>
            <w:r>
              <w:rPr>
                <w:rFonts w:ascii="Arial" w:cs="Arial" w:eastAsia="Arial" w:hAnsi="Arial"/>
                <w:b/>
                <w:bCs/>
                <w:color w:val="2E75B6"/>
                <w:sz w:val="32"/>
                <w:szCs w:val="32"/>
              </w:rPr>
              <w:t xml:space="preserve">➜</w:t>
            </w:r>
          </w:p>
        </w:tc>
        <w:tc>
          <w:tcPr>
            <w:tcW w:type="dxa" w:w="4420"/>
            <w:tcBorders>
              <w:top w:val="none" w:color="FFFFFF" w:sz="0"/>
              <w:left w:val="none" w:color="FFFFFF" w:sz="0"/>
              <w:bottom w:val="none" w:color="FFFFFF" w:sz="0"/>
              <w:right w:val="none" w:color="FFFFFF" w:sz="0"/>
            </w:tcBorders>
            <w:shd w:fill="70AD47" w:val="clear"/>
            <w:tcMar>
              <w:top w:type="dxa" w:w="120"/>
              <w:left w:type="dxa" w:w="100"/>
              <w:bottom w:type="dxa" w:w="120"/>
              <w:right w:type="dxa" w:w="100"/>
            </w:tcMar>
            <w:vAlign w:val="center"/>
          </w:tcPr>
          <w:p>
            <w:pPr>
              <w:jc w:val="center"/>
            </w:pPr>
            <w:r>
              <w:rPr>
                <w:rFonts w:ascii="Arial" w:cs="Arial" w:eastAsia="Arial" w:hAnsi="Arial"/>
                <w:b/>
                <w:bCs/>
                <w:color w:val="FFFFFF"/>
                <w:sz w:val="18"/>
                <w:szCs w:val="18"/>
              </w:rPr>
              <w:t xml:space="preserve">🔒  Updated Global Model  w^(t+1)</w:t>
            </w:r>
          </w:p>
        </w:tc>
      </w:tr>
    </w:tbl>
    <w:p>
      <w:pPr>
        <w:spacing w:before="120" w:after="0"/>
      </w:pPr>
      <w:r>
        <w:t xml:space="preserve"/>
      </w:r>
    </w:p>
    <w:p>
      <w:pPr>
        <w:pStyle w:val="Heading2"/>
        <w:spacing w:before="260" w:after="80"/>
      </w:pPr>
      <w:r>
        <w:rPr>
          <w:rFonts w:ascii="Arial" w:cs="Arial" w:eastAsia="Arial" w:hAnsi="Arial"/>
          <w:b/>
          <w:bCs/>
          <w:color w:val="2E75B6"/>
          <w:sz w:val="26"/>
          <w:szCs w:val="26"/>
        </w:rPr>
        <w:t xml:space="preserve">8.1  Diagram Key</w:t>
      </w:r>
    </w:p>
    <w:p>
      <w:pPr>
        <w:pStyle w:val="ListParagraph"/>
        <w:numPr>
          <w:ilvl w:val="0"/>
          <w:numId w:val="2"/>
        </w:numPr>
        <w:spacing w:before="40" w:after="40"/>
      </w:pPr>
      <w:r>
        <w:rPr>
          <w:rFonts w:ascii="Arial" w:cs="Arial" w:eastAsia="Arial" w:hAnsi="Arial"/>
          <w:sz w:val="22"/>
          <w:szCs w:val="22"/>
        </w:rPr>
        <w:t xml:space="preserve">CPB = Client Profile Builder (maintains Φ_i across rounds)</w:t>
      </w:r>
    </w:p>
    <w:p>
      <w:pPr>
        <w:pStyle w:val="ListParagraph"/>
        <w:numPr>
          <w:ilvl w:val="0"/>
          <w:numId w:val="2"/>
        </w:numPr>
        <w:spacing w:before="40" w:after="40"/>
      </w:pPr>
      <w:r>
        <w:rPr>
          <w:rFonts w:ascii="Arial" w:cs="Arial" w:eastAsia="Arial" w:hAnsi="Arial"/>
          <w:sz w:val="22"/>
          <w:szCs w:val="22"/>
        </w:rPr>
        <w:t xml:space="preserve">ATS = Adaptive Trust Scorer (computes per-client threshold τ_i)</w:t>
      </w:r>
    </w:p>
    <w:p>
      <w:pPr>
        <w:pStyle w:val="ListParagraph"/>
        <w:numPr>
          <w:ilvl w:val="0"/>
          <w:numId w:val="2"/>
        </w:numPr>
        <w:spacing w:before="40" w:after="40"/>
      </w:pPr>
      <w:r>
        <w:rPr>
          <w:rFonts w:ascii="Arial" w:cs="Arial" w:eastAsia="Arial" w:hAnsi="Arial"/>
          <w:sz w:val="22"/>
          <w:szCs w:val="22"/>
        </w:rPr>
        <w:t xml:space="preserve">PGA = Profile-Gated Aggregator (weighted aggregation using τ_i)</w:t>
      </w:r>
    </w:p>
    <w:p>
      <w:pPr>
        <w:pStyle w:val="ListParagraph"/>
        <w:numPr>
          <w:ilvl w:val="0"/>
          <w:numId w:val="2"/>
        </w:numPr>
        <w:spacing w:before="40" w:after="40"/>
      </w:pPr>
      <w:r>
        <w:rPr>
          <w:rFonts w:ascii="Arial" w:cs="Arial" w:eastAsia="Arial" w:hAnsi="Arial"/>
          <w:sz w:val="22"/>
          <w:szCs w:val="22"/>
        </w:rPr>
        <w:t xml:space="preserve">LLAF = Lightweight Local Anomaly Filter (client-side, Tier A/B only)</w:t>
      </w:r>
    </w:p>
    <w:p>
      <w:pPr>
        <w:pStyle w:val="ListParagraph"/>
        <w:numPr>
          <w:ilvl w:val="0"/>
          <w:numId w:val="2"/>
        </w:numPr>
        <w:spacing w:before="40" w:after="40"/>
      </w:pPr>
      <w:r>
        <w:rPr>
          <w:rFonts w:ascii="Arial" w:cs="Arial" w:eastAsia="Arial" w:hAnsi="Arial"/>
          <w:sz w:val="22"/>
          <w:szCs w:val="22"/>
        </w:rPr>
        <w:t xml:space="preserve">SUSS signals S1–S9 are defined in full in Section 7</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pPr>
              <w:spacing w:before="0" w:after="40"/>
            </w:pPr>
            <w:r>
              <w:rPr>
                <w:rFonts w:ascii="Arial" w:cs="Arial" w:eastAsia="Arial" w:hAnsi="Arial"/>
                <w:b/>
                <w:bCs/>
                <w:color w:val="4A3000"/>
                <w:sz w:val="20"/>
                <w:szCs w:val="20"/>
              </w:rPr>
              <w:t xml:space="preserve">Read the diagram as:</w:t>
            </w:r>
          </w:p>
          <w:p>
            <w:pPr>
              <w:spacing w:before="0" w:after="0"/>
              <w:jc w:val="both"/>
            </w:pPr>
            <w:r>
              <w:rPr>
                <w:rFonts w:ascii="Arial" w:cs="Arial" w:eastAsia="Arial" w:hAnsi="Arial"/>
                <w:color w:val="4A3000"/>
                <w:sz w:val="20"/>
                <w:szCs w:val="20"/>
              </w:rPr>
              <w:t xml:space="preserve">Tier-C clients cannot self-filter (no LLAF). Their updates arrive at the server carrying only S1/S2 local detection. The server's CPB/ATS pipeline compensates by applying the full S3–S9 detection suite and using the history term H_i to catch NIMA (S8) that would fool any global-threshold method. This is the core architectural argument of the paper.</w:t>
            </w:r>
          </w:p>
        </w:tc>
      </w:tr>
    </w:tbl>
    <w:p>
      <w:pPr>
        <w:spacing w:before="160" w:after="0"/>
      </w:pPr>
      <w:r>
        <w:t xml:space="preserve"/>
      </w:r>
    </w:p>
    <w:p>
      <w:pPr>
        <w:pStyle w:val="Heading1"/>
        <w:pBdr>
          <w:bottom w:val="single" w:color="2E75B6" w:sz="6" w:space="4"/>
        </w:pBdr>
        <w:spacing w:before="360" w:after="120"/>
      </w:pPr>
      <w:r>
        <w:rPr>
          <w:rFonts w:ascii="Arial" w:cs="Arial" w:eastAsia="Arial" w:hAnsi="Arial"/>
          <w:b/>
          <w:bCs/>
          <w:color w:val="1F3864"/>
          <w:sz w:val="32"/>
          <w:szCs w:val="32"/>
        </w:rPr>
        <w:t xml:space="preserve">9.  Methodology Table (for Written Paper)</w:t>
      </w:r>
    </w:p>
    <w:p>
      <w:pPr>
        <w:spacing w:before="60" w:after="80"/>
        <w:jc w:val="both"/>
      </w:pPr>
      <w:r>
        <w:rPr>
          <w:rFonts w:ascii="Arial" w:cs="Arial" w:eastAsia="Arial" w:hAnsi="Arial"/>
          <w:sz w:val="22"/>
          <w:szCs w:val="22"/>
        </w:rPr>
        <w:t xml:space="preserve">This table is formatted for direct insertion into the methodology section of the TIFS submission. Each row maps to one system component, states the specific technique used, justifies the design choice relative to alternatives, and flags the novelty marker that makes it contribution-worthy. Reviewers in IEEE TIFS expect this level of methodological transparency.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2160"/>
        <w:gridCol w:w="2400"/>
        <w:gridCol w:w="2000"/>
      </w:tblGrid>
      <w:tr>
        <w:trPr>
          <w:tblHeader/>
        </w:trPr>
        <w:tc>
          <w:tcPr>
            <w:tcW w:type="dxa" w:w="13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Component</w:t>
            </w:r>
          </w:p>
        </w:tc>
        <w:tc>
          <w:tcPr>
            <w:tcW w:type="dxa" w:w="15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Methodology Category</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Specific Technique / Algorithm</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Justification for Choice</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Novelty Marker</w:t>
            </w:r>
          </w:p>
        </w:tc>
      </w:tr>
      <w:tr>
        <w:tc>
          <w:tcPr>
            <w:tcW w:type="dxa" w:w="13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Client Profile (CPB)</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Distributed Statistics Estimation</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Gradient direction statistics + local class frequency summaries (privacy-safe). Exponential Moving Average (EMA) for temporal smoothing.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EMA is lightweight enough for server-side storage at scale. Gradient statistics are already shared in FL — no additional privacy cost.</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375623"/>
                <w:sz w:val="18"/>
                <w:szCs w:val="18"/>
              </w:rPr>
              <w:t xml:space="preserve">First use of multi-round client profiling as a security primitive in FL.</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Data Dist. Estimation (D̂_i)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Non-parametric Distribution Approximation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Online moment estimation (mean, variance per class) from gradient update directions. No raw data shared.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Consistent with FL privacy constraints. Gradient-direction-based class inference has theoretical backing (Zhao et al., 2018).</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375623"/>
                <w:sz w:val="18"/>
                <w:szCs w:val="18"/>
              </w:rPr>
              <w:t xml:space="preserve">Applied to security (adversarial detection), not just convergence — novel purpose.</w:t>
            </w:r>
          </w:p>
        </w:tc>
      </w:tr>
      <w:tr>
        <w:tc>
          <w:tcPr>
            <w:tcW w:type="dxa" w:w="13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Trust Scoring (ATS)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Adaptive Anomaly Detection</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Profile-conditioned z-score on gradient deviation from expected non-IID band. History-regularised credibility prior.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Z-score is interpretable, theoretically grounded, and computationally trivial. History term prevents single-round spoofing.</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375623"/>
                <w:sz w:val="18"/>
                <w:szCs w:val="18"/>
              </w:rPr>
              <w:t xml:space="preserve">Client-specific threshold τ_i vs. global τ — the core distinguishing mechanism vs. Krum / FLTrust.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NIMA Detection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Adversarial Mimicry Detection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Dual-threshold check: update passes global band (τ_global) but fails client-specific band (τ_i). Triggers S8 SUSS flag.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Cannot be detected by any single-threshold method by construction. Requires the client profile.</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375623"/>
                <w:sz w:val="18"/>
                <w:szCs w:val="18"/>
              </w:rPr>
              <w:t xml:space="preserve">First formalisation of NIMA as an attack class; first detection mechanism.</w:t>
            </w:r>
          </w:p>
        </w:tc>
      </w:tr>
      <w:tr>
        <w:tc>
          <w:tcPr>
            <w:tcW w:type="dxa" w:w="13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Aggregation (PGA)</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Robust Weighted Averaging</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Trust-weighted FedAvg with hard exclusion gate at profile-conditioned floor τ_floor(R_i, D̂_i).</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Maintains differentiability/convergence properties of FedAvg. Trust weighting is standard; the floor conditioning on R_i and D̂_i is new.</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375623"/>
                <w:sz w:val="18"/>
                <w:szCs w:val="18"/>
              </w:rPr>
              <w:t xml:space="preserve">Resource-profile-conditioned exclusion floor — lowers FRR for Tier-C without global threshold relaxation.</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Client-side Filter (LLAF)</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Lightweight Self-Consistency Check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KL-divergence between current and rolling-average gradient direction. Triggers local retraining on threshold breach.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KL-divergence is computationally lightweight. Prevents obvious poisoning from reaching the server; reduces server-side overhead.</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375623"/>
                <w:sz w:val="18"/>
                <w:szCs w:val="18"/>
              </w:rPr>
              <w:t xml:space="preserve">Resource-budget-aware: only deployed on Tier A/B; Tier-C compensated by server escalation policy.</w:t>
            </w:r>
          </w:p>
        </w:tc>
      </w:tr>
      <w:tr>
        <w:tc>
          <w:tcPr>
            <w:tcW w:type="dxa" w:w="13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Convergence Theory</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Non-Convex FL Optimisation Analysis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Extension of FedProx convergence framework to include Byzantine fraction η and non-IID heterogeneity measure Γ simultaneously.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FedProx bounds are well-accepted. Extension to cover adversarial fraction under non-IID is the missing theoretical piece in this field.</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375623"/>
                <w:sz w:val="18"/>
                <w:szCs w:val="18"/>
              </w:rPr>
              <w:t xml:space="preserve">First bound that jointly captures non-IID heterogeneity AND adversarial corruption in IoT FL.</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Evaluation Protocol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Multi-Dataset Cross-Validation + Ablation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CIC-IoT2023 (primary), TON_IoT (cross-dataset), Edge-IIoTset (resource), BoT-IoT (imbalance). 8-step experimental protocol with 2 ablation variants.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Multi-dataset evaluation is mandatory for TIFS. Ablations isolate each claimed contribution.</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375623"/>
                <w:sz w:val="18"/>
                <w:szCs w:val="18"/>
              </w:rPr>
              <w:t xml:space="preserve">Ablation variants CA-FedDef-NP and CA-FedDef-NH isolate CPB and H_i contributions individually.</w:t>
            </w:r>
          </w:p>
        </w:tc>
      </w:tr>
    </w:tbl>
    <w:p>
      <w:pPr>
        <w:spacing w:before="120" w:after="0"/>
      </w:pPr>
      <w:r>
        <w:t xml:space="preserve"/>
      </w:r>
    </w:p>
    <w:p>
      <w:pPr>
        <w:pStyle w:val="Heading2"/>
        <w:spacing w:before="260" w:after="80"/>
      </w:pPr>
      <w:r>
        <w:rPr>
          <w:rFonts w:ascii="Arial" w:cs="Arial" w:eastAsia="Arial" w:hAnsi="Arial"/>
          <w:b/>
          <w:bCs/>
          <w:color w:val="2E75B6"/>
          <w:sz w:val="26"/>
          <w:szCs w:val="26"/>
        </w:rPr>
        <w:t xml:space="preserve">9.1  Writing Guide for the Methodology Section</w:t>
      </w:r>
    </w:p>
    <w:p>
      <w:pPr>
        <w:spacing w:before="60" w:after="80"/>
        <w:jc w:val="both"/>
      </w:pPr>
      <w:r>
        <w:rPr>
          <w:rFonts w:ascii="Arial" w:cs="Arial" w:eastAsia="Arial" w:hAnsi="Arial"/>
          <w:sz w:val="22"/>
          <w:szCs w:val="22"/>
        </w:rPr>
        <w:t xml:space="preserve">When translating this table into prose, follow this structure for each component:</w:t>
      </w:r>
    </w:p>
    <w:p>
      <w:pPr>
        <w:pStyle w:val="ListParagraph"/>
        <w:numPr>
          <w:ilvl w:val="0"/>
          <w:numId w:val="2"/>
        </w:numPr>
        <w:spacing w:before="40" w:after="40"/>
      </w:pPr>
      <w:r>
        <w:rPr>
          <w:rFonts w:ascii="Arial" w:cs="Arial" w:eastAsia="Arial" w:hAnsi="Arial"/>
          <w:sz w:val="22"/>
          <w:szCs w:val="22"/>
        </w:rPr>
        <w:t xml:space="preserve">Opening sentence: State what the component does and which paper section it maps to.</w:t>
      </w:r>
    </w:p>
    <w:p>
      <w:pPr>
        <w:pStyle w:val="ListParagraph"/>
        <w:numPr>
          <w:ilvl w:val="0"/>
          <w:numId w:val="2"/>
        </w:numPr>
        <w:spacing w:before="40" w:after="40"/>
      </w:pPr>
      <w:r>
        <w:rPr>
          <w:rFonts w:ascii="Arial" w:cs="Arial" w:eastAsia="Arial" w:hAnsi="Arial"/>
          <w:sz w:val="22"/>
          <w:szCs w:val="22"/>
        </w:rPr>
        <w:t xml:space="preserve">Design sentence: State the specific technique from column 3 and cite the foundational work it builds on.</w:t>
      </w:r>
    </w:p>
    <w:p>
      <w:pPr>
        <w:pStyle w:val="ListParagraph"/>
        <w:numPr>
          <w:ilvl w:val="0"/>
          <w:numId w:val="2"/>
        </w:numPr>
        <w:spacing w:before="40" w:after="40"/>
      </w:pPr>
      <w:r>
        <w:rPr>
          <w:rFonts w:ascii="Arial" w:cs="Arial" w:eastAsia="Arial" w:hAnsi="Arial"/>
          <w:sz w:val="22"/>
          <w:szCs w:val="22"/>
        </w:rPr>
        <w:t xml:space="preserve">Justification sentence: Explain why alternatives (e.g., Krum, FLTrust) were insufficient and what gap this technique fills.</w:t>
      </w:r>
    </w:p>
    <w:p>
      <w:pPr>
        <w:pStyle w:val="ListParagraph"/>
        <w:numPr>
          <w:ilvl w:val="0"/>
          <w:numId w:val="2"/>
        </w:numPr>
        <w:spacing w:before="40" w:after="40"/>
      </w:pPr>
      <w:r>
        <w:rPr>
          <w:rFonts w:ascii="Arial" w:cs="Arial" w:eastAsia="Arial" w:hAnsi="Arial"/>
          <w:sz w:val="22"/>
          <w:szCs w:val="22"/>
        </w:rPr>
        <w:t xml:space="preserve">Novelty sentence: State explicitly what is new in this technique relative to prior art. This is the sentence that makes or breaks a TIFS review.</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pPr>
              <w:spacing w:before="0" w:after="40"/>
            </w:pPr>
            <w:r>
              <w:rPr>
                <w:rFonts w:ascii="Arial" w:cs="Arial" w:eastAsia="Arial" w:hAnsi="Arial"/>
                <w:b/>
                <w:bCs/>
                <w:color w:val="4A3000"/>
                <w:sz w:val="20"/>
                <w:szCs w:val="20"/>
              </w:rPr>
              <w:t xml:space="preserve">TIFS Writing Tip:</w:t>
            </w:r>
          </w:p>
          <w:p>
            <w:pPr>
              <w:spacing w:before="0" w:after="0"/>
              <w:jc w:val="both"/>
            </w:pPr>
            <w:r>
              <w:rPr>
                <w:rFonts w:ascii="Arial" w:cs="Arial" w:eastAsia="Arial" w:hAnsi="Arial"/>
                <w:color w:val="4A3000"/>
                <w:sz w:val="20"/>
                <w:szCs w:val="20"/>
              </w:rPr>
              <w:t xml:space="preserve">IEEE TIFS reviewers are not IoT specialists — they are security and information theory researchers. Every component in the methodology table must be framed in terms of its security property (what attack it defeats or what false-alarm it prevents), not just its ML performance benefit. The NIMA Detection row (S8) and the CPB are your two strongest TIFS-facing arguments and should each receive at least one full paragraph.</w:t>
            </w:r>
          </w:p>
        </w:tc>
      </w:tr>
    </w:tbl>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80"/>
    </w:pPr>
    <w:r>
      <w:rPr>
        <w:rFonts w:ascii="Arial" w:cs="Arial" w:eastAsia="Arial" w:hAnsi="Arial"/>
        <w:color w:val="777777"/>
        <w:sz w:val="18"/>
        <w:szCs w:val="18"/>
      </w:rPr>
      <w:t xml:space="preserve">CA-FedDef — Experimental Design &amp; Methodology | TIFS Working Draft v1.0</w:t>
    </w:r>
    <w:r>
      <w:rPr>
        <w:rFonts w:ascii="Arial" w:cs="Arial" w:eastAsia="Arial" w:hAnsi="Arial"/>
        <w:color w:val="777777"/>
        <w:sz w:val="18"/>
        <w:szCs w:val="18"/>
      </w:rPr>
      <w:t xml:space="preserve">	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2026-03-10T18:31:34.284Z</dcterms:created>
  <dcterms:modified xsi:type="dcterms:W3CDTF">2026-03-10T18:31:34.285Z</dcterms:modified>
</cp:coreProperties>
</file>

<file path=docProps/custom.xml><?xml version="1.0" encoding="utf-8"?>
<Properties xmlns="http://schemas.openxmlformats.org/officeDocument/2006/custom-properties" xmlns:vt="http://schemas.openxmlformats.org/officeDocument/2006/docPropsVTypes"/>
</file>