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C524" w14:textId="556627E2" w:rsidR="003B7869" w:rsidRPr="003B7869" w:rsidRDefault="003B7869" w:rsidP="003B78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Summary of proposed documents.</w:t>
      </w:r>
    </w:p>
    <w:p w14:paraId="38243652" w14:textId="1BD285D4" w:rsidR="003B7869" w:rsidRPr="003B7869" w:rsidRDefault="003B7869" w:rsidP="003B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Gap 1: Client-Profile-Aware Defense is NOVEL</w:t>
      </w:r>
    </w:p>
    <w:p w14:paraId="407D23C8" w14:textId="77777777" w:rsid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exists:</w:t>
      </w: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 Global-threshold Byzantine defenses (Krum, FLTrust) </w:t>
      </w:r>
    </w:p>
    <w:p w14:paraId="6044A7C7" w14:textId="21F148A8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missing:</w:t>
      </w: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 Client-specific thresholds based on persistent profiles</w:t>
      </w:r>
    </w:p>
    <w:p w14:paraId="44E55BC7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from my research:</w:t>
      </w:r>
    </w:p>
    <w:p w14:paraId="2DFEBD02" w14:textId="77777777" w:rsidR="003B7869" w:rsidRPr="003B7869" w:rsidRDefault="003B7869" w:rsidP="003B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NO papers found on "client-profile builder" maintaining D̂_i across rounds for security</w:t>
      </w:r>
    </w:p>
    <w:p w14:paraId="20A5B5CB" w14:textId="77777777" w:rsidR="003B7869" w:rsidRPr="003B7869" w:rsidRDefault="003B7869" w:rsidP="003B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NO papers found on adaptive per-client thresholds τ_i based on data distribution</w:t>
      </w:r>
    </w:p>
    <w:p w14:paraId="103BEBD7" w14:textId="77777777" w:rsidR="003B7869" w:rsidRPr="003B7869" w:rsidRDefault="003B7869" w:rsidP="003B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Papers use either: </w:t>
      </w:r>
    </w:p>
    <w:p w14:paraId="65D34855" w14:textId="77777777" w:rsidR="003B7869" w:rsidRPr="003B7869" w:rsidRDefault="003B7869" w:rsidP="003B7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Global threshold (one τ for all clients), OR</w:t>
      </w:r>
    </w:p>
    <w:p w14:paraId="758ACBAD" w14:textId="77777777" w:rsidR="003B7869" w:rsidRPr="003B7869" w:rsidRDefault="003B7869" w:rsidP="003B7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Personalized layers (FedPer) for accuracy, NOT security</w:t>
      </w:r>
    </w:p>
    <w:p w14:paraId="68B4B424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CA-FedDef contribution:</w:t>
      </w:r>
    </w:p>
    <w:p w14:paraId="776FB280" w14:textId="77777777" w:rsidR="003B7869" w:rsidRPr="003B7869" w:rsidRDefault="003B7869" w:rsidP="003B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Client Profile Builder (CPB) maintaining Φ_i = (D̂_i, R_i, G_i, H_i)</w:t>
      </w:r>
    </w:p>
    <w:p w14:paraId="131FC825" w14:textId="77777777" w:rsidR="003B7869" w:rsidRPr="003B7869" w:rsidRDefault="003B7869" w:rsidP="003B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Adaptive Trust Scoring (ATS) with client-specific τ_i</w:t>
      </w:r>
    </w:p>
    <w:p w14:paraId="454DFFA5" w14:textId="77777777" w:rsidR="003B7869" w:rsidRPr="003B7869" w:rsidRDefault="003B7869" w:rsidP="003B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Profile-Gated Aggregator (PGA)</w:t>
      </w:r>
    </w:p>
    <w:p w14:paraId="5C552C5D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genuinely novel.</w:t>
      </w: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 No 2024-2025 paper does this.</w:t>
      </w:r>
    </w:p>
    <w:p w14:paraId="4A93DA4E" w14:textId="77777777" w:rsidR="003B7869" w:rsidRPr="003B7869" w:rsidRDefault="00105EA2" w:rsidP="003B78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A2">
        <w:rPr>
          <w:rFonts w:ascii="Times New Roman" w:eastAsia="Times New Roman" w:hAnsi="Times New Roman" w:cs="Times New Roman"/>
          <w:noProof/>
          <w:kern w:val="0"/>
        </w:rPr>
        <w:pict w14:anchorId="569E92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2AB91B" w14:textId="77777777" w:rsidR="003B7869" w:rsidRPr="003B7869" w:rsidRDefault="003B7869" w:rsidP="003B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Gap 2: NIMA Attack is NOVEL</w:t>
      </w:r>
    </w:p>
    <w:p w14:paraId="730C0152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exists:</w:t>
      </w:r>
    </w:p>
    <w:p w14:paraId="2E9B8FB1" w14:textId="77777777" w:rsidR="003B7869" w:rsidRPr="003B7869" w:rsidRDefault="003B7869" w:rsidP="003B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Standard model poisoning</w:t>
      </w:r>
    </w:p>
    <w:p w14:paraId="20E4382B" w14:textId="77777777" w:rsidR="003B7869" w:rsidRPr="003B7869" w:rsidRDefault="003B7869" w:rsidP="003B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Label flipping</w:t>
      </w:r>
    </w:p>
    <w:p w14:paraId="6E4B8C4E" w14:textId="77777777" w:rsidR="003B7869" w:rsidRPr="003B7869" w:rsidRDefault="003B7869" w:rsidP="003B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Backdoor attacks</w:t>
      </w:r>
    </w:p>
    <w:p w14:paraId="63527F80" w14:textId="77777777" w:rsidR="003B7869" w:rsidRPr="003B7869" w:rsidRDefault="003B7869" w:rsidP="003B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Generic adversarial examples (FGSM/PGD)</w:t>
      </w:r>
    </w:p>
    <w:p w14:paraId="6EF23261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missing:</w:t>
      </w: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 Attack specifically designed to exploit global-threshold defenses by mimicking non-IID divergence</w:t>
      </w:r>
    </w:p>
    <w:p w14:paraId="5C83AE1F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NIMA definition:</w:t>
      </w:r>
    </w:p>
    <w:p w14:paraId="42BBB0E8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Update passes global benign band (τ_global) but fails client-specific band (τ_i)</w:t>
      </w:r>
    </w:p>
    <w:p w14:paraId="357E7F5C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new.</w:t>
      </w: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 I found ZERO papers defining this attack class.</w:t>
      </w:r>
    </w:p>
    <w:p w14:paraId="50E8C669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</w:p>
    <w:p w14:paraId="0D1089C2" w14:textId="77777777" w:rsidR="003B7869" w:rsidRPr="003B7869" w:rsidRDefault="003B7869" w:rsidP="003B7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Krum/FLTrust use global statistics</w:t>
      </w:r>
    </w:p>
    <w:p w14:paraId="4E818243" w14:textId="77777777" w:rsidR="003B7869" w:rsidRPr="003B7869" w:rsidRDefault="003B7869" w:rsidP="003B7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Non-IID clients naturally look anomalous globally</w:t>
      </w:r>
    </w:p>
    <w:p w14:paraId="596F1350" w14:textId="77777777" w:rsidR="003B7869" w:rsidRPr="003B7869" w:rsidRDefault="003B7869" w:rsidP="003B7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Attacker crafts update that looks "normal-for-non-IID" globally but malicious for that specific client's profile</w:t>
      </w:r>
    </w:p>
    <w:p w14:paraId="1544CF23" w14:textId="77777777" w:rsidR="003B7869" w:rsidRPr="003B7869" w:rsidRDefault="00105EA2" w:rsidP="003B78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A2">
        <w:rPr>
          <w:rFonts w:ascii="Times New Roman" w:eastAsia="Times New Roman" w:hAnsi="Times New Roman" w:cs="Times New Roman"/>
          <w:noProof/>
          <w:kern w:val="0"/>
        </w:rPr>
        <w:pict w14:anchorId="447179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CB3AD9" w14:textId="77777777" w:rsidR="003B7869" w:rsidRPr="003B7869" w:rsidRDefault="003B7869" w:rsidP="003B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Gap 3: Tier-Specific Defense Compensation</w:t>
      </w:r>
    </w:p>
    <w:p w14:paraId="1995C69E" w14:textId="77777777" w:rsid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exists:</w:t>
      </w: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 Resource-aware model selection (lightweight CNNs for IoT) </w:t>
      </w:r>
    </w:p>
    <w:p w14:paraId="0E9D551A" w14:textId="2BB9FFC4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missing:</w:t>
      </w:r>
      <w:r w:rsidRPr="003B7869">
        <w:rPr>
          <w:rFonts w:ascii="Times New Roman" w:eastAsia="Times New Roman" w:hAnsi="Times New Roman" w:cs="Times New Roman"/>
          <w:kern w:val="0"/>
          <w14:ligatures w14:val="none"/>
        </w:rPr>
        <w:t xml:space="preserve"> Security defense that compensates for resource tiers</w:t>
      </w:r>
    </w:p>
    <w:p w14:paraId="44D677C0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contribution:</w:t>
      </w:r>
    </w:p>
    <w:p w14:paraId="72BCC827" w14:textId="77777777" w:rsidR="003B7869" w:rsidRPr="003B7869" w:rsidRDefault="003B7869" w:rsidP="003B7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Tier-C clients can't run LLAF (Lightweight Local Anomaly Filter)</w:t>
      </w:r>
    </w:p>
    <w:p w14:paraId="4F578457" w14:textId="77777777" w:rsidR="003B7869" w:rsidRPr="003B7869" w:rsidRDefault="003B7869" w:rsidP="003B7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Server compensates with higher H_i weight + escalation policy</w:t>
      </w:r>
    </w:p>
    <w:p w14:paraId="6B7CE754" w14:textId="77777777" w:rsidR="003B7869" w:rsidRPr="003B7869" w:rsidRDefault="003B7869" w:rsidP="003B7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Architecture explicitly states which SUSS signals are detectable where</w:t>
      </w:r>
    </w:p>
    <w:p w14:paraId="31C366AC" w14:textId="77777777" w:rsid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architectural tradeoff is novel.</w:t>
      </w:r>
    </w:p>
    <w:p w14:paraId="5FCE2C98" w14:textId="4BC04F96" w:rsidR="003B7869" w:rsidRPr="003B7869" w:rsidRDefault="003B7869" w:rsidP="003B7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8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</w:t>
      </w:r>
      <w:r w:rsidRPr="003B78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Documents Propose:</w:t>
      </w:r>
    </w:p>
    <w:p w14:paraId="03919B57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4 datasets (CIC-IoT2023, TON_IoT, Edge-IIoTset, BoT-IoT)</w:t>
      </w:r>
    </w:p>
    <w:p w14:paraId="0400FD19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8 experimental steps (E1-E8)</w:t>
      </w:r>
    </w:p>
    <w:p w14:paraId="34FA6D2B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9 SUSS signals with formal detection</w:t>
      </w:r>
    </w:p>
    <w:p w14:paraId="063AD03C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3-tier resource model</w:t>
      </w:r>
    </w:p>
    <w:p w14:paraId="19533776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Novel attack (NIMA) definition + implementation</w:t>
      </w:r>
    </w:p>
    <w:p w14:paraId="28835D0C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Convergence proofs + theoretical guarantees</w:t>
      </w:r>
    </w:p>
    <w:p w14:paraId="52954B28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Ablation studies (CA-FedDef-NP, CA-FedDef-NH)</w:t>
      </w:r>
    </w:p>
    <w:p w14:paraId="44712768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Cross-dataset generalization</w:t>
      </w:r>
    </w:p>
    <w:p w14:paraId="44018D82" w14:textId="77777777" w:rsidR="003B7869" w:rsidRPr="003B7869" w:rsidRDefault="003B7869" w:rsidP="003B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69">
        <w:rPr>
          <w:rFonts w:ascii="Times New Roman" w:eastAsia="Times New Roman" w:hAnsi="Times New Roman" w:cs="Times New Roman"/>
          <w:kern w:val="0"/>
          <w14:ligatures w14:val="none"/>
        </w:rPr>
        <w:t>Target: IEEE TIFS (Q1 journal)</w:t>
      </w:r>
    </w:p>
    <w:p w14:paraId="4BC61698" w14:textId="77777777" w:rsidR="003B7869" w:rsidRPr="003B7869" w:rsidRDefault="003B7869" w:rsidP="003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D9F85" w14:textId="77777777" w:rsidR="00412519" w:rsidRDefault="00412519"/>
    <w:sectPr w:rsidR="0041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339C"/>
    <w:multiLevelType w:val="multilevel"/>
    <w:tmpl w:val="6BB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7303"/>
    <w:multiLevelType w:val="multilevel"/>
    <w:tmpl w:val="18D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22A99"/>
    <w:multiLevelType w:val="multilevel"/>
    <w:tmpl w:val="F7E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E3A04"/>
    <w:multiLevelType w:val="multilevel"/>
    <w:tmpl w:val="F93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76F32"/>
    <w:multiLevelType w:val="multilevel"/>
    <w:tmpl w:val="565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91964"/>
    <w:multiLevelType w:val="multilevel"/>
    <w:tmpl w:val="8C5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468648">
    <w:abstractNumId w:val="5"/>
  </w:num>
  <w:num w:numId="2" w16cid:durableId="12146777">
    <w:abstractNumId w:val="4"/>
  </w:num>
  <w:num w:numId="3" w16cid:durableId="1705130304">
    <w:abstractNumId w:val="2"/>
  </w:num>
  <w:num w:numId="4" w16cid:durableId="786118019">
    <w:abstractNumId w:val="1"/>
  </w:num>
  <w:num w:numId="5" w16cid:durableId="1183860537">
    <w:abstractNumId w:val="0"/>
  </w:num>
  <w:num w:numId="6" w16cid:durableId="487550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69"/>
    <w:rsid w:val="00105EA2"/>
    <w:rsid w:val="003B7869"/>
    <w:rsid w:val="00412519"/>
    <w:rsid w:val="00587D32"/>
    <w:rsid w:val="008855A1"/>
    <w:rsid w:val="0093538A"/>
    <w:rsid w:val="0095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CE21"/>
  <w15:chartTrackingRefBased/>
  <w15:docId w15:val="{56563CB9-D08B-5948-89DE-C6038A19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7869"/>
    <w:rPr>
      <w:b/>
      <w:bCs/>
    </w:rPr>
  </w:style>
  <w:style w:type="paragraph" w:customStyle="1" w:styleId="font-claude-response-body">
    <w:name w:val="font-claude-response-body"/>
    <w:basedOn w:val="Normal"/>
    <w:rsid w:val="003B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3B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304</Words>
  <Characters>1910</Characters>
  <Application>Microsoft Office Word</Application>
  <DocSecurity>0</DocSecurity>
  <Lines>37</Lines>
  <Paragraphs>21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Dwivedi</dc:creator>
  <cp:keywords/>
  <dc:description/>
  <cp:lastModifiedBy>Satyam Dwivedi</cp:lastModifiedBy>
  <cp:revision>1</cp:revision>
  <dcterms:created xsi:type="dcterms:W3CDTF">2026-03-17T18:08:00Z</dcterms:created>
  <dcterms:modified xsi:type="dcterms:W3CDTF">2026-03-17T18:11:00Z</dcterms:modified>
</cp:coreProperties>
</file>