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OISI Community Engagement Metrics v3</w:t>
      </w:r>
    </w:p>
    <w:p>
      <w:pPr>
        <w:pStyle w:val="Subtitle"/>
      </w:pPr>
      <w:r>
        <w:t xml:space="preserve">Metrics Structure, Calculation Logic, and Justification</w:t>
      </w:r>
    </w:p>
    <w:p>
      <w:r>
        <w:t xml:space="preserve">This document explains the revised Community Engagement scoring structure used in OISI_Community_Engagement_v3_multi_sheet.xlsx. It describes why each metric is included, how each metric is calculated, why the percentage weight is assigned, and how the metric affects the final result.</w:t>
      </w:r>
    </w:p>
    <w:p>
      <w:pPr>
        <w:pStyle w:val="Heading1"/>
      </w:pPr>
      <w:r>
        <w:t xml:space="preserve">1. Executive Summary</w:t>
      </w:r>
    </w:p>
    <w:p>
      <w:r>
        <w:t xml:space="preserve">The v3 framework measures community engagement as a practical capacity: whether an infrastructure has visible engagement mechanisms, meaningful participation activities, clear contribution routes, usable contribution guidance, open contribution infrastructure, and community safety norms. The framework removes Community Governance as a scored metric because governance belongs more naturally in a separate governance component and because including it here would double-count participation/governance evidence already represented through contribution opportunities.</w:t>
      </w:r>
    </w:p>
    <w:p>
      <w:pPr>
        <w:numPr>
          <w:ilvl w:val="0"/>
          <w:numId w:val="1"/>
        </w:numPr>
      </w:pPr>
      <w:r>
        <w:t xml:space="preserve">Fields 048 and 049 are excluded from scoring and from the v3 workbook structure.</w:t>
      </w:r>
    </w:p>
    <w:p>
      <w:pPr>
        <w:numPr>
          <w:ilvl w:val="0"/>
          <w:numId w:val="1"/>
        </w:numPr>
      </w:pPr>
      <w:r>
        <w:t xml:space="preserve">Field 039 is retained only as a consistency flag because the source data contains many Unknown values.</w:t>
      </w:r>
    </w:p>
    <w:p>
      <w:pPr>
        <w:numPr>
          <w:ilvl w:val="0"/>
          <w:numId w:val="1"/>
        </w:numPr>
      </w:pPr>
      <w:r>
        <w:t xml:space="preserve">Fields 938 and 940 supplement the structured checklist fields 038 and 040, so free-text evidence is not ignored.</w:t>
      </w:r>
    </w:p>
    <w:p>
      <w:pPr>
        <w:numPr>
          <w:ilvl w:val="0"/>
          <w:numId w:val="1"/>
        </w:numPr>
      </w:pPr>
      <w:r>
        <w:t xml:space="preserve">The score uses a weighted average over available metrics, but only reports a score when at least 60% of metric weight and all three sub-components are represented.</w:t>
      </w:r>
    </w:p>
    <w:p>
      <w:pPr>
        <w:pStyle w:val="Heading1"/>
      </w:pPr>
      <w:r>
        <w:t xml:space="preserve">2. Final Metric Structure</w:t>
      </w:r>
    </w:p>
    <w:tbl>
      <w:tblPr>
        <w:tblStyle w:val="TableGrid"/>
        <w:tblW w:w="0" w:type="auto"/>
      </w:tblPr>
      <w:tr>
        <w:tc>
          <w:tcPr>
            <w:tcW w:w="2400" w:type="dxa"/>
          </w:tcPr>
          <w:p>
            <w:r>
              <w:t xml:space="preserve">Code</w:t>
            </w:r>
          </w:p>
        </w:tc>
        <w:tc>
          <w:tcPr>
            <w:tcW w:w="2400" w:type="dxa"/>
          </w:tcPr>
          <w:p>
            <w:r>
              <w:t xml:space="preserve">Metric</w:t>
            </w:r>
          </w:p>
        </w:tc>
        <w:tc>
          <w:tcPr>
            <w:tcW w:w="2400" w:type="dxa"/>
          </w:tcPr>
          <w:p>
            <w:r>
              <w:t xml:space="preserve">Fields used</w:t>
            </w:r>
          </w:p>
        </w:tc>
        <w:tc>
          <w:tcPr>
            <w:tcW w:w="2400" w:type="dxa"/>
          </w:tcPr>
          <w:p>
            <w:r>
              <w:t xml:space="preserve">Weight</w:t>
            </w:r>
          </w:p>
        </w:tc>
        <w:tc>
          <w:tcPr>
            <w:tcW w:w="2400" w:type="dxa"/>
          </w:tcPr>
          <w:p>
            <w:r>
              <w:t xml:space="preserve">Role in score</w:t>
            </w:r>
          </w:p>
        </w:tc>
      </w:tr>
      <w:tr>
        <w:tc>
          <w:tcPr>
            <w:tcW w:w="2400" w:type="dxa"/>
          </w:tcPr>
          <w:p>
            <w:r>
              <w:t xml:space="preserve">E1</w:t>
            </w:r>
          </w:p>
        </w:tc>
        <w:tc>
          <w:tcPr>
            <w:tcW w:w="2400" w:type="dxa"/>
          </w:tcPr>
          <w:p>
            <w:r>
              <w:t xml:space="preserve">Engagement availability</w:t>
            </w:r>
          </w:p>
        </w:tc>
        <w:tc>
          <w:tcPr>
            <w:tcW w:w="2400" w:type="dxa"/>
          </w:tcPr>
          <w:p>
            <w:r>
              <w:t xml:space="preserve">037</w:t>
            </w:r>
          </w:p>
        </w:tc>
        <w:tc>
          <w:tcPr>
            <w:tcW w:w="2400" w:type="dxa"/>
          </w:tcPr>
          <w:p>
            <w:r>
              <w:t xml:space="preserve">10%</w:t>
            </w:r>
          </w:p>
        </w:tc>
        <w:tc>
          <w:tcPr>
            <w:tcW w:w="2400" w:type="dxa"/>
          </w:tcPr>
          <w:p>
            <w:r>
              <w:t xml:space="preserve">Checks whether a community engagement mechanism exists.</w:t>
            </w:r>
          </w:p>
        </w:tc>
      </w:tr>
      <w:tr>
        <w:tc>
          <w:tcPr>
            <w:tcW w:w="2400" w:type="dxa"/>
          </w:tcPr>
          <w:p>
            <w:r>
              <w:t xml:space="preserve">E2</w:t>
            </w:r>
          </w:p>
        </w:tc>
        <w:tc>
          <w:tcPr>
            <w:tcW w:w="2400" w:type="dxa"/>
          </w:tcPr>
          <w:p>
            <w:r>
              <w:t xml:space="preserve">Engagement activity breadth</w:t>
            </w:r>
          </w:p>
        </w:tc>
        <w:tc>
          <w:tcPr>
            <w:tcW w:w="2400" w:type="dxa"/>
          </w:tcPr>
          <w:p>
            <w:r>
              <w:t xml:space="preserve">038 + 938</w:t>
            </w:r>
          </w:p>
        </w:tc>
        <w:tc>
          <w:tcPr>
            <w:tcW w:w="2400" w:type="dxa"/>
          </w:tcPr>
          <w:p>
            <w:r>
              <w:t xml:space="preserve">25%</w:t>
            </w:r>
          </w:p>
        </w:tc>
        <w:tc>
          <w:tcPr>
            <w:tcW w:w="2400" w:type="dxa"/>
          </w:tcPr>
          <w:p>
            <w:r>
              <w:t xml:space="preserve">Measures the range of engagement activities offered.</w:t>
            </w:r>
          </w:p>
        </w:tc>
      </w:tr>
      <w:tr>
        <w:tc>
          <w:tcPr>
            <w:tcW w:w="2400" w:type="dxa"/>
          </w:tcPr>
          <w:p>
            <w:r>
              <w:t xml:space="preserve">E3</w:t>
            </w:r>
          </w:p>
        </w:tc>
        <w:tc>
          <w:tcPr>
            <w:tcW w:w="2400" w:type="dxa"/>
          </w:tcPr>
          <w:p>
            <w:r>
              <w:t xml:space="preserve">Engagement evidence strength</w:t>
            </w:r>
          </w:p>
        </w:tc>
        <w:tc>
          <w:tcPr>
            <w:tcW w:w="2400" w:type="dxa"/>
          </w:tcPr>
          <w:p>
            <w:r>
              <w:t xml:space="preserve">116 + 938</w:t>
            </w:r>
          </w:p>
        </w:tc>
        <w:tc>
          <w:tcPr>
            <w:tcW w:w="2400" w:type="dxa"/>
          </w:tcPr>
          <w:p>
            <w:r>
              <w:t xml:space="preserve">5%</w:t>
            </w:r>
          </w:p>
        </w:tc>
        <w:tc>
          <w:tcPr>
            <w:tcW w:w="2400" w:type="dxa"/>
          </w:tcPr>
          <w:p>
            <w:r>
              <w:t xml:space="preserve">Rewards visible evidence for the engagement claim.</w:t>
            </w:r>
          </w:p>
        </w:tc>
      </w:tr>
      <w:tr>
        <w:tc>
          <w:tcPr>
            <w:tcW w:w="2400" w:type="dxa"/>
          </w:tcPr>
          <w:p>
            <w:r>
              <w:t xml:space="preserve">C1</w:t>
            </w:r>
          </w:p>
        </w:tc>
        <w:tc>
          <w:tcPr>
            <w:tcW w:w="2400" w:type="dxa"/>
          </w:tcPr>
          <w:p>
            <w:r>
              <w:t xml:space="preserve">Contribution opportunity breadth</w:t>
            </w:r>
          </w:p>
        </w:tc>
        <w:tc>
          <w:tcPr>
            <w:tcW w:w="2400" w:type="dxa"/>
          </w:tcPr>
          <w:p>
            <w:r>
              <w:t xml:space="preserve">040 + 940</w:t>
            </w:r>
          </w:p>
        </w:tc>
        <w:tc>
          <w:tcPr>
            <w:tcW w:w="2400" w:type="dxa"/>
          </w:tcPr>
          <w:p>
            <w:r>
              <w:t xml:space="preserve">25%</w:t>
            </w:r>
          </w:p>
        </w:tc>
        <w:tc>
          <w:tcPr>
            <w:tcW w:w="2400" w:type="dxa"/>
          </w:tcPr>
          <w:p>
            <w:r>
              <w:t xml:space="preserve">Measures the range of ways outsiders can contribute.</w:t>
            </w:r>
          </w:p>
        </w:tc>
      </w:tr>
      <w:tr>
        <w:tc>
          <w:tcPr>
            <w:tcW w:w="2400" w:type="dxa"/>
          </w:tcPr>
          <w:p>
            <w:r>
              <w:t xml:space="preserve">C2</w:t>
            </w:r>
          </w:p>
        </w:tc>
        <w:tc>
          <w:tcPr>
            <w:tcW w:w="2400" w:type="dxa"/>
          </w:tcPr>
          <w:p>
            <w:r>
              <w:t xml:space="preserve">Contribution guidance</w:t>
            </w:r>
          </w:p>
        </w:tc>
        <w:tc>
          <w:tcPr>
            <w:tcW w:w="2400" w:type="dxa"/>
          </w:tcPr>
          <w:p>
            <w:r>
              <w:t xml:space="preserve">041</w:t>
            </w:r>
          </w:p>
        </w:tc>
        <w:tc>
          <w:tcPr>
            <w:tcW w:w="2400" w:type="dxa"/>
          </w:tcPr>
          <w:p>
            <w:r>
              <w:t xml:space="preserve">15%</w:t>
            </w:r>
          </w:p>
        </w:tc>
        <w:tc>
          <w:tcPr>
            <w:tcW w:w="2400" w:type="dxa"/>
          </w:tcPr>
          <w:p>
            <w:r>
              <w:t xml:space="preserve">Checks whether contributors are given practical instructions.</w:t>
            </w:r>
          </w:p>
        </w:tc>
      </w:tr>
      <w:tr>
        <w:tc>
          <w:tcPr>
            <w:tcW w:w="2400" w:type="dxa"/>
          </w:tcPr>
          <w:p>
            <w:r>
              <w:t xml:space="preserve">C3</w:t>
            </w:r>
          </w:p>
        </w:tc>
        <w:tc>
          <w:tcPr>
            <w:tcW w:w="2400" w:type="dxa"/>
          </w:tcPr>
          <w:p>
            <w:r>
              <w:t xml:space="preserve">Open contribution infrastructure</w:t>
            </w:r>
          </w:p>
        </w:tc>
        <w:tc>
          <w:tcPr>
            <w:tcW w:w="2400" w:type="dxa"/>
          </w:tcPr>
          <w:p>
            <w:r>
              <w:t xml:space="preserve">019</w:t>
            </w:r>
          </w:p>
        </w:tc>
        <w:tc>
          <w:tcPr>
            <w:tcW w:w="2400" w:type="dxa"/>
          </w:tcPr>
          <w:p>
            <w:r>
              <w:t xml:space="preserve">5%</w:t>
            </w:r>
          </w:p>
        </w:tc>
        <w:tc>
          <w:tcPr>
            <w:tcW w:w="2400" w:type="dxa"/>
          </w:tcPr>
          <w:p>
            <w:r>
              <w:t xml:space="preserve">Checks whether open technical infrastructure exists for contribution.</w:t>
            </w:r>
          </w:p>
        </w:tc>
      </w:tr>
      <w:tr>
        <w:tc>
          <w:tcPr>
            <w:tcW w:w="2400" w:type="dxa"/>
          </w:tcPr>
          <w:p>
            <w:r>
              <w:t xml:space="preserve">N1</w:t>
            </w:r>
          </w:p>
        </w:tc>
        <w:tc>
          <w:tcPr>
            <w:tcW w:w="2400" w:type="dxa"/>
          </w:tcPr>
          <w:p>
            <w:r>
              <w:t xml:space="preserve">Community norms / Code of Conduct</w:t>
            </w:r>
          </w:p>
        </w:tc>
        <w:tc>
          <w:tcPr>
            <w:tcW w:w="2400" w:type="dxa"/>
          </w:tcPr>
          <w:p>
            <w:r>
              <w:t xml:space="preserve">042 + 043</w:t>
            </w:r>
          </w:p>
        </w:tc>
        <w:tc>
          <w:tcPr>
            <w:tcW w:w="2400" w:type="dxa"/>
          </w:tcPr>
          <w:p>
            <w:r>
              <w:t xml:space="preserve">15%</w:t>
            </w:r>
          </w:p>
        </w:tc>
        <w:tc>
          <w:tcPr>
            <w:tcW w:w="2400" w:type="dxa"/>
          </w:tcPr>
          <w:p>
            <w:r>
              <w:t xml:space="preserve">Measures safety and participation norms.</w:t>
            </w:r>
          </w:p>
        </w:tc>
      </w:tr>
    </w:tbl>
    <w:p>
      <w:pPr>
        <w:pStyle w:val="Heading1"/>
      </w:pPr>
      <w:r>
        <w:t xml:space="preserve">3. Calculation Formula</w:t>
      </w:r>
    </w:p>
    <w:p>
      <w:r>
        <w:t xml:space="preserve">Each metric is converted to a 0-1 score. The final Community Engagement score is calculated as:</w:t>
      </w:r>
      <w:r>
        <w:br/>
      </w:r>
      <w:r>
        <w:t xml:space="preserve">Community Engagement Score = 100 x sum(metric score x metric weight) / sum(scored metric weights).</w:t>
      </w:r>
    </w:p>
    <w:p>
      <w:r>
        <w:t xml:space="preserve">Missing values are not treated as zero. Unknown, blank, and Not applicable are excluded from both the numerator and denominator. This avoids unfairly penalizing infrastructures where the field is genuinely missing rather than verified absent.</w:t>
      </w:r>
    </w:p>
    <w:p>
      <w:r>
        <w:t xml:space="preserve">A service receives a reportable or provisional score only if scored metrics cover at least 60% of the total weight and include at least one scored metric in each of the three sub-components: Engagement &amp; Participation, Contribution Mechanisms, and Community Norms.</w:t>
      </w:r>
    </w:p>
    <w:p>
      <w:pPr>
        <w:pStyle w:val="Heading1"/>
      </w:pPr>
      <w:r>
        <w:t xml:space="preserve">4. Metric-by-Metric Justification</w:t>
      </w:r>
    </w:p>
    <w:p>
      <w:pPr>
        <w:pStyle w:val="Heading2"/>
      </w:pPr>
      <w:r>
        <w:t xml:space="preserve">E1. Engagement availability - 10%</w:t>
      </w:r>
    </w:p>
    <w:p>
      <w:r>
        <w:t xml:space="preserve">Role: E1 uses 037_community_engagement_status. It asks a simple foundation question: does the infrastructure claim to have an engagement mechanism at all?</w:t>
      </w:r>
    </w:p>
    <w:p>
      <w:r>
        <w:t xml:space="preserve">Why this percentage: The metric receives 10% because it is necessary but not sufficient. A project can say engagement exists while still offering few actual activities or unclear contribution routes. Therefore E1 is a gateway signal, not the dominant score driver.</w:t>
      </w:r>
    </w:p>
    <w:p>
      <w:r>
        <w:t xml:space="preserve">Calculation: Implemented/available = 1.00; In progress = 0.67; Considering = 0.33; Not planning = 0.00; Unknown/blank = NA.</w:t>
      </w:r>
    </w:p>
    <w:p>
      <w:r>
        <w:t xml:space="preserve">Example: For example, 2i2c receives full E1 credit because its engagement status is Implemented/available.</w:t>
      </w:r>
    </w:p>
    <w:p>
      <w:pPr>
        <w:pStyle w:val="Heading2"/>
      </w:pPr>
      <w:r>
        <w:t xml:space="preserve">E2. Engagement activity breadth - 25%</w:t>
      </w:r>
    </w:p>
    <w:p>
      <w:r>
        <w:t xml:space="preserve">Role: E2 uses the union of 038_community_engagement_activities and coded 938_community_engagement_activities_other. It measures the diversity of actual engagement channels: meetings, forums, advisory groups, user research, training, blogs, community calls, and similar activities.</w:t>
      </w:r>
    </w:p>
    <w:p>
      <w:r>
        <w:t xml:space="preserve">Why this percentage: This receives 25%, the largest single engagement-side weight, because breadth is stronger evidence than status alone. Community engagement is not only whether a project says engagement exists; it is whether the project offers multiple ways for different community members to interact.</w:t>
      </w:r>
    </w:p>
    <w:p>
      <w:r>
        <w:t xml:space="preserve">Calculation: The score is min(number of distinct activity categories, 8) / 8. The cap prevents very large activity lists from dominating the whole score while still rewarding breadth.</w:t>
      </w:r>
    </w:p>
    <w:p>
      <w:r>
        <w:t xml:space="preserve">Example: For 2i2c, 038 is blank but 938 contains useful evidence. The v3 scorer maps that free-text evidence to Community calls and Interest/user/advisory groups, so E2 is 2/8 = 0.25 instead of NA.</w:t>
      </w:r>
    </w:p>
    <w:p>
      <w:pPr>
        <w:pStyle w:val="Heading2"/>
      </w:pPr>
      <w:r>
        <w:t xml:space="preserve">E3. Engagement evidence strength - 5%</w:t>
      </w:r>
    </w:p>
    <w:p>
      <w:r>
        <w:t xml:space="preserve">Role: E3 uses 116_community_engagement_url and 938 free text. It checks whether the engagement claim has visible supporting evidence.</w:t>
      </w:r>
    </w:p>
    <w:p>
      <w:r>
        <w:t xml:space="preserve">Why this percentage: The weight is 5% because evidence is important for auditability, but it should not overpower the substantive activity and contribution metrics. It mainly reduces the risk of unverified self-reporting.</w:t>
      </w:r>
    </w:p>
    <w:p>
      <w:r>
        <w:t xml:space="preserve">Calculation: URL evidence = 1.00; free-text evidence without URL = 0.50; no evidence = NA.</w:t>
      </w:r>
    </w:p>
    <w:p>
      <w:r>
        <w:t xml:space="preserve">Example: For 2i2c, the engagement URL field includes several URLs, so E3 receives 1.00.</w:t>
      </w:r>
    </w:p>
    <w:p>
      <w:pPr>
        <w:pStyle w:val="Heading2"/>
      </w:pPr>
      <w:r>
        <w:t xml:space="preserve">C1. Contribution opportunity breadth - 25%</w:t>
      </w:r>
    </w:p>
    <w:p>
      <w:r>
        <w:t xml:space="preserve">Role: C1 uses 040_contribution_opportunities plus 940_contribution_opportunities_other. It measures how many different forms of contribution are available, such as code, documentation, training, funds, governance participation, working groups, or user testing.</w:t>
      </w:r>
    </w:p>
    <w:p>
      <w:r>
        <w:t xml:space="preserve">Why this percentage: This receives 25% because contribution opportunity is one of the clearest operational signs that a community can participate rather than only observe. It is weighted equally with E2 because engagement activities and contribution routes are the two core participation dimensions.</w:t>
      </w:r>
    </w:p>
    <w:p>
      <w:r>
        <w:t xml:space="preserve">Calculation: The score is min(number of distinct contribution opportunity categories, 6) / 6. 940 counts only when there is actual other-text evidence.</w:t>
      </w:r>
    </w:p>
    <w:p>
      <w:r>
        <w:t xml:space="preserve">Example: A project with six or more contribution types receives full C1 credit. A project with only code contribution receives partial credit.</w:t>
      </w:r>
    </w:p>
    <w:p>
      <w:pPr>
        <w:pStyle w:val="Heading2"/>
      </w:pPr>
      <w:r>
        <w:t xml:space="preserve">C2. Contribution guidance - 15%</w:t>
      </w:r>
    </w:p>
    <w:p>
      <w:r>
        <w:t xml:space="preserve">Role: C2 uses 041_contribution_guidelines. It measures whether a potential contributor can understand how to contribute.</w:t>
      </w:r>
    </w:p>
    <w:p>
      <w:r>
        <w:t xml:space="preserve">Why this percentage: The weight is 15% because opportunities without instructions are often not actionable. Guidance lowers the participation barrier for new contributors and makes contribution less dependent on insider knowledge.</w:t>
      </w:r>
    </w:p>
    <w:p>
      <w:r>
        <w:t xml:space="preserve">Calculation: A dedicated contribution guide receives 1.00. A related participation page receives 0.50. Blank or suspect URLs are treated as NA until verified.</w:t>
      </w:r>
    </w:p>
    <w:p>
      <w:r>
        <w:t xml:space="preserve">Example: For example, a CONTRIBUTING.md file or a clear 'how to contribute' page receives full credit, while a general community page receives partial credit.</w:t>
      </w:r>
    </w:p>
    <w:p>
      <w:pPr>
        <w:pStyle w:val="Heading2"/>
      </w:pPr>
      <w:r>
        <w:t xml:space="preserve">C3. Open contribution infrastructure - 5%</w:t>
      </w:r>
    </w:p>
    <w:p>
      <w:r>
        <w:t xml:space="preserve">Role: C3 uses 019_open_code_repository_url. It checks whether there is a visible technical place where code or technical work can be inspected and potentially contributed.</w:t>
      </w:r>
    </w:p>
    <w:p>
      <w:r>
        <w:t xml:space="preserve">Why this percentage: The weight is intentionally low at 5% because repository availability is common in this dataset and can become a near-constant field. It matters, but it should not dominate community engagement.</w:t>
      </w:r>
    </w:p>
    <w:p>
      <w:r>
        <w:t xml:space="preserve">Calculation: Public forge hosts such as GitHub, GitLab, Bitbucket, or Codeberg receive 1.00. Other repository hosts receive 0.50. Blank values are NA.</w:t>
      </w:r>
    </w:p>
    <w:p>
      <w:r>
        <w:t xml:space="preserve">Example: For 2i2c, the GitHub repository URL gives full C3 credit.</w:t>
      </w:r>
    </w:p>
    <w:p>
      <w:pPr>
        <w:pStyle w:val="Heading2"/>
      </w:pPr>
      <w:r>
        <w:t xml:space="preserve">N1. Community norms / Code of Conduct - 15%</w:t>
      </w:r>
    </w:p>
    <w:p>
      <w:r>
        <w:t xml:space="preserve">Role: N1 uses 042_code_of_conduct_status and 043_code_of_conduct_url. It measures whether community participation is supported by visible norms for acceptable behavior.</w:t>
      </w:r>
    </w:p>
    <w:p>
      <w:r>
        <w:t xml:space="preserve">Why this percentage: The weight is 15% because safety and conduct norms are important for inclusive participation. They do not prove that a community is healthy by themselves, but they are an important enabling condition.</w:t>
      </w:r>
    </w:p>
    <w:p>
      <w:r>
        <w:t xml:space="preserve">Calculation: Implemented/available with URL = 1.00; implemented without URL = 0.75; in progress = 0.67; considering = 0.33; not planning = 0.00; unknown/blank = NA.</w:t>
      </w:r>
    </w:p>
    <w:p>
      <w:r>
        <w:t xml:space="preserve">Example: For 2i2c, the code of conduct is implemented and a URL is present, so N1 receives full credit.</w:t>
      </w:r>
    </w:p>
    <w:p>
      <w:pPr>
        <w:pStyle w:val="Heading1"/>
      </w:pPr>
      <w:r>
        <w:t xml:space="preserve">5. Why 048 Community Governance Was Removed</w:t>
      </w:r>
    </w:p>
    <w:p>
      <w:r>
        <w:t xml:space="preserve">Community governance is important, but it is not included in the v3 Community Engagement score. The reason is methodological: governance is conceptually closer to an organizational governance component, while this component is focused on engagement and contribution access. Keeping governance here risks double-counting, because 040 can already capture 'contribute to governance' as one form of contribution. Removing 048 also makes the score easier to interpret: high scores mean strong engagement and contribution mechanisms, not simply formal governance.</w:t>
      </w:r>
    </w:p>
    <w:p>
      <w:pPr>
        <w:pStyle w:val="Heading1"/>
      </w:pPr>
      <w:r>
        <w:t xml:space="preserve">6. Why 039 Is Not Scored</w:t>
      </w:r>
    </w:p>
    <w:p>
      <w:r>
        <w:t xml:space="preserve">Field 039_contribution_pathways is not used as a scored metric because the normal data sheet has many Unknown values. A field with high Unknown coverage can distort rankings: services with missing data may be excluded or over-penalized even when more concrete evidence exists in 040, 041, and 019. Therefore 039 is kept as a consistency flag. For example, if 039 says Considering but 040 lists contribution opportunities or 041 has contribution guidance, that row should be reviewed.</w:t>
      </w:r>
    </w:p>
    <w:p>
      <w:pPr>
        <w:pStyle w:val="Heading1"/>
      </w:pPr>
      <w:r>
        <w:t xml:space="preserve">7. How Percentages Affect the Result</w:t>
      </w:r>
    </w:p>
    <w:p>
      <w:r>
        <w:t xml:space="preserve">The weights create a balanced score. Engagement-side metrics total 40%, contribution-side metrics total 45%, and norms total 15%. This means a service cannot receive a strong score only by having a code of conduct or a repository. It needs visible engagement and practical contribution routes.</w:t>
      </w:r>
    </w:p>
    <w:tbl>
      <w:tblPr>
        <w:tblStyle w:val="TableGrid"/>
        <w:tblW w:w="0" w:type="auto"/>
      </w:tblPr>
      <w:tr>
        <w:tc>
          <w:tcPr>
            <w:tcW w:w="2400" w:type="dxa"/>
          </w:tcPr>
          <w:p>
            <w:r>
              <w:t xml:space="preserve">Sub-component</w:t>
            </w:r>
          </w:p>
        </w:tc>
        <w:tc>
          <w:tcPr>
            <w:tcW w:w="2400" w:type="dxa"/>
          </w:tcPr>
          <w:p>
            <w:r>
              <w:t xml:space="preserve">Metrics</w:t>
            </w:r>
          </w:p>
        </w:tc>
        <w:tc>
          <w:tcPr>
            <w:tcW w:w="2400" w:type="dxa"/>
          </w:tcPr>
          <w:p>
            <w:r>
              <w:t xml:space="preserve">Total weight</w:t>
            </w:r>
          </w:p>
        </w:tc>
        <w:tc>
          <w:tcPr>
            <w:tcW w:w="2400" w:type="dxa"/>
          </w:tcPr>
          <w:p>
            <w:r>
              <w:t xml:space="preserve">Interpretation</w:t>
            </w:r>
          </w:p>
        </w:tc>
      </w:tr>
      <w:tr>
        <w:tc>
          <w:tcPr>
            <w:tcW w:w="2400" w:type="dxa"/>
          </w:tcPr>
          <w:p>
            <w:r>
              <w:t xml:space="preserve">Engagement &amp; Participation</w:t>
            </w:r>
          </w:p>
        </w:tc>
        <w:tc>
          <w:tcPr>
            <w:tcW w:w="2400" w:type="dxa"/>
          </w:tcPr>
          <w:p>
            <w:r>
              <w:t xml:space="preserve">E1, E2, E3</w:t>
            </w:r>
          </w:p>
        </w:tc>
        <w:tc>
          <w:tcPr>
            <w:tcW w:w="2400" w:type="dxa"/>
          </w:tcPr>
          <w:p>
            <w:r>
              <w:t xml:space="preserve">40%</w:t>
            </w:r>
          </w:p>
        </w:tc>
        <w:tc>
          <w:tcPr>
            <w:tcW w:w="2400" w:type="dxa"/>
          </w:tcPr>
          <w:p>
            <w:r>
              <w:t xml:space="preserve">Does the community have visible ways to engage?</w:t>
            </w:r>
          </w:p>
        </w:tc>
      </w:tr>
      <w:tr>
        <w:tc>
          <w:tcPr>
            <w:tcW w:w="2400" w:type="dxa"/>
          </w:tcPr>
          <w:p>
            <w:r>
              <w:t xml:space="preserve">Contribution Mechanisms</w:t>
            </w:r>
          </w:p>
        </w:tc>
        <w:tc>
          <w:tcPr>
            <w:tcW w:w="2400" w:type="dxa"/>
          </w:tcPr>
          <w:p>
            <w:r>
              <w:t xml:space="preserve">C1, C2, C3</w:t>
            </w:r>
          </w:p>
        </w:tc>
        <w:tc>
          <w:tcPr>
            <w:tcW w:w="2400" w:type="dxa"/>
          </w:tcPr>
          <w:p>
            <w:r>
              <w:t xml:space="preserve">45%</w:t>
            </w:r>
          </w:p>
        </w:tc>
        <w:tc>
          <w:tcPr>
            <w:tcW w:w="2400" w:type="dxa"/>
          </w:tcPr>
          <w:p>
            <w:r>
              <w:t xml:space="preserve">Can outsiders practically contribute?</w:t>
            </w:r>
          </w:p>
        </w:tc>
      </w:tr>
      <w:tr>
        <w:tc>
          <w:tcPr>
            <w:tcW w:w="2400" w:type="dxa"/>
          </w:tcPr>
          <w:p>
            <w:r>
              <w:t xml:space="preserve">Community Norms</w:t>
            </w:r>
          </w:p>
        </w:tc>
        <w:tc>
          <w:tcPr>
            <w:tcW w:w="2400" w:type="dxa"/>
          </w:tcPr>
          <w:p>
            <w:r>
              <w:t xml:space="preserve">N1</w:t>
            </w:r>
          </w:p>
        </w:tc>
        <w:tc>
          <w:tcPr>
            <w:tcW w:w="2400" w:type="dxa"/>
          </w:tcPr>
          <w:p>
            <w:r>
              <w:t xml:space="preserve">15%</w:t>
            </w:r>
          </w:p>
        </w:tc>
        <w:tc>
          <w:tcPr>
            <w:tcW w:w="2400" w:type="dxa"/>
          </w:tcPr>
          <w:p>
            <w:r>
              <w:t xml:space="preserve">Are participation norms visible and supportive?</w:t>
            </w:r>
          </w:p>
        </w:tc>
      </w:tr>
    </w:tbl>
    <w:p>
      <w:r>
        <w:t xml:space="preserve">Example effect: 2i2c has strong engagement evidence, repository infrastructure, and a code of conduct, but no scored 040/041 contribution opportunity or guidance data in the supplied sheet. It therefore receives 68.75 and is marked Provisional. The score is no longer NA because 938 evidence is now used, but the missing contribution fields still correctly reduce confidence and keep the result provisional.</w:t>
      </w:r>
    </w:p>
    <w:p>
      <w:pPr>
        <w:pStyle w:val="Heading1"/>
      </w:pPr>
      <w:r>
        <w:t xml:space="preserve">8. Data Handling Rules</w:t>
      </w:r>
    </w:p>
    <w:p>
      <w:pPr>
        <w:numPr>
          <w:ilvl w:val="0"/>
          <w:numId w:val="1"/>
        </w:numPr>
      </w:pPr>
      <w:r>
        <w:t xml:space="preserve">Structured checklist fields and free-text fields are combined where they describe the same concept.</w:t>
      </w:r>
    </w:p>
    <w:p>
      <w:pPr>
        <w:numPr>
          <w:ilvl w:val="0"/>
          <w:numId w:val="1"/>
        </w:numPr>
      </w:pPr>
      <w:r>
        <w:t xml:space="preserve">938 supplements 038; 940 supplements 040.</w:t>
      </w:r>
    </w:p>
    <w:p>
      <w:pPr>
        <w:numPr>
          <w:ilvl w:val="0"/>
          <w:numId w:val="1"/>
        </w:numPr>
      </w:pPr>
      <w:r>
        <w:t xml:space="preserve">Other is counted only when there is actual free-text evidence.</w:t>
      </w:r>
    </w:p>
    <w:p>
      <w:pPr>
        <w:numPr>
          <w:ilvl w:val="0"/>
          <w:numId w:val="1"/>
        </w:numPr>
      </w:pPr>
      <w:r>
        <w:t xml:space="preserve">Missing values are excluded rather than counted as zero.</w:t>
      </w:r>
    </w:p>
    <w:p>
      <w:pPr>
        <w:numPr>
          <w:ilvl w:val="0"/>
          <w:numId w:val="1"/>
        </w:numPr>
      </w:pPr>
      <w:r>
        <w:t xml:space="preserve">Lower and upper bounds show uncertainty: missing metrics are treated as 0 for the lower bound and 1 for the upper bound.</w:t>
      </w:r>
    </w:p>
    <w:p>
      <w:pPr>
        <w:numPr>
          <w:ilvl w:val="0"/>
          <w:numId w:val="1"/>
        </w:numPr>
      </w:pPr>
      <w:r>
        <w:t xml:space="preserve">Provisional scores are allowed when the minimum completeness rule is met but high completeness is not reached.</w:t>
      </w:r>
    </w:p>
    <w:p>
      <w:pPr>
        <w:pStyle w:val="Heading1"/>
      </w:pPr>
      <w:r>
        <w:t xml:space="preserve">9. Research Basis and References</w:t>
      </w:r>
    </w:p>
    <w:p>
      <w:pPr>
        <w:numPr>
          <w:ilvl w:val="0"/>
          <w:numId w:val="1"/>
        </w:numPr>
      </w:pPr>
      <w:r>
        <w:t xml:space="preserve">Bilder, G., Lin, J., &amp; Neylon, C. (2015; updated by POSI Adopters). Principles of Open Scholarly Infrastructure. The principles emphasize community governance, transparent operations, sustainability, and community accountability for scholarly infrastructure. https://openscholarlyinfrastructure.org/</w:t>
      </w:r>
    </w:p>
    <w:p>
      <w:pPr>
        <w:numPr>
          <w:ilvl w:val="0"/>
          <w:numId w:val="1"/>
        </w:numPr>
      </w:pPr>
      <w:r>
        <w:t xml:space="preserve">Invest in Open Infrastructure. Data for Infra Finder. Zenodo record 18225266. The workbook fields used here are derived from the Infra Finder variable structure and self-reported infrastructure data. https://zenodo.org/records/18225266</w:t>
      </w:r>
    </w:p>
    <w:p>
      <w:pPr>
        <w:numPr>
          <w:ilvl w:val="0"/>
          <w:numId w:val="1"/>
        </w:numPr>
      </w:pPr>
      <w:r>
        <w:t xml:space="preserve">CHAOSS Project. CHAOSS Metrics. CHAOSS defines open source community health metrics and stresses shared language, contribution activity, diversity and inclusion, risk, and value. https://github.com/chaoss/metrics</w:t>
      </w:r>
    </w:p>
    <w:p>
      <w:pPr>
        <w:numPr>
          <w:ilvl w:val="0"/>
          <w:numId w:val="1"/>
        </w:numPr>
      </w:pPr>
      <w:r>
        <w:t xml:space="preserve">CHAOSS Project. Safety Metrics Model. This model treats code of conduct and related enforcement/visibility as part of safe and inclusive project spaces. https://www.chaoss.community/kb/metrics-model-safety/</w:t>
      </w:r>
    </w:p>
    <w:p>
      <w:pPr>
        <w:numPr>
          <w:ilvl w:val="0"/>
          <w:numId w:val="1"/>
        </w:numPr>
      </w:pPr>
      <w:r>
        <w:t xml:space="preserve">Mozilla and Open Tech Strategies. Open Source Archetypes. The report explains how contribution processes and governance structures differ by project purpose and community model. https://blog.mozilla.org/wp-content/uploads/2018/05/MZOTS_OS_Archetypes_report_ext_scr.pdf</w:t>
      </w:r>
    </w:p>
    <w:p>
      <w:pPr>
        <w:numPr>
          <w:ilvl w:val="0"/>
          <w:numId w:val="1"/>
        </w:numPr>
      </w:pPr>
      <w:r>
        <w:t xml:space="preserve">Link, G. J. P. (2020). CHAOSS and open source health metrics. USENIX ;login:. The article explains the need for shared, practical metrics for open source community health. https://www.usenix.org/system/files/login/articles/login_fall20_07_link.pdf</w:t>
      </w:r>
    </w:p>
    <w:p>
      <w:pPr>
        <w:numPr>
          <w:ilvl w:val="0"/>
          <w:numId w:val="1"/>
        </w:numPr>
      </w:pPr>
      <w:r>
        <w:t xml:space="preserve">Wynn, D. E. (2022). How to characterize the health of an Open Source Software project? A snowball literature review of an emerging practice. arXiv:2208.01105. The review shows that project health is multi-dimensional and cannot be reduced to code activity alone. https://arxiv.org/abs/2208.01105</w:t>
      </w:r>
    </w:p>
    <w:p>
      <w:pPr>
        <w:numPr>
          <w:ilvl w:val="0"/>
          <w:numId w:val="1"/>
        </w:numPr>
      </w:pPr>
      <w:r>
        <w:t xml:space="preserve">Principles of Community Engagement, 3rd Edition. The guide emphasizes sustained relationships, communication, partnership capacity, shared ownership, and community involvement as measurable engagement dimensions. https://health.ucdavis.edu/media-resources/crhd/documents/pdfs/pce-3rd-edition.pdf</w:t>
      </w:r>
    </w:p>
    <w:p>
      <w:pPr>
        <w:numPr>
          <w:ilvl w:val="0"/>
          <w:numId w:val="1"/>
        </w:numPr>
      </w:pPr>
      <w:r>
        <w:t xml:space="preserve">Mozilla Community Participation Guidelines. Mozilla frames codes of conduct and participation guidelines as mechanisms for respectful, inclusive contribution spaces. https://www.mozilla.org/en-US/about/governance/policies/participation/</w:t>
      </w:r>
    </w:p>
    <w:p>
      <w:pPr>
        <w:numPr>
          <w:ilvl w:val="0"/>
          <w:numId w:val="1"/>
        </w:numPr>
      </w:pPr>
      <w:r>
        <w:t xml:space="preserve">Assessing open source software health in organizations' intake processes: A qualitative study on the practitioners' perspective. Empirical Software Engineering. The study identifies contribution path and code-of-conduct enforcement as relevant project health assessment signals. https://link.springer.com/article/10.1007/s10664-026-10846-y</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lvl>
  </w:abstractNum>
  <w:num w:numId="1">
    <w:abstractNumId w:val="0"/>
  </w:num>
</w:numbering>
</file>

<file path=word/styles.xml><?xml version="1.0" encoding="utf-8"?>
<w:styles xmlns:w="http://schemas.openxmlformats.org/wordprocessingml/2006/main">
  <w:style w:type="paragraph" w:default="1" w:styleId="Normal">
    <w:name w:val="Normal"/>
    <w:rPr>
      <w:sz w:val="22"/>
      <w:szCs w:val="22"/>
    </w:rPr>
  </w:style>
  <w:style w:type="paragraph" w:styleId="Title">
    <w:name w:val="Title"/>
    <w:rPr>
      <w:b/>
      <w:sz w:val="36"/>
    </w:rPr>
  </w:style>
  <w:style w:type="paragraph" w:styleId="Subtitle">
    <w:name w:val="Subtitle"/>
    <w:rPr>
      <w:i/>
      <w:sz w:val="26"/>
    </w:rPr>
  </w:style>
  <w:style w:type="paragraph" w:styleId="Heading1">
    <w:name w:val="heading 1"/>
    <w:basedOn w:val="Normal"/>
    <w:next w:val="Normal"/>
    <w:rPr>
      <w:b/>
      <w:sz w:val="30"/>
    </w:rPr>
  </w:style>
  <w:style w:type="paragraph" w:styleId="Heading2">
    <w:name w:val="heading 2"/>
    <w:basedOn w:val="Normal"/>
    <w:next w:val="Normal"/>
    <w:rPr>
      <w:b/>
      <w:sz w:val="26"/>
    </w:r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