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OISI Research Methodology | Concise Version</w:t>
      </w:r>
    </w:p>
    <w:p>
      <w:pPr>
        <w:pStyle w:val="Subtitle"/>
      </w:pPr>
      <w:r>
        <w:t xml:space="preserve">Equal-metric study of 112 open infrastructures</w:t>
      </w:r>
    </w:p>
    <w:p>
      <w:pPr>
        <w:pStyle w:val="Heading1"/>
      </w:pPr>
      <w:r>
        <w:t xml:space="preserve">Study design</w:t>
      </w:r>
    </w:p>
    <w:p>
      <w:pPr>
        <w:spacing w:after="100" w:line="240" w:lineRule="auto"/>
      </w:pPr>
      <w:r>
        <w:t xml:space="preserve">The Open Infrastructure Sustainability Index (OISI) evaluates 112 open infrastructures across Community Engagement, Governance Practices, Organizational Capacity, and Development Activity. It summarizes observable evidence; it does not directly predict survival, software quality, or social impact. The first three components use profile data associated with Zenodo record 18225266 [1]. The fourth uses repository and GitHub activity.</w:t>
      </w:r>
    </w:p>
    <w:p>
      <w:pPr>
        <w:pStyle w:val="Heading1"/>
      </w:pPr>
      <w:r>
        <w:t xml:space="preserve">Profile-data components</w:t>
      </w:r>
    </w:p>
    <w:p>
      <w:pPr>
        <w:spacing w:after="100" w:line="240" w:lineRule="auto"/>
      </w:pPr>
      <w:r>
        <w:t xml:space="preserve">Community Engagement uses fields 037, 038, 938, 116, 040, 940, 041, 019, 042, and 043 for engagement, contribution, repository access, and community norms. Governance uses 024, 026, 108, 050, 048, 029, 033, 035, 044, and 046; field 100 is excluded from scoring due to sparse coverage. Organizational Capacity uses 079, 080, 056, 051, 058, 099, 076, and 077 for readiness, maintenance, institutional support, and service capacity. Funding and staffing are contextual. Raw answers and evidence links are retained; status responses use defined anchors and counts are capped.</w:t>
      </w:r>
    </w:p>
    <w:tbl>
      <w:tblPr>
        <w:tblStyle w:val="TableGrid"/>
        <w:tblW w:w="9000" w:type="dxa"/>
        <w:tblLayout w:type="fixed"/>
        <w:tblCellMar>
          <w:top w:w="65" w:type="dxa"/>
          <w:left w:w="90" w:type="dxa"/>
          <w:bottom w:w="65" w:type="dxa"/>
          <w:right w:w="90" w:type="dxa"/>
        </w:tblCellMar>
        <w:tblBorders>
          <w:top w:val="single" w:sz="5" w:color="B7C9D6"/>
          <w:left w:val="single" w:sz="5" w:color="B7C9D6"/>
          <w:bottom w:val="single" w:sz="5" w:color="B7C9D6"/>
          <w:right w:val="single" w:sz="5" w:color="B7C9D6"/>
          <w:insideH w:val="single" w:sz="4" w:color="D7E0E7"/>
          <w:insideV w:val="single" w:sz="4" w:color="D7E0E7"/>
        </w:tblBorders>
      </w:tblPr>
      <w:tr>
        <w:trPr>
          <w:cantSplit/>
        </w:trPr>
        <w:tblHeader w:val="true"/>
        <w:tc>
          <w:tcPr>
            <w:tcW w:w="2150" w:type="dxa"/>
            <w:shd w:fill="1F4E78"/>
            <w:vAlign w:val="center"/>
          </w:tcPr>
          <w:p>
            <w:pPr>
              <w:spacing w:after="45" w:before="35" w:line="220" w:lineRule="auto"/>
            </w:pPr>
            <w:r>
              <w:rPr>
                <w:b/>
                <w:color w:val="FFFFFF"/>
                <w:sz w:val="17"/>
              </w:rPr>
              <w:t xml:space="preserve">Community Engagement</w:t>
            </w:r>
          </w:p>
        </w:tc>
        <w:tc>
          <w:tcPr>
            <w:tcW w:w="1450" w:type="dxa"/>
            <w:shd w:fill="1F4E78"/>
            <w:vAlign w:val="center"/>
          </w:tcPr>
          <w:p>
            <w:pPr>
              <w:spacing w:after="45" w:before="35" w:line="220" w:lineRule="auto"/>
            </w:pPr>
            <w:r>
              <w:rPr>
                <w:b/>
                <w:color w:val="FFFFFF"/>
                <w:sz w:val="17"/>
              </w:rPr>
              <w:t xml:space="preserve">Fields</w:t>
            </w:r>
          </w:p>
        </w:tc>
        <w:tc>
          <w:tcPr>
            <w:tcW w:w="3550" w:type="dxa"/>
            <w:shd w:fill="1F4E78"/>
            <w:vAlign w:val="center"/>
          </w:tcPr>
          <w:p>
            <w:pPr>
              <w:spacing w:after="45" w:before="35" w:line="220" w:lineRule="auto"/>
            </w:pPr>
            <w:r>
              <w:rPr>
                <w:b/>
                <w:color w:val="FFFFFF"/>
                <w:sz w:val="17"/>
              </w:rPr>
              <w:t xml:space="preserve">Measure / scoring interpretation</w:t>
            </w:r>
          </w:p>
        </w:tc>
        <w:tc>
          <w:tcPr>
            <w:tcW w:w="1850" w:type="dxa"/>
            <w:shd w:fill="1F4E78"/>
            <w:vAlign w:val="center"/>
          </w:tcPr>
          <w:p>
            <w:pPr>
              <w:spacing w:after="45" w:before="35" w:line="220" w:lineRule="auto"/>
            </w:pPr>
            <w:r>
              <w:rPr>
                <w:b/>
                <w:color w:val="FFFFFF"/>
                <w:sz w:val="17"/>
              </w:rPr>
              <w:t xml:space="preserve">Equal share</w:t>
            </w:r>
          </w:p>
        </w:tc>
      </w:tr>
      <w:tr>
        <w:trPr>
          <w:cantSplit/>
        </w:trPr>
        <w:tc>
          <w:tcPr>
            <w:tcW w:w="2150" w:type="dxa"/>
            <w:vAlign w:val="center"/>
          </w:tcPr>
          <w:p>
            <w:pPr>
              <w:spacing w:after="45" w:before="35" w:line="220" w:lineRule="auto"/>
            </w:pPr>
            <w:r>
              <w:rPr>
                <w:color w:val="243746"/>
                <w:sz w:val="17"/>
              </w:rPr>
              <w:t xml:space="preserve">E1 Engagement availability</w:t>
            </w:r>
          </w:p>
        </w:tc>
        <w:tc>
          <w:tcPr>
            <w:tcW w:w="1450" w:type="dxa"/>
            <w:vAlign w:val="center"/>
          </w:tcPr>
          <w:p>
            <w:pPr>
              <w:spacing w:after="45" w:before="35" w:line="220" w:lineRule="auto"/>
            </w:pPr>
            <w:r>
              <w:rPr>
                <w:color w:val="243746"/>
                <w:sz w:val="17"/>
              </w:rPr>
              <w:t xml:space="preserve">037</w:t>
            </w:r>
          </w:p>
        </w:tc>
        <w:tc>
          <w:tcPr>
            <w:tcW w:w="3550" w:type="dxa"/>
            <w:vAlign w:val="center"/>
          </w:tcPr>
          <w:p>
            <w:pPr>
              <w:spacing w:after="45" w:before="35" w:line="220" w:lineRule="auto"/>
            </w:pPr>
            <w:r>
              <w:rPr>
                <w:color w:val="243746"/>
                <w:sz w:val="17"/>
              </w:rPr>
              <w:t xml:space="preserve">Availability status; use the component status scale.</w:t>
            </w:r>
          </w:p>
        </w:tc>
        <w:tc>
          <w:tcPr>
            <w:tcW w:w="1850" w:type="dxa"/>
            <w:vAlign w:val="center"/>
          </w:tcPr>
          <w:p>
            <w:pPr>
              <w:spacing w:after="45" w:before="35" w:line="220" w:lineRule="auto"/>
            </w:pPr>
            <w:r>
              <w:rPr>
                <w:color w:val="243746"/>
                <w:sz w:val="17"/>
              </w:rPr>
              <w:t xml:space="preserve">14.29%</w:t>
            </w:r>
          </w:p>
        </w:tc>
      </w:tr>
      <w:tr>
        <w:trPr>
          <w:cantSplit/>
        </w:trPr>
        <w:tc>
          <w:tcPr>
            <w:tcW w:w="2150" w:type="dxa"/>
            <w:vAlign w:val="center"/>
          </w:tcPr>
          <w:p>
            <w:pPr>
              <w:spacing w:after="45" w:before="35" w:line="220" w:lineRule="auto"/>
            </w:pPr>
            <w:r>
              <w:rPr>
                <w:color w:val="243746"/>
                <w:sz w:val="17"/>
              </w:rPr>
              <w:t xml:space="preserve">E2 Engagement activity breadth</w:t>
            </w:r>
          </w:p>
        </w:tc>
        <w:tc>
          <w:tcPr>
            <w:tcW w:w="1450" w:type="dxa"/>
            <w:vAlign w:val="center"/>
          </w:tcPr>
          <w:p>
            <w:pPr>
              <w:spacing w:after="45" w:before="35" w:line="220" w:lineRule="auto"/>
            </w:pPr>
            <w:r>
              <w:rPr>
                <w:color w:val="243746"/>
                <w:sz w:val="17"/>
              </w:rPr>
              <w:t xml:space="preserve">038, 938</w:t>
            </w:r>
          </w:p>
        </w:tc>
        <w:tc>
          <w:tcPr>
            <w:tcW w:w="3550" w:type="dxa"/>
            <w:vAlign w:val="center"/>
          </w:tcPr>
          <w:p>
            <w:pPr>
              <w:spacing w:after="45" w:before="35" w:line="220" w:lineRule="auto"/>
            </w:pPr>
            <w:r>
              <w:rPr>
                <w:color w:val="243746"/>
                <w:sz w:val="17"/>
              </w:rPr>
              <w:t xml:space="preserve">Distinct engagement activity categories; capped at 8.</w:t>
            </w:r>
          </w:p>
        </w:tc>
        <w:tc>
          <w:tcPr>
            <w:tcW w:w="1850" w:type="dxa"/>
            <w:vAlign w:val="center"/>
          </w:tcPr>
          <w:p>
            <w:pPr>
              <w:spacing w:after="45" w:before="35" w:line="220" w:lineRule="auto"/>
            </w:pPr>
            <w:r>
              <w:rPr>
                <w:color w:val="243746"/>
                <w:sz w:val="17"/>
              </w:rPr>
              <w:t xml:space="preserve">14.29%</w:t>
            </w:r>
          </w:p>
        </w:tc>
      </w:tr>
      <w:tr>
        <w:trPr>
          <w:cantSplit/>
        </w:trPr>
        <w:tc>
          <w:tcPr>
            <w:tcW w:w="2150" w:type="dxa"/>
            <w:vAlign w:val="center"/>
          </w:tcPr>
          <w:p>
            <w:pPr>
              <w:spacing w:after="45" w:before="35" w:line="220" w:lineRule="auto"/>
            </w:pPr>
            <w:r>
              <w:rPr>
                <w:color w:val="243746"/>
                <w:sz w:val="17"/>
              </w:rPr>
              <w:t xml:space="preserve">E3 Engagement evidence strength</w:t>
            </w:r>
          </w:p>
        </w:tc>
        <w:tc>
          <w:tcPr>
            <w:tcW w:w="1450" w:type="dxa"/>
            <w:vAlign w:val="center"/>
          </w:tcPr>
          <w:p>
            <w:pPr>
              <w:spacing w:after="45" w:before="35" w:line="220" w:lineRule="auto"/>
            </w:pPr>
            <w:r>
              <w:rPr>
                <w:color w:val="243746"/>
                <w:sz w:val="17"/>
              </w:rPr>
              <w:t xml:space="preserve">116, 938</w:t>
            </w:r>
          </w:p>
        </w:tc>
        <w:tc>
          <w:tcPr>
            <w:tcW w:w="3550" w:type="dxa"/>
            <w:vAlign w:val="center"/>
          </w:tcPr>
          <w:p>
            <w:pPr>
              <w:spacing w:after="45" w:before="35" w:line="220" w:lineRule="auto"/>
            </w:pPr>
            <w:r>
              <w:rPr>
                <w:color w:val="243746"/>
                <w:sz w:val="17"/>
              </w:rPr>
              <w:t xml:space="preserve">Evidence URL or substantive description under current evidence rule.</w:t>
            </w:r>
          </w:p>
        </w:tc>
        <w:tc>
          <w:tcPr>
            <w:tcW w:w="1850" w:type="dxa"/>
            <w:vAlign w:val="center"/>
          </w:tcPr>
          <w:p>
            <w:pPr>
              <w:spacing w:after="45" w:before="35" w:line="220" w:lineRule="auto"/>
            </w:pPr>
            <w:r>
              <w:rPr>
                <w:color w:val="243746"/>
                <w:sz w:val="17"/>
              </w:rPr>
              <w:t xml:space="preserve">14.29%</w:t>
            </w:r>
          </w:p>
        </w:tc>
      </w:tr>
      <w:tr>
        <w:trPr>
          <w:cantSplit/>
        </w:trPr>
        <w:tc>
          <w:tcPr>
            <w:tcW w:w="2150" w:type="dxa"/>
            <w:vAlign w:val="center"/>
          </w:tcPr>
          <w:p>
            <w:pPr>
              <w:spacing w:after="45" w:before="35" w:line="220" w:lineRule="auto"/>
            </w:pPr>
            <w:r>
              <w:rPr>
                <w:color w:val="243746"/>
                <w:sz w:val="17"/>
              </w:rPr>
              <w:t xml:space="preserve">C1 Contribution opportunity breadth</w:t>
            </w:r>
          </w:p>
        </w:tc>
        <w:tc>
          <w:tcPr>
            <w:tcW w:w="1450" w:type="dxa"/>
            <w:vAlign w:val="center"/>
          </w:tcPr>
          <w:p>
            <w:pPr>
              <w:spacing w:after="45" w:before="35" w:line="220" w:lineRule="auto"/>
            </w:pPr>
            <w:r>
              <w:rPr>
                <w:color w:val="243746"/>
                <w:sz w:val="17"/>
              </w:rPr>
              <w:t xml:space="preserve">040, 940</w:t>
            </w:r>
          </w:p>
        </w:tc>
        <w:tc>
          <w:tcPr>
            <w:tcW w:w="3550" w:type="dxa"/>
            <w:vAlign w:val="center"/>
          </w:tcPr>
          <w:p>
            <w:pPr>
              <w:spacing w:after="45" w:before="35" w:line="220" w:lineRule="auto"/>
            </w:pPr>
            <w:r>
              <w:rPr>
                <w:color w:val="243746"/>
                <w:sz w:val="17"/>
              </w:rPr>
              <w:t xml:space="preserve">Distinct contribution opportunity types; capped at 6.</w:t>
            </w:r>
          </w:p>
        </w:tc>
        <w:tc>
          <w:tcPr>
            <w:tcW w:w="1850" w:type="dxa"/>
            <w:vAlign w:val="center"/>
          </w:tcPr>
          <w:p>
            <w:pPr>
              <w:spacing w:after="45" w:before="35" w:line="220" w:lineRule="auto"/>
            </w:pPr>
            <w:r>
              <w:rPr>
                <w:color w:val="243746"/>
                <w:sz w:val="17"/>
              </w:rPr>
              <w:t xml:space="preserve">14.29%</w:t>
            </w:r>
          </w:p>
        </w:tc>
      </w:tr>
      <w:tr>
        <w:trPr>
          <w:cantSplit/>
        </w:trPr>
        <w:tc>
          <w:tcPr>
            <w:tcW w:w="2150" w:type="dxa"/>
            <w:vAlign w:val="center"/>
          </w:tcPr>
          <w:p>
            <w:pPr>
              <w:spacing w:after="45" w:before="35" w:line="220" w:lineRule="auto"/>
            </w:pPr>
            <w:r>
              <w:rPr>
                <w:color w:val="243746"/>
                <w:sz w:val="17"/>
              </w:rPr>
              <w:t xml:space="preserve">C2 Contribution guidance</w:t>
            </w:r>
          </w:p>
        </w:tc>
        <w:tc>
          <w:tcPr>
            <w:tcW w:w="1450" w:type="dxa"/>
            <w:vAlign w:val="center"/>
          </w:tcPr>
          <w:p>
            <w:pPr>
              <w:spacing w:after="45" w:before="35" w:line="220" w:lineRule="auto"/>
            </w:pPr>
            <w:r>
              <w:rPr>
                <w:color w:val="243746"/>
                <w:sz w:val="17"/>
              </w:rPr>
              <w:t xml:space="preserve">041</w:t>
            </w:r>
          </w:p>
        </w:tc>
        <w:tc>
          <w:tcPr>
            <w:tcW w:w="3550" w:type="dxa"/>
            <w:vAlign w:val="center"/>
          </w:tcPr>
          <w:p>
            <w:pPr>
              <w:spacing w:after="45" w:before="35" w:line="220" w:lineRule="auto"/>
            </w:pPr>
            <w:r>
              <w:rPr>
                <w:color w:val="243746"/>
                <w:sz w:val="17"/>
              </w:rPr>
              <w:t xml:space="preserve">Contribution guide or relevant participation guidance.</w:t>
            </w:r>
          </w:p>
        </w:tc>
        <w:tc>
          <w:tcPr>
            <w:tcW w:w="1850" w:type="dxa"/>
            <w:vAlign w:val="center"/>
          </w:tcPr>
          <w:p>
            <w:pPr>
              <w:spacing w:after="45" w:before="35" w:line="220" w:lineRule="auto"/>
            </w:pPr>
            <w:r>
              <w:rPr>
                <w:color w:val="243746"/>
                <w:sz w:val="17"/>
              </w:rPr>
              <w:t xml:space="preserve">14.29%</w:t>
            </w:r>
          </w:p>
        </w:tc>
      </w:tr>
      <w:tr>
        <w:trPr>
          <w:cantSplit/>
        </w:trPr>
        <w:tc>
          <w:tcPr>
            <w:tcW w:w="2150" w:type="dxa"/>
            <w:vAlign w:val="center"/>
          </w:tcPr>
          <w:p>
            <w:pPr>
              <w:spacing w:after="45" w:before="35" w:line="220" w:lineRule="auto"/>
            </w:pPr>
            <w:r>
              <w:rPr>
                <w:color w:val="243746"/>
                <w:sz w:val="17"/>
              </w:rPr>
              <w:t xml:space="preserve">C3 Open contribution infrastructure</w:t>
            </w:r>
          </w:p>
        </w:tc>
        <w:tc>
          <w:tcPr>
            <w:tcW w:w="1450" w:type="dxa"/>
            <w:vAlign w:val="center"/>
          </w:tcPr>
          <w:p>
            <w:pPr>
              <w:spacing w:after="45" w:before="35" w:line="220" w:lineRule="auto"/>
            </w:pPr>
            <w:r>
              <w:rPr>
                <w:color w:val="243746"/>
                <w:sz w:val="17"/>
              </w:rPr>
              <w:t xml:space="preserve">019</w:t>
            </w:r>
          </w:p>
        </w:tc>
        <w:tc>
          <w:tcPr>
            <w:tcW w:w="3550" w:type="dxa"/>
            <w:vAlign w:val="center"/>
          </w:tcPr>
          <w:p>
            <w:pPr>
              <w:spacing w:after="45" w:before="35" w:line="220" w:lineRule="auto"/>
            </w:pPr>
            <w:r>
              <w:rPr>
                <w:color w:val="243746"/>
                <w:sz w:val="17"/>
              </w:rPr>
              <w:t xml:space="preserve">Public repository/forge evidence.</w:t>
            </w:r>
          </w:p>
        </w:tc>
        <w:tc>
          <w:tcPr>
            <w:tcW w:w="1850" w:type="dxa"/>
            <w:vAlign w:val="center"/>
          </w:tcPr>
          <w:p>
            <w:pPr>
              <w:spacing w:after="45" w:before="35" w:line="220" w:lineRule="auto"/>
            </w:pPr>
            <w:r>
              <w:rPr>
                <w:color w:val="243746"/>
                <w:sz w:val="17"/>
              </w:rPr>
              <w:t xml:space="preserve">14.29%</w:t>
            </w:r>
          </w:p>
        </w:tc>
      </w:tr>
      <w:tr>
        <w:trPr>
          <w:cantSplit/>
        </w:trPr>
        <w:tc>
          <w:tcPr>
            <w:tcW w:w="2150" w:type="dxa"/>
            <w:vAlign w:val="center"/>
          </w:tcPr>
          <w:p>
            <w:pPr>
              <w:spacing w:after="45" w:before="35" w:line="220" w:lineRule="auto"/>
            </w:pPr>
            <w:r>
              <w:rPr>
                <w:color w:val="243746"/>
                <w:sz w:val="17"/>
              </w:rPr>
              <w:t xml:space="preserve">N1 Community norms / Code of Conduct</w:t>
            </w:r>
          </w:p>
        </w:tc>
        <w:tc>
          <w:tcPr>
            <w:tcW w:w="1450" w:type="dxa"/>
            <w:vAlign w:val="center"/>
          </w:tcPr>
          <w:p>
            <w:pPr>
              <w:spacing w:after="45" w:before="35" w:line="220" w:lineRule="auto"/>
            </w:pPr>
            <w:r>
              <w:rPr>
                <w:color w:val="243746"/>
                <w:sz w:val="17"/>
              </w:rPr>
              <w:t xml:space="preserve">042, 043</w:t>
            </w:r>
          </w:p>
        </w:tc>
        <w:tc>
          <w:tcPr>
            <w:tcW w:w="3550" w:type="dxa"/>
            <w:vAlign w:val="center"/>
          </w:tcPr>
          <w:p>
            <w:pPr>
              <w:spacing w:after="45" w:before="35" w:line="220" w:lineRule="auto"/>
            </w:pPr>
            <w:r>
              <w:rPr>
                <w:color w:val="243746"/>
                <w:sz w:val="17"/>
              </w:rPr>
              <w:t xml:space="preserve">Status and URL evidence; current implemented-without-URL adjustment retained.</w:t>
            </w:r>
          </w:p>
        </w:tc>
        <w:tc>
          <w:tcPr>
            <w:tcW w:w="1850" w:type="dxa"/>
            <w:vAlign w:val="center"/>
          </w:tcPr>
          <w:p>
            <w:pPr>
              <w:spacing w:after="45" w:before="35" w:line="220" w:lineRule="auto"/>
            </w:pPr>
            <w:r>
              <w:rPr>
                <w:color w:val="243746"/>
                <w:sz w:val="17"/>
              </w:rPr>
              <w:t xml:space="preserve">14.29%</w:t>
            </w:r>
          </w:p>
        </w:tc>
      </w:tr>
      <w:tr>
        <w:trPr>
          <w:cantSplit/>
        </w:trPr>
        <w:tc>
          <w:tcPr>
            <w:tcW w:w="2150" w:type="dxa"/>
            <w:shd w:fill="DCE6F1"/>
            <w:vAlign w:val="center"/>
          </w:tcPr>
          <w:p>
            <w:pPr>
              <w:spacing w:after="45" w:before="35" w:line="220" w:lineRule="auto"/>
            </w:pPr>
            <w:r>
              <w:rPr>
                <w:b/>
                <w:color w:val="243746"/>
                <w:sz w:val="17"/>
              </w:rPr>
              <w:t xml:space="preserve">Governance Practices</w:t>
            </w:r>
          </w:p>
        </w:tc>
        <w:tc>
          <w:tcPr>
            <w:tcW w:w="1450" w:type="dxa"/>
            <w:shd w:fill="DCE6F1"/>
            <w:vAlign w:val="center"/>
          </w:tcPr>
          <w:p>
            <w:pPr>
              <w:spacing w:after="45" w:before="35" w:line="220" w:lineRule="auto"/>
            </w:pPr>
            <w:r>
              <w:rPr>
                <w:b/>
                <w:color w:val="243746"/>
                <w:sz w:val="17"/>
              </w:rPr>
              <w:t xml:space="preserve">Fields</w:t>
            </w:r>
          </w:p>
        </w:tc>
        <w:tc>
          <w:tcPr>
            <w:tcW w:w="3550" w:type="dxa"/>
            <w:shd w:fill="DCE6F1"/>
            <w:vAlign w:val="center"/>
          </w:tcPr>
          <w:p>
            <w:pPr>
              <w:spacing w:after="45" w:before="35" w:line="220" w:lineRule="auto"/>
            </w:pPr>
            <w:r>
              <w:rPr>
                <w:b/>
                <w:color w:val="243746"/>
                <w:sz w:val="17"/>
              </w:rPr>
              <w:t xml:space="preserve">Measure / scoring interpretation</w:t>
            </w:r>
          </w:p>
        </w:tc>
        <w:tc>
          <w:tcPr>
            <w:tcW w:w="1850" w:type="dxa"/>
            <w:shd w:fill="DCE6F1"/>
            <w:vAlign w:val="center"/>
          </w:tcPr>
          <w:p>
            <w:pPr>
              <w:spacing w:after="45" w:before="35" w:line="220" w:lineRule="auto"/>
            </w:pPr>
            <w:r>
              <w:rPr>
                <w:b/>
                <w:color w:val="243746"/>
                <w:sz w:val="17"/>
              </w:rPr>
              <w:t xml:space="preserve">Equal share</w:t>
            </w:r>
          </w:p>
        </w:tc>
      </w:tr>
      <w:tr>
        <w:trPr>
          <w:cantSplit/>
        </w:trPr>
        <w:tc>
          <w:tcPr>
            <w:tcW w:w="2150" w:type="dxa"/>
            <w:vAlign w:val="center"/>
          </w:tcPr>
          <w:p>
            <w:pPr>
              <w:spacing w:after="45" w:before="35" w:line="220" w:lineRule="auto"/>
            </w:pPr>
            <w:r>
              <w:rPr>
                <w:color w:val="243746"/>
                <w:sz w:val="17"/>
              </w:rPr>
              <w:t xml:space="preserve">Governance structure</w:t>
            </w:r>
          </w:p>
        </w:tc>
        <w:tc>
          <w:tcPr>
            <w:tcW w:w="1450" w:type="dxa"/>
            <w:vAlign w:val="center"/>
          </w:tcPr>
          <w:p>
            <w:pPr>
              <w:spacing w:after="45" w:before="35" w:line="220" w:lineRule="auto"/>
            </w:pPr>
            <w:r>
              <w:rPr>
                <w:color w:val="243746"/>
                <w:sz w:val="17"/>
              </w:rPr>
              <w:t xml:space="preserve">024</w:t>
            </w:r>
          </w:p>
        </w:tc>
        <w:tc>
          <w:tcPr>
            <w:tcW w:w="3550" w:type="dxa"/>
            <w:vAlign w:val="center"/>
          </w:tcPr>
          <w:p>
            <w:pPr>
              <w:spacing w:after="45" w:before="35" w:line="220" w:lineRule="auto"/>
            </w:pPr>
            <w:r>
              <w:rPr>
                <w:color w:val="243746"/>
                <w:sz w:val="17"/>
              </w:rPr>
              <w:t xml:space="preserve">Documented governance structure; status score.</w:t>
            </w:r>
          </w:p>
        </w:tc>
        <w:tc>
          <w:tcPr>
            <w:tcW w:w="1850" w:type="dxa"/>
            <w:vAlign w:val="center"/>
          </w:tcPr>
          <w:p>
            <w:pPr>
              <w:spacing w:after="45" w:before="35" w:line="220" w:lineRule="auto"/>
            </w:pPr>
            <w:r>
              <w:rPr>
                <w:color w:val="243746"/>
                <w:sz w:val="17"/>
              </w:rPr>
              <w:t xml:space="preserve">10%</w:t>
            </w:r>
          </w:p>
        </w:tc>
      </w:tr>
      <w:tr>
        <w:trPr>
          <w:cantSplit/>
        </w:trPr>
        <w:tc>
          <w:tcPr>
            <w:tcW w:w="2150" w:type="dxa"/>
            <w:vAlign w:val="center"/>
          </w:tcPr>
          <w:p>
            <w:pPr>
              <w:spacing w:after="45" w:before="35" w:line="220" w:lineRule="auto"/>
            </w:pPr>
            <w:r>
              <w:rPr>
                <w:color w:val="243746"/>
                <w:sz w:val="17"/>
              </w:rPr>
              <w:t xml:space="preserve">Governance records</w:t>
            </w:r>
          </w:p>
        </w:tc>
        <w:tc>
          <w:tcPr>
            <w:tcW w:w="1450" w:type="dxa"/>
            <w:vAlign w:val="center"/>
          </w:tcPr>
          <w:p>
            <w:pPr>
              <w:spacing w:after="45" w:before="35" w:line="220" w:lineRule="auto"/>
            </w:pPr>
            <w:r>
              <w:rPr>
                <w:color w:val="243746"/>
                <w:sz w:val="17"/>
              </w:rPr>
              <w:t xml:space="preserve">026</w:t>
            </w:r>
          </w:p>
        </w:tc>
        <w:tc>
          <w:tcPr>
            <w:tcW w:w="3550" w:type="dxa"/>
            <w:vAlign w:val="center"/>
          </w:tcPr>
          <w:p>
            <w:pPr>
              <w:spacing w:after="45" w:before="35" w:line="220" w:lineRule="auto"/>
            </w:pPr>
            <w:r>
              <w:rPr>
                <w:color w:val="243746"/>
                <w:sz w:val="17"/>
              </w:rPr>
              <w:t xml:space="preserve">Public governance or decision records; status score.</w:t>
            </w:r>
          </w:p>
        </w:tc>
        <w:tc>
          <w:tcPr>
            <w:tcW w:w="1850" w:type="dxa"/>
            <w:vAlign w:val="center"/>
          </w:tcPr>
          <w:p>
            <w:pPr>
              <w:spacing w:after="45" w:before="35" w:line="220" w:lineRule="auto"/>
            </w:pPr>
            <w:r>
              <w:rPr>
                <w:color w:val="243746"/>
                <w:sz w:val="17"/>
              </w:rPr>
              <w:t xml:space="preserve">10%</w:t>
            </w:r>
          </w:p>
        </w:tc>
      </w:tr>
      <w:tr>
        <w:trPr>
          <w:cantSplit/>
        </w:trPr>
        <w:tc>
          <w:tcPr>
            <w:tcW w:w="2150" w:type="dxa"/>
            <w:vAlign w:val="center"/>
          </w:tcPr>
          <w:p>
            <w:pPr>
              <w:spacing w:after="45" w:before="35" w:line="220" w:lineRule="auto"/>
            </w:pPr>
            <w:r>
              <w:rPr>
                <w:color w:val="243746"/>
                <w:sz w:val="17"/>
              </w:rPr>
              <w:t xml:space="preserve">Bylaws</w:t>
            </w:r>
          </w:p>
        </w:tc>
        <w:tc>
          <w:tcPr>
            <w:tcW w:w="1450" w:type="dxa"/>
            <w:vAlign w:val="center"/>
          </w:tcPr>
          <w:p>
            <w:pPr>
              <w:spacing w:after="45" w:before="35" w:line="220" w:lineRule="auto"/>
            </w:pPr>
            <w:r>
              <w:rPr>
                <w:color w:val="243746"/>
                <w:sz w:val="17"/>
              </w:rPr>
              <w:t xml:space="preserve">108</w:t>
            </w:r>
          </w:p>
        </w:tc>
        <w:tc>
          <w:tcPr>
            <w:tcW w:w="3550" w:type="dxa"/>
            <w:vAlign w:val="center"/>
          </w:tcPr>
          <w:p>
            <w:pPr>
              <w:spacing w:after="45" w:before="35" w:line="220" w:lineRule="auto"/>
            </w:pPr>
            <w:r>
              <w:rPr>
                <w:color w:val="243746"/>
                <w:sz w:val="17"/>
              </w:rPr>
              <w:t xml:space="preserve">Bylaws evidence; status score.</w:t>
            </w:r>
          </w:p>
        </w:tc>
        <w:tc>
          <w:tcPr>
            <w:tcW w:w="1850" w:type="dxa"/>
            <w:vAlign w:val="center"/>
          </w:tcPr>
          <w:p>
            <w:pPr>
              <w:spacing w:after="45" w:before="35" w:line="220" w:lineRule="auto"/>
            </w:pPr>
            <w:r>
              <w:rPr>
                <w:color w:val="243746"/>
                <w:sz w:val="17"/>
              </w:rPr>
              <w:t xml:space="preserve">10%</w:t>
            </w:r>
          </w:p>
        </w:tc>
      </w:tr>
      <w:tr>
        <w:trPr>
          <w:cantSplit/>
        </w:trPr>
        <w:tc>
          <w:tcPr>
            <w:tcW w:w="2150" w:type="dxa"/>
            <w:vAlign w:val="center"/>
          </w:tcPr>
          <w:p>
            <w:pPr>
              <w:spacing w:after="45" w:before="35" w:line="220" w:lineRule="auto"/>
            </w:pPr>
            <w:r>
              <w:rPr>
                <w:color w:val="243746"/>
                <w:sz w:val="17"/>
              </w:rPr>
              <w:t xml:space="preserve">Board structure</w:t>
            </w:r>
          </w:p>
        </w:tc>
        <w:tc>
          <w:tcPr>
            <w:tcW w:w="1450" w:type="dxa"/>
            <w:vAlign w:val="center"/>
          </w:tcPr>
          <w:p>
            <w:pPr>
              <w:spacing w:after="45" w:before="35" w:line="220" w:lineRule="auto"/>
            </w:pPr>
            <w:r>
              <w:rPr>
                <w:color w:val="243746"/>
                <w:sz w:val="17"/>
              </w:rPr>
              <w:t xml:space="preserve">050</w:t>
            </w:r>
          </w:p>
        </w:tc>
        <w:tc>
          <w:tcPr>
            <w:tcW w:w="3550" w:type="dxa"/>
            <w:vAlign w:val="center"/>
          </w:tcPr>
          <w:p>
            <w:pPr>
              <w:spacing w:after="45" w:before="35" w:line="220" w:lineRule="auto"/>
            </w:pPr>
            <w:r>
              <w:rPr>
                <w:color w:val="243746"/>
                <w:sz w:val="17"/>
              </w:rPr>
              <w:t xml:space="preserve">Board/steering body presence as coded in source workbook.</w:t>
            </w:r>
          </w:p>
        </w:tc>
        <w:tc>
          <w:tcPr>
            <w:tcW w:w="1850" w:type="dxa"/>
            <w:vAlign w:val="center"/>
          </w:tcPr>
          <w:p>
            <w:pPr>
              <w:spacing w:after="45" w:before="35" w:line="220" w:lineRule="auto"/>
            </w:pPr>
            <w:r>
              <w:rPr>
                <w:color w:val="243746"/>
                <w:sz w:val="17"/>
              </w:rPr>
              <w:t xml:space="preserve">10%</w:t>
            </w:r>
          </w:p>
        </w:tc>
      </w:tr>
      <w:tr>
        <w:trPr>
          <w:cantSplit/>
        </w:trPr>
        <w:tc>
          <w:tcPr>
            <w:tcW w:w="2150" w:type="dxa"/>
            <w:vAlign w:val="center"/>
          </w:tcPr>
          <w:p>
            <w:pPr>
              <w:spacing w:after="45" w:before="35" w:line="220" w:lineRule="auto"/>
            </w:pPr>
            <w:r>
              <w:rPr>
                <w:color w:val="243746"/>
                <w:sz w:val="17"/>
              </w:rPr>
              <w:t xml:space="preserve">Community governance</w:t>
            </w:r>
          </w:p>
        </w:tc>
        <w:tc>
          <w:tcPr>
            <w:tcW w:w="1450" w:type="dxa"/>
            <w:vAlign w:val="center"/>
          </w:tcPr>
          <w:p>
            <w:pPr>
              <w:spacing w:after="45" w:before="35" w:line="220" w:lineRule="auto"/>
            </w:pPr>
            <w:r>
              <w:rPr>
                <w:color w:val="243746"/>
                <w:sz w:val="17"/>
              </w:rPr>
              <w:t xml:space="preserve">048</w:t>
            </w:r>
          </w:p>
        </w:tc>
        <w:tc>
          <w:tcPr>
            <w:tcW w:w="3550" w:type="dxa"/>
            <w:vAlign w:val="center"/>
          </w:tcPr>
          <w:p>
            <w:pPr>
              <w:spacing w:after="45" w:before="35" w:line="220" w:lineRule="auto"/>
            </w:pPr>
            <w:r>
              <w:rPr>
                <w:color w:val="243746"/>
                <w:sz w:val="17"/>
              </w:rPr>
              <w:t xml:space="preserve">Formal=1; Ad hoc=0.5; None=0; blank follows source coding.</w:t>
            </w:r>
          </w:p>
        </w:tc>
        <w:tc>
          <w:tcPr>
            <w:tcW w:w="1850" w:type="dxa"/>
            <w:vAlign w:val="center"/>
          </w:tcPr>
          <w:p>
            <w:pPr>
              <w:spacing w:after="45" w:before="35" w:line="220" w:lineRule="auto"/>
            </w:pPr>
            <w:r>
              <w:rPr>
                <w:color w:val="243746"/>
                <w:sz w:val="17"/>
              </w:rPr>
              <w:t xml:space="preserve">10%</w:t>
            </w:r>
          </w:p>
        </w:tc>
      </w:tr>
      <w:tr>
        <w:trPr>
          <w:cantSplit/>
        </w:trPr>
        <w:tc>
          <w:tcPr>
            <w:tcW w:w="2150" w:type="dxa"/>
            <w:vAlign w:val="center"/>
          </w:tcPr>
          <w:p>
            <w:pPr>
              <w:spacing w:after="45" w:before="35" w:line="220" w:lineRule="auto"/>
            </w:pPr>
            <w:r>
              <w:rPr>
                <w:color w:val="243746"/>
                <w:sz w:val="17"/>
              </w:rPr>
              <w:t xml:space="preserve">Web accessibility</w:t>
            </w:r>
          </w:p>
        </w:tc>
        <w:tc>
          <w:tcPr>
            <w:tcW w:w="1450" w:type="dxa"/>
            <w:vAlign w:val="center"/>
          </w:tcPr>
          <w:p>
            <w:pPr>
              <w:spacing w:after="45" w:before="35" w:line="220" w:lineRule="auto"/>
            </w:pPr>
            <w:r>
              <w:rPr>
                <w:color w:val="243746"/>
                <w:sz w:val="17"/>
              </w:rPr>
              <w:t xml:space="preserve">029</w:t>
            </w:r>
          </w:p>
        </w:tc>
        <w:tc>
          <w:tcPr>
            <w:tcW w:w="3550" w:type="dxa"/>
            <w:vAlign w:val="center"/>
          </w:tcPr>
          <w:p>
            <w:pPr>
              <w:spacing w:after="45" w:before="35" w:line="220" w:lineRule="auto"/>
            </w:pPr>
            <w:r>
              <w:rPr>
                <w:color w:val="243746"/>
                <w:sz w:val="17"/>
              </w:rPr>
              <w:t xml:space="preserve">Accessibility commitment/status.</w:t>
            </w:r>
          </w:p>
        </w:tc>
        <w:tc>
          <w:tcPr>
            <w:tcW w:w="1850" w:type="dxa"/>
            <w:vAlign w:val="center"/>
          </w:tcPr>
          <w:p>
            <w:pPr>
              <w:spacing w:after="45" w:before="35" w:line="220" w:lineRule="auto"/>
            </w:pPr>
            <w:r>
              <w:rPr>
                <w:color w:val="243746"/>
                <w:sz w:val="17"/>
              </w:rPr>
              <w:t xml:space="preserve">10%</w:t>
            </w:r>
          </w:p>
        </w:tc>
      </w:tr>
      <w:tr>
        <w:trPr>
          <w:cantSplit/>
        </w:trPr>
        <w:tc>
          <w:tcPr>
            <w:tcW w:w="2150" w:type="dxa"/>
            <w:vAlign w:val="center"/>
          </w:tcPr>
          <w:p>
            <w:pPr>
              <w:spacing w:after="45" w:before="35" w:line="220" w:lineRule="auto"/>
            </w:pPr>
            <w:r>
              <w:rPr>
                <w:color w:val="243746"/>
                <w:sz w:val="17"/>
              </w:rPr>
              <w:t xml:space="preserve">Transparent pricing</w:t>
            </w:r>
          </w:p>
        </w:tc>
        <w:tc>
          <w:tcPr>
            <w:tcW w:w="1450" w:type="dxa"/>
            <w:vAlign w:val="center"/>
          </w:tcPr>
          <w:p>
            <w:pPr>
              <w:spacing w:after="45" w:before="35" w:line="220" w:lineRule="auto"/>
            </w:pPr>
            <w:r>
              <w:rPr>
                <w:color w:val="243746"/>
                <w:sz w:val="17"/>
              </w:rPr>
              <w:t xml:space="preserve">033</w:t>
            </w:r>
          </w:p>
        </w:tc>
        <w:tc>
          <w:tcPr>
            <w:tcW w:w="3550" w:type="dxa"/>
            <w:vAlign w:val="center"/>
          </w:tcPr>
          <w:p>
            <w:pPr>
              <w:spacing w:after="45" w:before="35" w:line="220" w:lineRule="auto"/>
            </w:pPr>
            <w:r>
              <w:rPr>
                <w:color w:val="243746"/>
                <w:sz w:val="17"/>
              </w:rPr>
              <w:t xml:space="preserve">Pricing transparency; current no-direct-costs mapping retained.</w:t>
            </w:r>
          </w:p>
        </w:tc>
        <w:tc>
          <w:tcPr>
            <w:tcW w:w="1850" w:type="dxa"/>
            <w:vAlign w:val="center"/>
          </w:tcPr>
          <w:p>
            <w:pPr>
              <w:spacing w:after="45" w:before="35" w:line="220" w:lineRule="auto"/>
            </w:pPr>
            <w:r>
              <w:rPr>
                <w:color w:val="243746"/>
                <w:sz w:val="17"/>
              </w:rPr>
              <w:t xml:space="preserve">10%</w:t>
            </w:r>
          </w:p>
        </w:tc>
      </w:tr>
      <w:tr>
        <w:trPr>
          <w:cantSplit/>
        </w:trPr>
        <w:tc>
          <w:tcPr>
            <w:tcW w:w="2150" w:type="dxa"/>
            <w:vAlign w:val="center"/>
          </w:tcPr>
          <w:p>
            <w:pPr>
              <w:spacing w:after="45" w:before="35" w:line="220" w:lineRule="auto"/>
            </w:pPr>
            <w:r>
              <w:rPr>
                <w:color w:val="243746"/>
                <w:sz w:val="17"/>
              </w:rPr>
              <w:t xml:space="preserve">Equity commitment</w:t>
            </w:r>
          </w:p>
        </w:tc>
        <w:tc>
          <w:tcPr>
            <w:tcW w:w="1450" w:type="dxa"/>
            <w:vAlign w:val="center"/>
          </w:tcPr>
          <w:p>
            <w:pPr>
              <w:spacing w:after="45" w:before="35" w:line="220" w:lineRule="auto"/>
            </w:pPr>
            <w:r>
              <w:rPr>
                <w:color w:val="243746"/>
                <w:sz w:val="17"/>
              </w:rPr>
              <w:t xml:space="preserve">035</w:t>
            </w:r>
          </w:p>
        </w:tc>
        <w:tc>
          <w:tcPr>
            <w:tcW w:w="3550" w:type="dxa"/>
            <w:vAlign w:val="center"/>
          </w:tcPr>
          <w:p>
            <w:pPr>
              <w:spacing w:after="45" w:before="35" w:line="220" w:lineRule="auto"/>
            </w:pPr>
            <w:r>
              <w:rPr>
                <w:color w:val="243746"/>
                <w:sz w:val="17"/>
              </w:rPr>
              <w:t xml:space="preserve">Public equity commitment/status.</w:t>
            </w:r>
          </w:p>
        </w:tc>
        <w:tc>
          <w:tcPr>
            <w:tcW w:w="1850" w:type="dxa"/>
            <w:vAlign w:val="center"/>
          </w:tcPr>
          <w:p>
            <w:pPr>
              <w:spacing w:after="45" w:before="35" w:line="220" w:lineRule="auto"/>
            </w:pPr>
            <w:r>
              <w:rPr>
                <w:color w:val="243746"/>
                <w:sz w:val="17"/>
              </w:rPr>
              <w:t xml:space="preserve">10%</w:t>
            </w:r>
          </w:p>
        </w:tc>
      </w:tr>
      <w:tr>
        <w:trPr>
          <w:cantSplit/>
        </w:trPr>
        <w:tc>
          <w:tcPr>
            <w:tcW w:w="2150" w:type="dxa"/>
            <w:vAlign w:val="center"/>
          </w:tcPr>
          <w:p>
            <w:pPr>
              <w:spacing w:after="45" w:before="35" w:line="220" w:lineRule="auto"/>
            </w:pPr>
            <w:r>
              <w:rPr>
                <w:color w:val="243746"/>
                <w:sz w:val="17"/>
              </w:rPr>
              <w:t xml:space="preserve">Privacy commitment</w:t>
            </w:r>
          </w:p>
        </w:tc>
        <w:tc>
          <w:tcPr>
            <w:tcW w:w="1450" w:type="dxa"/>
            <w:vAlign w:val="center"/>
          </w:tcPr>
          <w:p>
            <w:pPr>
              <w:spacing w:after="45" w:before="35" w:line="220" w:lineRule="auto"/>
            </w:pPr>
            <w:r>
              <w:rPr>
                <w:color w:val="243746"/>
                <w:sz w:val="17"/>
              </w:rPr>
              <w:t xml:space="preserve">044</w:t>
            </w:r>
          </w:p>
        </w:tc>
        <w:tc>
          <w:tcPr>
            <w:tcW w:w="3550" w:type="dxa"/>
            <w:vAlign w:val="center"/>
          </w:tcPr>
          <w:p>
            <w:pPr>
              <w:spacing w:after="45" w:before="35" w:line="220" w:lineRule="auto"/>
            </w:pPr>
            <w:r>
              <w:rPr>
                <w:color w:val="243746"/>
                <w:sz w:val="17"/>
              </w:rPr>
              <w:t xml:space="preserve">Public privacy commitment/status.</w:t>
            </w:r>
          </w:p>
        </w:tc>
        <w:tc>
          <w:tcPr>
            <w:tcW w:w="1850" w:type="dxa"/>
            <w:vAlign w:val="center"/>
          </w:tcPr>
          <w:p>
            <w:pPr>
              <w:spacing w:after="45" w:before="35" w:line="220" w:lineRule="auto"/>
            </w:pPr>
            <w:r>
              <w:rPr>
                <w:color w:val="243746"/>
                <w:sz w:val="17"/>
              </w:rPr>
              <w:t xml:space="preserve">10%</w:t>
            </w:r>
          </w:p>
        </w:tc>
      </w:tr>
      <w:tr>
        <w:trPr>
          <w:cantSplit/>
        </w:trPr>
        <w:tc>
          <w:tcPr>
            <w:tcW w:w="2150" w:type="dxa"/>
            <w:vAlign w:val="center"/>
          </w:tcPr>
          <w:p>
            <w:pPr>
              <w:spacing w:after="45" w:before="35" w:line="220" w:lineRule="auto"/>
            </w:pPr>
            <w:r>
              <w:rPr>
                <w:color w:val="243746"/>
                <w:sz w:val="17"/>
              </w:rPr>
              <w:t xml:space="preserve">Values frameworks</w:t>
            </w:r>
          </w:p>
        </w:tc>
        <w:tc>
          <w:tcPr>
            <w:tcW w:w="1450" w:type="dxa"/>
            <w:vAlign w:val="center"/>
          </w:tcPr>
          <w:p>
            <w:pPr>
              <w:spacing w:after="45" w:before="35" w:line="220" w:lineRule="auto"/>
            </w:pPr>
            <w:r>
              <w:rPr>
                <w:color w:val="243746"/>
                <w:sz w:val="17"/>
              </w:rPr>
              <w:t xml:space="preserve">046</w:t>
            </w:r>
          </w:p>
        </w:tc>
        <w:tc>
          <w:tcPr>
            <w:tcW w:w="3550" w:type="dxa"/>
            <w:vAlign w:val="center"/>
          </w:tcPr>
          <w:p>
            <w:pPr>
              <w:spacing w:after="45" w:before="35" w:line="220" w:lineRule="auto"/>
            </w:pPr>
            <w:r>
              <w:rPr>
                <w:color w:val="243746"/>
                <w:sz w:val="17"/>
              </w:rPr>
              <w:t xml:space="preserve">Named framework presence as coded in source workbook.</w:t>
            </w:r>
          </w:p>
        </w:tc>
        <w:tc>
          <w:tcPr>
            <w:tcW w:w="1850" w:type="dxa"/>
            <w:vAlign w:val="center"/>
          </w:tcPr>
          <w:p>
            <w:pPr>
              <w:spacing w:after="45" w:before="35" w:line="220" w:lineRule="auto"/>
            </w:pPr>
            <w:r>
              <w:rPr>
                <w:color w:val="243746"/>
                <w:sz w:val="17"/>
              </w:rPr>
              <w:t xml:space="preserve">10%</w:t>
            </w:r>
          </w:p>
        </w:tc>
      </w:tr>
      <w:tr>
        <w:trPr>
          <w:cantSplit/>
        </w:trPr>
        <w:tc>
          <w:tcPr>
            <w:tcW w:w="2150" w:type="dxa"/>
            <w:shd w:fill="DCE6F1"/>
            <w:vAlign w:val="center"/>
          </w:tcPr>
          <w:p>
            <w:pPr>
              <w:spacing w:after="45" w:before="35" w:line="220" w:lineRule="auto"/>
            </w:pPr>
            <w:r>
              <w:rPr>
                <w:b/>
                <w:color w:val="243746"/>
                <w:sz w:val="17"/>
              </w:rPr>
              <w:t xml:space="preserve">Organizational Capacity</w:t>
            </w:r>
          </w:p>
        </w:tc>
        <w:tc>
          <w:tcPr>
            <w:tcW w:w="1450" w:type="dxa"/>
            <w:shd w:fill="DCE6F1"/>
            <w:vAlign w:val="center"/>
          </w:tcPr>
          <w:p>
            <w:pPr>
              <w:spacing w:after="45" w:before="35" w:line="220" w:lineRule="auto"/>
            </w:pPr>
            <w:r>
              <w:rPr>
                <w:b/>
                <w:color w:val="243746"/>
                <w:sz w:val="17"/>
              </w:rPr>
              <w:t xml:space="preserve">Fields</w:t>
            </w:r>
          </w:p>
        </w:tc>
        <w:tc>
          <w:tcPr>
            <w:tcW w:w="3550" w:type="dxa"/>
            <w:shd w:fill="DCE6F1"/>
            <w:vAlign w:val="center"/>
          </w:tcPr>
          <w:p>
            <w:pPr>
              <w:spacing w:after="45" w:before="35" w:line="220" w:lineRule="auto"/>
            </w:pPr>
            <w:r>
              <w:rPr>
                <w:b/>
                <w:color w:val="243746"/>
                <w:sz w:val="17"/>
              </w:rPr>
              <w:t xml:space="preserve">Measure / scoring interpretation</w:t>
            </w:r>
          </w:p>
        </w:tc>
        <w:tc>
          <w:tcPr>
            <w:tcW w:w="1850" w:type="dxa"/>
            <w:shd w:fill="DCE6F1"/>
            <w:vAlign w:val="center"/>
          </w:tcPr>
          <w:p>
            <w:pPr>
              <w:spacing w:after="45" w:before="35" w:line="220" w:lineRule="auto"/>
            </w:pPr>
            <w:r>
              <w:rPr>
                <w:b/>
                <w:color w:val="243746"/>
                <w:sz w:val="17"/>
              </w:rPr>
              <w:t xml:space="preserve">Equal share</w:t>
            </w:r>
          </w:p>
        </w:tc>
      </w:tr>
      <w:tr>
        <w:trPr>
          <w:cantSplit/>
        </w:trPr>
        <w:tc>
          <w:tcPr>
            <w:tcW w:w="2150" w:type="dxa"/>
            <w:vAlign w:val="center"/>
          </w:tcPr>
          <w:p>
            <w:pPr>
              <w:spacing w:after="45" w:before="35" w:line="220" w:lineRule="auto"/>
            </w:pPr>
            <w:r>
              <w:rPr>
                <w:color w:val="243746"/>
                <w:sz w:val="17"/>
              </w:rPr>
              <w:t xml:space="preserve">M1 Technology readiness</w:t>
            </w:r>
          </w:p>
        </w:tc>
        <w:tc>
          <w:tcPr>
            <w:tcW w:w="1450" w:type="dxa"/>
            <w:vAlign w:val="center"/>
          </w:tcPr>
          <w:p>
            <w:pPr>
              <w:spacing w:after="45" w:before="35" w:line="220" w:lineRule="auto"/>
            </w:pPr>
            <w:r>
              <w:rPr>
                <w:color w:val="243746"/>
                <w:sz w:val="17"/>
              </w:rPr>
              <w:t xml:space="preserve">079</w:t>
            </w:r>
          </w:p>
        </w:tc>
        <w:tc>
          <w:tcPr>
            <w:tcW w:w="3550" w:type="dxa"/>
            <w:vAlign w:val="center"/>
          </w:tcPr>
          <w:p>
            <w:pPr>
              <w:spacing w:after="45" w:before="35" w:line="220" w:lineRule="auto"/>
            </w:pPr>
            <w:r>
              <w:rPr>
                <w:color w:val="243746"/>
                <w:sz w:val="17"/>
              </w:rPr>
              <w:t xml:space="preserve">Readiness level under component scoring anchors.</w:t>
            </w:r>
          </w:p>
        </w:tc>
        <w:tc>
          <w:tcPr>
            <w:tcW w:w="1850" w:type="dxa"/>
            <w:vAlign w:val="center"/>
          </w:tcPr>
          <w:p>
            <w:pPr>
              <w:spacing w:after="45" w:before="35" w:line="220" w:lineRule="auto"/>
            </w:pPr>
            <w:r>
              <w:rPr>
                <w:color w:val="243746"/>
                <w:sz w:val="17"/>
              </w:rPr>
              <w:t xml:space="preserve">1/k; 12.5% if k=8</w:t>
            </w:r>
          </w:p>
        </w:tc>
      </w:tr>
      <w:tr>
        <w:trPr>
          <w:cantSplit/>
        </w:trPr>
        <w:tc>
          <w:tcPr>
            <w:tcW w:w="2150" w:type="dxa"/>
            <w:vAlign w:val="center"/>
          </w:tcPr>
          <w:p>
            <w:pPr>
              <w:spacing w:after="45" w:before="35" w:line="220" w:lineRule="auto"/>
            </w:pPr>
            <w:r>
              <w:rPr>
                <w:color w:val="243746"/>
                <w:sz w:val="17"/>
              </w:rPr>
              <w:t xml:space="preserve">M2 Maintenance status</w:t>
            </w:r>
          </w:p>
        </w:tc>
        <w:tc>
          <w:tcPr>
            <w:tcW w:w="1450" w:type="dxa"/>
            <w:vAlign w:val="center"/>
          </w:tcPr>
          <w:p>
            <w:pPr>
              <w:spacing w:after="45" w:before="35" w:line="220" w:lineRule="auto"/>
            </w:pPr>
            <w:r>
              <w:rPr>
                <w:color w:val="243746"/>
                <w:sz w:val="17"/>
              </w:rPr>
              <w:t xml:space="preserve">080</w:t>
            </w:r>
          </w:p>
        </w:tc>
        <w:tc>
          <w:tcPr>
            <w:tcW w:w="3550" w:type="dxa"/>
            <w:vAlign w:val="center"/>
          </w:tcPr>
          <w:p>
            <w:pPr>
              <w:spacing w:after="45" w:before="35" w:line="220" w:lineRule="auto"/>
            </w:pPr>
            <w:r>
              <w:rPr>
                <w:color w:val="243746"/>
                <w:sz w:val="17"/>
              </w:rPr>
              <w:t xml:space="preserve">Maintenance status under component scoring anchors.</w:t>
            </w:r>
          </w:p>
        </w:tc>
        <w:tc>
          <w:tcPr>
            <w:tcW w:w="1850" w:type="dxa"/>
            <w:vAlign w:val="center"/>
          </w:tcPr>
          <w:p>
            <w:pPr>
              <w:spacing w:after="45" w:before="35" w:line="220" w:lineRule="auto"/>
            </w:pPr>
            <w:r>
              <w:rPr>
                <w:color w:val="243746"/>
                <w:sz w:val="17"/>
              </w:rPr>
              <w:t xml:space="preserve">1/k; 12.5% if k=8</w:t>
            </w:r>
          </w:p>
        </w:tc>
      </w:tr>
      <w:tr>
        <w:trPr>
          <w:cantSplit/>
        </w:trPr>
        <w:tc>
          <w:tcPr>
            <w:tcW w:w="2150" w:type="dxa"/>
            <w:vAlign w:val="center"/>
          </w:tcPr>
          <w:p>
            <w:pPr>
              <w:spacing w:after="45" w:before="35" w:line="220" w:lineRule="auto"/>
            </w:pPr>
            <w:r>
              <w:rPr>
                <w:color w:val="243746"/>
                <w:sz w:val="17"/>
              </w:rPr>
              <w:t xml:space="preserve">M3 Infrastructure age</w:t>
            </w:r>
          </w:p>
        </w:tc>
        <w:tc>
          <w:tcPr>
            <w:tcW w:w="1450" w:type="dxa"/>
            <w:vAlign w:val="center"/>
          </w:tcPr>
          <w:p>
            <w:pPr>
              <w:spacing w:after="45" w:before="35" w:line="220" w:lineRule="auto"/>
            </w:pPr>
            <w:r>
              <w:rPr>
                <w:color w:val="243746"/>
                <w:sz w:val="17"/>
              </w:rPr>
              <w:t xml:space="preserve">056</w:t>
            </w:r>
          </w:p>
        </w:tc>
        <w:tc>
          <w:tcPr>
            <w:tcW w:w="3550" w:type="dxa"/>
            <w:vAlign w:val="center"/>
          </w:tcPr>
          <w:p>
            <w:pPr>
              <w:spacing w:after="45" w:before="35" w:line="220" w:lineRule="auto"/>
            </w:pPr>
            <w:r>
              <w:rPr>
                <w:color w:val="243746"/>
                <w:sz w:val="17"/>
              </w:rPr>
              <w:t xml:space="preserve">Capped age/tenure score under component rule.</w:t>
            </w:r>
          </w:p>
        </w:tc>
        <w:tc>
          <w:tcPr>
            <w:tcW w:w="1850" w:type="dxa"/>
            <w:vAlign w:val="center"/>
          </w:tcPr>
          <w:p>
            <w:pPr>
              <w:spacing w:after="45" w:before="35" w:line="220" w:lineRule="auto"/>
            </w:pPr>
            <w:r>
              <w:rPr>
                <w:color w:val="243746"/>
                <w:sz w:val="17"/>
              </w:rPr>
              <w:t xml:space="preserve">1/k; 12.5% if k=8</w:t>
            </w:r>
          </w:p>
        </w:tc>
      </w:tr>
      <w:tr>
        <w:trPr>
          <w:cantSplit/>
        </w:trPr>
        <w:tc>
          <w:tcPr>
            <w:tcW w:w="2150" w:type="dxa"/>
            <w:vAlign w:val="center"/>
          </w:tcPr>
          <w:p>
            <w:pPr>
              <w:spacing w:after="45" w:before="35" w:line="220" w:lineRule="auto"/>
            </w:pPr>
            <w:r>
              <w:rPr>
                <w:color w:val="243746"/>
                <w:sz w:val="17"/>
              </w:rPr>
              <w:t xml:space="preserve">I1 Formal organizational host</w:t>
            </w:r>
          </w:p>
        </w:tc>
        <w:tc>
          <w:tcPr>
            <w:tcW w:w="1450" w:type="dxa"/>
            <w:vAlign w:val="center"/>
          </w:tcPr>
          <w:p>
            <w:pPr>
              <w:spacing w:after="45" w:before="35" w:line="220" w:lineRule="auto"/>
            </w:pPr>
            <w:r>
              <w:rPr>
                <w:color w:val="243746"/>
                <w:sz w:val="17"/>
              </w:rPr>
              <w:t xml:space="preserve">051</w:t>
            </w:r>
          </w:p>
        </w:tc>
        <w:tc>
          <w:tcPr>
            <w:tcW w:w="3550" w:type="dxa"/>
            <w:vAlign w:val="center"/>
          </w:tcPr>
          <w:p>
            <w:pPr>
              <w:spacing w:after="45" w:before="35" w:line="220" w:lineRule="auto"/>
            </w:pPr>
            <w:r>
              <w:rPr>
                <w:color w:val="243746"/>
                <w:sz w:val="17"/>
              </w:rPr>
              <w:t xml:space="preserve">Organizational host type under component rule.</w:t>
            </w:r>
          </w:p>
        </w:tc>
        <w:tc>
          <w:tcPr>
            <w:tcW w:w="1850" w:type="dxa"/>
            <w:vAlign w:val="center"/>
          </w:tcPr>
          <w:p>
            <w:pPr>
              <w:spacing w:after="45" w:before="35" w:line="220" w:lineRule="auto"/>
            </w:pPr>
            <w:r>
              <w:rPr>
                <w:color w:val="243746"/>
                <w:sz w:val="17"/>
              </w:rPr>
              <w:t xml:space="preserve">1/k; 12.5% if k=8</w:t>
            </w:r>
          </w:p>
        </w:tc>
      </w:tr>
      <w:tr>
        <w:trPr>
          <w:cantSplit/>
        </w:trPr>
        <w:tc>
          <w:tcPr>
            <w:tcW w:w="2150" w:type="dxa"/>
            <w:vAlign w:val="center"/>
          </w:tcPr>
          <w:p>
            <w:pPr>
              <w:spacing w:after="45" w:before="35" w:line="220" w:lineRule="auto"/>
            </w:pPr>
            <w:r>
              <w:rPr>
                <w:color w:val="243746"/>
                <w:sz w:val="17"/>
              </w:rPr>
              <w:t xml:space="preserve">I2 Affiliations / institutional support</w:t>
            </w:r>
          </w:p>
        </w:tc>
        <w:tc>
          <w:tcPr>
            <w:tcW w:w="1450" w:type="dxa"/>
            <w:vAlign w:val="center"/>
          </w:tcPr>
          <w:p>
            <w:pPr>
              <w:spacing w:after="45" w:before="35" w:line="220" w:lineRule="auto"/>
            </w:pPr>
            <w:r>
              <w:rPr>
                <w:color w:val="243746"/>
                <w:sz w:val="17"/>
              </w:rPr>
              <w:t xml:space="preserve">058</w:t>
            </w:r>
          </w:p>
        </w:tc>
        <w:tc>
          <w:tcPr>
            <w:tcW w:w="3550" w:type="dxa"/>
            <w:vAlign w:val="center"/>
          </w:tcPr>
          <w:p>
            <w:pPr>
              <w:spacing w:after="45" w:before="35" w:line="220" w:lineRule="auto"/>
            </w:pPr>
            <w:r>
              <w:rPr>
                <w:color w:val="243746"/>
                <w:sz w:val="17"/>
              </w:rPr>
              <w:t xml:space="preserve">Affiliation/support evidence.</w:t>
            </w:r>
          </w:p>
        </w:tc>
        <w:tc>
          <w:tcPr>
            <w:tcW w:w="1850" w:type="dxa"/>
            <w:vAlign w:val="center"/>
          </w:tcPr>
          <w:p>
            <w:pPr>
              <w:spacing w:after="45" w:before="35" w:line="220" w:lineRule="auto"/>
            </w:pPr>
            <w:r>
              <w:rPr>
                <w:color w:val="243746"/>
                <w:sz w:val="17"/>
              </w:rPr>
              <w:t xml:space="preserve">1/k; 12.5% if k=8</w:t>
            </w:r>
          </w:p>
        </w:tc>
      </w:tr>
      <w:tr>
        <w:trPr>
          <w:cantSplit/>
        </w:trPr>
        <w:tc>
          <w:tcPr>
            <w:tcW w:w="2150" w:type="dxa"/>
            <w:vAlign w:val="center"/>
          </w:tcPr>
          <w:p>
            <w:pPr>
              <w:spacing w:after="45" w:before="35" w:line="220" w:lineRule="auto"/>
            </w:pPr>
            <w:r>
              <w:rPr>
                <w:color w:val="243746"/>
                <w:sz w:val="17"/>
              </w:rPr>
              <w:t xml:space="preserve">I3 SCOSS participation</w:t>
            </w:r>
          </w:p>
        </w:tc>
        <w:tc>
          <w:tcPr>
            <w:tcW w:w="1450" w:type="dxa"/>
            <w:vAlign w:val="center"/>
          </w:tcPr>
          <w:p>
            <w:pPr>
              <w:spacing w:after="45" w:before="35" w:line="220" w:lineRule="auto"/>
            </w:pPr>
            <w:r>
              <w:rPr>
                <w:color w:val="243746"/>
                <w:sz w:val="17"/>
              </w:rPr>
              <w:t xml:space="preserve">099</w:t>
            </w:r>
          </w:p>
        </w:tc>
        <w:tc>
          <w:tcPr>
            <w:tcW w:w="3550" w:type="dxa"/>
            <w:vAlign w:val="center"/>
          </w:tcPr>
          <w:p>
            <w:pPr>
              <w:spacing w:after="45" w:before="35" w:line="220" w:lineRule="auto"/>
            </w:pPr>
            <w:r>
              <w:rPr>
                <w:color w:val="243746"/>
                <w:sz w:val="17"/>
              </w:rPr>
              <w:t xml:space="preserve">Participation status under component rule.</w:t>
            </w:r>
          </w:p>
        </w:tc>
        <w:tc>
          <w:tcPr>
            <w:tcW w:w="1850" w:type="dxa"/>
            <w:vAlign w:val="center"/>
          </w:tcPr>
          <w:p>
            <w:pPr>
              <w:spacing w:after="45" w:before="35" w:line="220" w:lineRule="auto"/>
            </w:pPr>
            <w:r>
              <w:rPr>
                <w:color w:val="243746"/>
                <w:sz w:val="17"/>
              </w:rPr>
              <w:t xml:space="preserve">1/k; 12.5% if k=8</w:t>
            </w:r>
          </w:p>
        </w:tc>
      </w:tr>
      <w:tr>
        <w:trPr>
          <w:cantSplit/>
        </w:trPr>
        <w:tc>
          <w:tcPr>
            <w:tcW w:w="2150" w:type="dxa"/>
            <w:vAlign w:val="center"/>
          </w:tcPr>
          <w:p>
            <w:pPr>
              <w:spacing w:after="45" w:before="35" w:line="220" w:lineRule="auto"/>
            </w:pPr>
            <w:r>
              <w:rPr>
                <w:color w:val="243746"/>
                <w:sz w:val="17"/>
              </w:rPr>
              <w:t xml:space="preserve">O1 Hosted/SaaS availability</w:t>
            </w:r>
          </w:p>
        </w:tc>
        <w:tc>
          <w:tcPr>
            <w:tcW w:w="1450" w:type="dxa"/>
            <w:vAlign w:val="center"/>
          </w:tcPr>
          <w:p>
            <w:pPr>
              <w:spacing w:after="45" w:before="35" w:line="220" w:lineRule="auto"/>
            </w:pPr>
            <w:r>
              <w:rPr>
                <w:color w:val="243746"/>
                <w:sz w:val="17"/>
              </w:rPr>
              <w:t xml:space="preserve">076</w:t>
            </w:r>
          </w:p>
        </w:tc>
        <w:tc>
          <w:tcPr>
            <w:tcW w:w="3550" w:type="dxa"/>
            <w:vAlign w:val="center"/>
          </w:tcPr>
          <w:p>
            <w:pPr>
              <w:spacing w:after="45" w:before="35" w:line="220" w:lineRule="auto"/>
            </w:pPr>
            <w:r>
              <w:rPr>
                <w:color w:val="243746"/>
                <w:sz w:val="17"/>
              </w:rPr>
              <w:t xml:space="preserve">Service availability; exclude if structurally Not applicable.</w:t>
            </w:r>
          </w:p>
        </w:tc>
        <w:tc>
          <w:tcPr>
            <w:tcW w:w="1850" w:type="dxa"/>
            <w:vAlign w:val="center"/>
          </w:tcPr>
          <w:p>
            <w:pPr>
              <w:spacing w:after="45" w:before="35" w:line="220" w:lineRule="auto"/>
            </w:pPr>
            <w:r>
              <w:rPr>
                <w:color w:val="243746"/>
                <w:sz w:val="17"/>
              </w:rPr>
              <w:t xml:space="preserve">1/k; 12.5% if k=8</w:t>
            </w:r>
          </w:p>
        </w:tc>
      </w:tr>
      <w:tr>
        <w:trPr>
          <w:cantSplit/>
        </w:trPr>
        <w:tc>
          <w:tcPr>
            <w:tcW w:w="2150" w:type="dxa"/>
            <w:vAlign w:val="center"/>
          </w:tcPr>
          <w:p>
            <w:pPr>
              <w:spacing w:after="45" w:before="35" w:line="220" w:lineRule="auto"/>
            </w:pPr>
            <w:r>
              <w:rPr>
                <w:color w:val="243746"/>
                <w:sz w:val="17"/>
              </w:rPr>
              <w:t xml:space="preserve">O2 Service-provider ecosystem</w:t>
            </w:r>
          </w:p>
        </w:tc>
        <w:tc>
          <w:tcPr>
            <w:tcW w:w="1450" w:type="dxa"/>
            <w:vAlign w:val="center"/>
          </w:tcPr>
          <w:p>
            <w:pPr>
              <w:spacing w:after="45" w:before="35" w:line="220" w:lineRule="auto"/>
            </w:pPr>
            <w:r>
              <w:rPr>
                <w:color w:val="243746"/>
                <w:sz w:val="17"/>
              </w:rPr>
              <w:t xml:space="preserve">077</w:t>
            </w:r>
          </w:p>
        </w:tc>
        <w:tc>
          <w:tcPr>
            <w:tcW w:w="3550" w:type="dxa"/>
            <w:vAlign w:val="center"/>
          </w:tcPr>
          <w:p>
            <w:pPr>
              <w:spacing w:after="45" w:before="35" w:line="220" w:lineRule="auto"/>
            </w:pPr>
            <w:r>
              <w:rPr>
                <w:color w:val="243746"/>
                <w:sz w:val="17"/>
              </w:rPr>
              <w:t xml:space="preserve">Registered provider evidence; applicable to specified third-party delivery.</w:t>
            </w:r>
          </w:p>
        </w:tc>
        <w:tc>
          <w:tcPr>
            <w:tcW w:w="1850" w:type="dxa"/>
            <w:vAlign w:val="center"/>
          </w:tcPr>
          <w:p>
            <w:pPr>
              <w:spacing w:after="45" w:before="35" w:line="220" w:lineRule="auto"/>
            </w:pPr>
            <w:r>
              <w:rPr>
                <w:color w:val="243746"/>
                <w:sz w:val="17"/>
              </w:rPr>
              <w:t xml:space="preserve">1/k; 12.5% if k=8</w:t>
            </w:r>
          </w:p>
        </w:tc>
      </w:tr>
    </w:tbl>
    <w:p>
      <w:pPr>
        <w:pStyle w:val="Heading2"/>
      </w:pPr>
      <w:r>
        <w:t xml:space="preserve">Metric normalization formulas</w:t>
      </w:r>
    </w:p>
    <w:tbl>
      <w:tblPr>
        <w:tblStyle w:val="TableGrid"/>
        <w:tblW w:w="9000" w:type="dxa"/>
        <w:tblLayout w:type="fixed"/>
        <w:tblCellMar>
          <w:top w:w="65" w:type="dxa"/>
          <w:left w:w="90" w:type="dxa"/>
          <w:bottom w:w="65" w:type="dxa"/>
          <w:right w:w="90" w:type="dxa"/>
        </w:tblCellMar>
        <w:tblBorders>
          <w:top w:val="single" w:sz="5" w:color="B7C9D6"/>
          <w:left w:val="single" w:sz="5" w:color="B7C9D6"/>
          <w:bottom w:val="single" w:sz="5" w:color="B7C9D6"/>
          <w:right w:val="single" w:sz="5" w:color="B7C9D6"/>
          <w:insideH w:val="single" w:sz="4" w:color="D7E0E7"/>
          <w:insideV w:val="single" w:sz="4" w:color="D7E0E7"/>
        </w:tblBorders>
      </w:tblPr>
      <w:tr>
        <w:trPr>
          <w:cantSplit/>
        </w:trPr>
        <w:tblHeader w:val="true"/>
        <w:tc>
          <w:tcPr>
            <w:tcW w:w="2150" w:type="dxa"/>
            <w:shd w:fill="1F4E78"/>
            <w:vAlign w:val="center"/>
          </w:tcPr>
          <w:p>
            <w:pPr>
              <w:spacing w:after="45" w:before="35" w:line="220" w:lineRule="auto"/>
            </w:pPr>
            <w:r>
              <w:rPr>
                <w:b/>
                <w:color w:val="FFFFFF"/>
                <w:sz w:val="17"/>
              </w:rPr>
              <w:t xml:space="preserve">Component</w:t>
            </w:r>
          </w:p>
        </w:tc>
        <w:tc>
          <w:tcPr>
            <w:tcW w:w="1450" w:type="dxa"/>
            <w:shd w:fill="1F4E78"/>
            <w:vAlign w:val="center"/>
          </w:tcPr>
          <w:p>
            <w:pPr>
              <w:spacing w:after="45" w:before="35" w:line="220" w:lineRule="auto"/>
            </w:pPr>
            <w:r>
              <w:rPr>
                <w:b/>
                <w:color w:val="FFFFFF"/>
                <w:sz w:val="17"/>
              </w:rPr>
              <w:t xml:space="preserve">Metric(s)</w:t>
            </w:r>
          </w:p>
        </w:tc>
        <w:tc>
          <w:tcPr>
            <w:tcW w:w="3550" w:type="dxa"/>
            <w:shd w:fill="1F4E78"/>
            <w:vAlign w:val="center"/>
          </w:tcPr>
          <w:p>
            <w:pPr>
              <w:spacing w:after="45" w:before="35" w:line="220" w:lineRule="auto"/>
            </w:pPr>
            <w:r>
              <w:rPr>
                <w:b/>
                <w:color w:val="FFFFFF"/>
                <w:sz w:val="17"/>
              </w:rPr>
              <w:t xml:space="preserve">Normalization formula / rule</w:t>
            </w:r>
          </w:p>
        </w:tc>
        <w:tc>
          <w:tcPr>
            <w:tcW w:w="1850" w:type="dxa"/>
            <w:shd w:fill="1F4E78"/>
            <w:vAlign w:val="center"/>
          </w:tcPr>
          <w:p>
            <w:pPr>
              <w:spacing w:after="45" w:before="35" w:line="220" w:lineRule="auto"/>
            </w:pPr>
            <w:r>
              <w:rPr>
                <w:b/>
                <w:color w:val="FFFFFF"/>
                <w:sz w:val="17"/>
              </w:rPr>
              <w:t xml:space="preserve">Missing-data note</w:t>
            </w:r>
          </w:p>
        </w:tc>
      </w:tr>
      <w:tr>
        <w:trPr>
          <w:cantSplit/>
        </w:trPr>
        <w:tc>
          <w:tcPr>
            <w:tcW w:w="2150" w:type="dxa"/>
            <w:vAlign w:val="center"/>
          </w:tcPr>
          <w:p>
            <w:pPr>
              <w:spacing w:after="45" w:before="35" w:line="220" w:lineRule="auto"/>
            </w:pPr>
            <w:r>
              <w:rPr>
                <w:color w:val="243746"/>
                <w:sz w:val="17"/>
              </w:rPr>
              <w:t xml:space="preserve">Community Engagement</w:t>
            </w:r>
          </w:p>
        </w:tc>
        <w:tc>
          <w:tcPr>
            <w:tcW w:w="1450" w:type="dxa"/>
            <w:vAlign w:val="center"/>
          </w:tcPr>
          <w:p>
            <w:pPr>
              <w:spacing w:after="45" w:before="35" w:line="220" w:lineRule="auto"/>
            </w:pPr>
            <w:r>
              <w:rPr>
                <w:color w:val="243746"/>
                <w:sz w:val="17"/>
              </w:rPr>
              <w:t xml:space="preserve">E1</w:t>
            </w:r>
          </w:p>
        </w:tc>
        <w:tc>
          <w:tcPr>
            <w:tcW w:w="3550" w:type="dxa"/>
            <w:vAlign w:val="center"/>
          </w:tcPr>
          <w:p>
            <w:pPr>
              <w:spacing w:after="45" w:before="35" w:line="220" w:lineRule="auto"/>
            </w:pPr>
            <w:r>
              <w:rPr>
                <w:color w:val="243746"/>
                <w:sz w:val="17"/>
              </w:rPr>
              <w:t xml:space="preserve">Implemented=1; in progress=0.67; considering=0.33; not planning=0.</w:t>
            </w:r>
          </w:p>
        </w:tc>
        <w:tc>
          <w:tcPr>
            <w:tcW w:w="1850" w:type="dxa"/>
            <w:vAlign w:val="center"/>
          </w:tcPr>
          <w:p>
            <w:pPr>
              <w:spacing w:after="45" w:before="35" w:line="220" w:lineRule="auto"/>
            </w:pPr>
            <w:r>
              <w:rPr>
                <w:color w:val="243746"/>
                <w:sz w:val="17"/>
              </w:rPr>
              <w:t xml:space="preserve">Unknown/blank = NA.</w:t>
            </w:r>
          </w:p>
        </w:tc>
      </w:tr>
      <w:tr>
        <w:trPr>
          <w:cantSplit/>
        </w:trPr>
        <w:tc>
          <w:tcPr>
            <w:tcW w:w="2150" w:type="dxa"/>
            <w:vAlign w:val="center"/>
          </w:tcPr>
          <w:p>
            <w:pPr>
              <w:spacing w:after="45" w:before="35" w:line="220" w:lineRule="auto"/>
            </w:pPr>
            <w:r>
              <w:rPr>
                <w:color w:val="243746"/>
                <w:sz w:val="17"/>
              </w:rPr>
              <w:t xml:space="preserve">Community Engagement</w:t>
            </w:r>
          </w:p>
        </w:tc>
        <w:tc>
          <w:tcPr>
            <w:tcW w:w="1450" w:type="dxa"/>
            <w:vAlign w:val="center"/>
          </w:tcPr>
          <w:p>
            <w:pPr>
              <w:spacing w:after="45" w:before="35" w:line="220" w:lineRule="auto"/>
            </w:pPr>
            <w:r>
              <w:rPr>
                <w:color w:val="243746"/>
                <w:sz w:val="17"/>
              </w:rPr>
              <w:t xml:space="preserve">E2</w:t>
            </w:r>
          </w:p>
        </w:tc>
        <w:tc>
          <w:tcPr>
            <w:tcW w:w="3550" w:type="dxa"/>
            <w:vAlign w:val="center"/>
          </w:tcPr>
          <w:p>
            <w:pPr>
              <w:spacing w:after="45" w:before="35" w:line="220" w:lineRule="auto"/>
            </w:pPr>
            <w:r>
              <w:rPr>
                <w:color w:val="243746"/>
                <w:sz w:val="17"/>
              </w:rPr>
              <w:t xml:space="preserve">min(distinct recognized categories, 8) / 8.</w:t>
            </w:r>
          </w:p>
        </w:tc>
        <w:tc>
          <w:tcPr>
            <w:tcW w:w="1850" w:type="dxa"/>
            <w:vAlign w:val="center"/>
          </w:tcPr>
          <w:p>
            <w:pPr>
              <w:spacing w:after="45" w:before="35" w:line="220" w:lineRule="auto"/>
            </w:pPr>
            <w:r>
              <w:rPr>
                <w:color w:val="243746"/>
                <w:sz w:val="17"/>
              </w:rPr>
              <w:t xml:space="preserve">No recognized categories = NA.</w:t>
            </w:r>
          </w:p>
        </w:tc>
      </w:tr>
      <w:tr>
        <w:trPr>
          <w:cantSplit/>
        </w:trPr>
        <w:tc>
          <w:tcPr>
            <w:tcW w:w="2150" w:type="dxa"/>
            <w:vAlign w:val="center"/>
          </w:tcPr>
          <w:p>
            <w:pPr>
              <w:spacing w:after="45" w:before="35" w:line="220" w:lineRule="auto"/>
            </w:pPr>
            <w:r>
              <w:rPr>
                <w:color w:val="243746"/>
                <w:sz w:val="17"/>
              </w:rPr>
              <w:t xml:space="preserve">Community Engagement</w:t>
            </w:r>
          </w:p>
        </w:tc>
        <w:tc>
          <w:tcPr>
            <w:tcW w:w="1450" w:type="dxa"/>
            <w:vAlign w:val="center"/>
          </w:tcPr>
          <w:p>
            <w:pPr>
              <w:spacing w:after="45" w:before="35" w:line="220" w:lineRule="auto"/>
            </w:pPr>
            <w:r>
              <w:rPr>
                <w:color w:val="243746"/>
                <w:sz w:val="17"/>
              </w:rPr>
              <w:t xml:space="preserve">E3</w:t>
            </w:r>
          </w:p>
        </w:tc>
        <w:tc>
          <w:tcPr>
            <w:tcW w:w="3550" w:type="dxa"/>
            <w:vAlign w:val="center"/>
          </w:tcPr>
          <w:p>
            <w:pPr>
              <w:spacing w:after="45" w:before="35" w:line="220" w:lineRule="auto"/>
            </w:pPr>
            <w:r>
              <w:rPr>
                <w:color w:val="243746"/>
                <w:sz w:val="17"/>
              </w:rPr>
              <w:t xml:space="preserve">URL=1; substantive 938 description=0.5; otherwise NA.</w:t>
            </w:r>
          </w:p>
        </w:tc>
        <w:tc>
          <w:tcPr>
            <w:tcW w:w="1850" w:type="dxa"/>
            <w:vAlign w:val="center"/>
          </w:tcPr>
          <w:p>
            <w:pPr>
              <w:spacing w:after="45" w:before="35" w:line="220" w:lineRule="auto"/>
            </w:pPr>
            <w:r>
              <w:rPr>
                <w:color w:val="243746"/>
                <w:sz w:val="17"/>
              </w:rPr>
              <w:t xml:space="preserve">Evidence score.</w:t>
            </w:r>
          </w:p>
        </w:tc>
      </w:tr>
      <w:tr>
        <w:trPr>
          <w:cantSplit/>
        </w:trPr>
        <w:tc>
          <w:tcPr>
            <w:tcW w:w="2150" w:type="dxa"/>
            <w:vAlign w:val="center"/>
          </w:tcPr>
          <w:p>
            <w:pPr>
              <w:spacing w:after="45" w:before="35" w:line="220" w:lineRule="auto"/>
            </w:pPr>
            <w:r>
              <w:rPr>
                <w:color w:val="243746"/>
                <w:sz w:val="17"/>
              </w:rPr>
              <w:t xml:space="preserve">Community Engagement</w:t>
            </w:r>
          </w:p>
        </w:tc>
        <w:tc>
          <w:tcPr>
            <w:tcW w:w="1450" w:type="dxa"/>
            <w:vAlign w:val="center"/>
          </w:tcPr>
          <w:p>
            <w:pPr>
              <w:spacing w:after="45" w:before="35" w:line="220" w:lineRule="auto"/>
            </w:pPr>
            <w:r>
              <w:rPr>
                <w:color w:val="243746"/>
                <w:sz w:val="17"/>
              </w:rPr>
              <w:t xml:space="preserve">C1</w:t>
            </w:r>
          </w:p>
        </w:tc>
        <w:tc>
          <w:tcPr>
            <w:tcW w:w="3550" w:type="dxa"/>
            <w:vAlign w:val="center"/>
          </w:tcPr>
          <w:p>
            <w:pPr>
              <w:spacing w:after="45" w:before="35" w:line="220" w:lineRule="auto"/>
            </w:pPr>
            <w:r>
              <w:rPr>
                <w:color w:val="243746"/>
                <w:sz w:val="17"/>
              </w:rPr>
              <w:t xml:space="preserve">min(distinct opportunities, 6) / 6.</w:t>
            </w:r>
          </w:p>
        </w:tc>
        <w:tc>
          <w:tcPr>
            <w:tcW w:w="1850" w:type="dxa"/>
            <w:vAlign w:val="center"/>
          </w:tcPr>
          <w:p>
            <w:pPr>
              <w:spacing w:after="45" w:before="35" w:line="220" w:lineRule="auto"/>
            </w:pPr>
            <w:r>
              <w:rPr>
                <w:color w:val="243746"/>
                <w:sz w:val="17"/>
              </w:rPr>
              <w:t xml:space="preserve">No opportunities = NA.</w:t>
            </w:r>
          </w:p>
        </w:tc>
      </w:tr>
      <w:tr>
        <w:trPr>
          <w:cantSplit/>
        </w:trPr>
        <w:tc>
          <w:tcPr>
            <w:tcW w:w="2150" w:type="dxa"/>
            <w:vAlign w:val="center"/>
          </w:tcPr>
          <w:p>
            <w:pPr>
              <w:spacing w:after="45" w:before="35" w:line="220" w:lineRule="auto"/>
            </w:pPr>
            <w:r>
              <w:rPr>
                <w:color w:val="243746"/>
                <w:sz w:val="17"/>
              </w:rPr>
              <w:t xml:space="preserve">Community Engagement</w:t>
            </w:r>
          </w:p>
        </w:tc>
        <w:tc>
          <w:tcPr>
            <w:tcW w:w="1450" w:type="dxa"/>
            <w:vAlign w:val="center"/>
          </w:tcPr>
          <w:p>
            <w:pPr>
              <w:spacing w:after="45" w:before="35" w:line="220" w:lineRule="auto"/>
            </w:pPr>
            <w:r>
              <w:rPr>
                <w:color w:val="243746"/>
                <w:sz w:val="17"/>
              </w:rPr>
              <w:t xml:space="preserve">C2</w:t>
            </w:r>
          </w:p>
        </w:tc>
        <w:tc>
          <w:tcPr>
            <w:tcW w:w="3550" w:type="dxa"/>
            <w:vAlign w:val="center"/>
          </w:tcPr>
          <w:p>
            <w:pPr>
              <w:spacing w:after="45" w:before="35" w:line="220" w:lineRule="auto"/>
            </w:pPr>
            <w:r>
              <w:rPr>
                <w:color w:val="243746"/>
                <w:sz w:val="17"/>
              </w:rPr>
              <w:t xml:space="preserve">Contribution guide=1; other participation page=0.5.</w:t>
            </w:r>
          </w:p>
        </w:tc>
        <w:tc>
          <w:tcPr>
            <w:tcW w:w="1850" w:type="dxa"/>
            <w:vAlign w:val="center"/>
          </w:tcPr>
          <w:p>
            <w:pPr>
              <w:spacing w:after="45" w:before="35" w:line="220" w:lineRule="auto"/>
            </w:pPr>
            <w:r>
              <w:rPr>
                <w:color w:val="243746"/>
                <w:sz w:val="17"/>
              </w:rPr>
              <w:t xml:space="preserve">Blank/suspect URL = NA.</w:t>
            </w:r>
          </w:p>
        </w:tc>
      </w:tr>
      <w:tr>
        <w:trPr>
          <w:cantSplit/>
        </w:trPr>
        <w:tc>
          <w:tcPr>
            <w:tcW w:w="2150" w:type="dxa"/>
            <w:vAlign w:val="center"/>
          </w:tcPr>
          <w:p>
            <w:pPr>
              <w:spacing w:after="45" w:before="35" w:line="220" w:lineRule="auto"/>
            </w:pPr>
            <w:r>
              <w:rPr>
                <w:color w:val="243746"/>
                <w:sz w:val="17"/>
              </w:rPr>
              <w:t xml:space="preserve">Community Engagement</w:t>
            </w:r>
          </w:p>
        </w:tc>
        <w:tc>
          <w:tcPr>
            <w:tcW w:w="1450" w:type="dxa"/>
            <w:vAlign w:val="center"/>
          </w:tcPr>
          <w:p>
            <w:pPr>
              <w:spacing w:after="45" w:before="35" w:line="220" w:lineRule="auto"/>
            </w:pPr>
            <w:r>
              <w:rPr>
                <w:color w:val="243746"/>
                <w:sz w:val="17"/>
              </w:rPr>
              <w:t xml:space="preserve">C3</w:t>
            </w:r>
          </w:p>
        </w:tc>
        <w:tc>
          <w:tcPr>
            <w:tcW w:w="3550" w:type="dxa"/>
            <w:vAlign w:val="center"/>
          </w:tcPr>
          <w:p>
            <w:pPr>
              <w:spacing w:after="45" w:before="35" w:line="220" w:lineRule="auto"/>
            </w:pPr>
            <w:r>
              <w:rPr>
                <w:color w:val="243746"/>
                <w:sz w:val="17"/>
              </w:rPr>
              <w:t xml:space="preserve">Public forge URL=1; other repository URL=0.5.</w:t>
            </w:r>
          </w:p>
        </w:tc>
        <w:tc>
          <w:tcPr>
            <w:tcW w:w="1850" w:type="dxa"/>
            <w:vAlign w:val="center"/>
          </w:tcPr>
          <w:p>
            <w:pPr>
              <w:spacing w:after="45" w:before="35" w:line="220" w:lineRule="auto"/>
            </w:pPr>
            <w:r>
              <w:rPr>
                <w:color w:val="243746"/>
                <w:sz w:val="17"/>
              </w:rPr>
              <w:t xml:space="preserve">Blank URL = NA.</w:t>
            </w:r>
          </w:p>
        </w:tc>
      </w:tr>
      <w:tr>
        <w:trPr>
          <w:cantSplit/>
        </w:trPr>
        <w:tc>
          <w:tcPr>
            <w:tcW w:w="2150" w:type="dxa"/>
            <w:vAlign w:val="center"/>
          </w:tcPr>
          <w:p>
            <w:pPr>
              <w:spacing w:after="45" w:before="35" w:line="220" w:lineRule="auto"/>
            </w:pPr>
            <w:r>
              <w:rPr>
                <w:color w:val="243746"/>
                <w:sz w:val="17"/>
              </w:rPr>
              <w:t xml:space="preserve">Community Engagement</w:t>
            </w:r>
          </w:p>
        </w:tc>
        <w:tc>
          <w:tcPr>
            <w:tcW w:w="1450" w:type="dxa"/>
            <w:vAlign w:val="center"/>
          </w:tcPr>
          <w:p>
            <w:pPr>
              <w:spacing w:after="45" w:before="35" w:line="220" w:lineRule="auto"/>
            </w:pPr>
            <w:r>
              <w:rPr>
                <w:color w:val="243746"/>
                <w:sz w:val="17"/>
              </w:rPr>
              <w:t xml:space="preserve">N1</w:t>
            </w:r>
          </w:p>
        </w:tc>
        <w:tc>
          <w:tcPr>
            <w:tcW w:w="3550" w:type="dxa"/>
            <w:vAlign w:val="center"/>
          </w:tcPr>
          <w:p>
            <w:pPr>
              <w:spacing w:after="45" w:before="35" w:line="220" w:lineRule="auto"/>
            </w:pPr>
            <w:r>
              <w:rPr>
                <w:color w:val="243746"/>
                <w:sz w:val="17"/>
              </w:rPr>
              <w:t xml:space="preserve">Status ladder; implemented without URL=0.75.</w:t>
            </w:r>
          </w:p>
        </w:tc>
        <w:tc>
          <w:tcPr>
            <w:tcW w:w="1850" w:type="dxa"/>
            <w:vAlign w:val="center"/>
          </w:tcPr>
          <w:p>
            <w:pPr>
              <w:spacing w:after="45" w:before="35" w:line="220" w:lineRule="auto"/>
            </w:pPr>
            <w:r>
              <w:rPr>
                <w:color w:val="243746"/>
                <w:sz w:val="17"/>
              </w:rPr>
              <w:t xml:space="preserve">Unknown/blank = NA.</w:t>
            </w:r>
          </w:p>
        </w:tc>
      </w:tr>
      <w:tr>
        <w:trPr>
          <w:cantSplit/>
        </w:trPr>
        <w:tc>
          <w:tcPr>
            <w:tcW w:w="2150" w:type="dxa"/>
            <w:vAlign w:val="center"/>
          </w:tcPr>
          <w:p>
            <w:pPr>
              <w:spacing w:after="45" w:before="35" w:line="220" w:lineRule="auto"/>
            </w:pPr>
            <w:r>
              <w:rPr>
                <w:color w:val="243746"/>
                <w:sz w:val="17"/>
              </w:rPr>
              <w:t xml:space="preserve">Governance Practices</w:t>
            </w:r>
          </w:p>
        </w:tc>
        <w:tc>
          <w:tcPr>
            <w:tcW w:w="1450" w:type="dxa"/>
            <w:vAlign w:val="center"/>
          </w:tcPr>
          <w:p>
            <w:pPr>
              <w:spacing w:after="45" w:before="35" w:line="220" w:lineRule="auto"/>
            </w:pPr>
            <w:r>
              <w:rPr>
                <w:color w:val="243746"/>
                <w:sz w:val="17"/>
              </w:rPr>
              <w:t xml:space="preserve">024, 026, 108, 029, 035, 044</w:t>
            </w:r>
          </w:p>
        </w:tc>
        <w:tc>
          <w:tcPr>
            <w:tcW w:w="3550" w:type="dxa"/>
            <w:vAlign w:val="center"/>
          </w:tcPr>
          <w:p>
            <w:pPr>
              <w:spacing w:after="45" w:before="35" w:line="220" w:lineRule="auto"/>
            </w:pPr>
            <w:r>
              <w:rPr>
                <w:color w:val="243746"/>
                <w:sz w:val="17"/>
              </w:rPr>
              <w:t xml:space="preserve">Implemented=1; in progress=0.67; considering=0.33; not planning=0.</w:t>
            </w:r>
          </w:p>
        </w:tc>
        <w:tc>
          <w:tcPr>
            <w:tcW w:w="1850" w:type="dxa"/>
            <w:vAlign w:val="center"/>
          </w:tcPr>
          <w:p>
            <w:pPr>
              <w:spacing w:after="45" w:before="35" w:line="220" w:lineRule="auto"/>
            </w:pPr>
            <w:r>
              <w:rPr>
                <w:color w:val="243746"/>
                <w:sz w:val="17"/>
              </w:rPr>
              <w:t xml:space="preserve">Unknown/NA excluded.</w:t>
            </w:r>
          </w:p>
        </w:tc>
      </w:tr>
      <w:tr>
        <w:trPr>
          <w:cantSplit/>
        </w:trPr>
        <w:tc>
          <w:tcPr>
            <w:tcW w:w="2150" w:type="dxa"/>
            <w:vAlign w:val="center"/>
          </w:tcPr>
          <w:p>
            <w:pPr>
              <w:spacing w:after="45" w:before="35" w:line="220" w:lineRule="auto"/>
            </w:pPr>
            <w:r>
              <w:rPr>
                <w:color w:val="243746"/>
                <w:sz w:val="17"/>
              </w:rPr>
              <w:t xml:space="preserve">Governance Practices</w:t>
            </w:r>
          </w:p>
        </w:tc>
        <w:tc>
          <w:tcPr>
            <w:tcW w:w="1450" w:type="dxa"/>
            <w:vAlign w:val="center"/>
          </w:tcPr>
          <w:p>
            <w:pPr>
              <w:spacing w:after="45" w:before="35" w:line="220" w:lineRule="auto"/>
            </w:pPr>
            <w:r>
              <w:rPr>
                <w:color w:val="243746"/>
                <w:sz w:val="17"/>
              </w:rPr>
              <w:t xml:space="preserve">033</w:t>
            </w:r>
          </w:p>
        </w:tc>
        <w:tc>
          <w:tcPr>
            <w:tcW w:w="3550" w:type="dxa"/>
            <w:vAlign w:val="center"/>
          </w:tcPr>
          <w:p>
            <w:pPr>
              <w:spacing w:after="45" w:before="35" w:line="220" w:lineRule="auto"/>
            </w:pPr>
            <w:r>
              <w:rPr>
                <w:color w:val="243746"/>
                <w:sz w:val="17"/>
              </w:rPr>
              <w:t xml:space="preserve">Status ladder; “No direct costs”=1.</w:t>
            </w:r>
          </w:p>
        </w:tc>
        <w:tc>
          <w:tcPr>
            <w:tcW w:w="1850" w:type="dxa"/>
            <w:vAlign w:val="center"/>
          </w:tcPr>
          <w:p>
            <w:pPr>
              <w:spacing w:after="45" w:before="35" w:line="220" w:lineRule="auto"/>
            </w:pPr>
            <w:r>
              <w:rPr>
                <w:color w:val="243746"/>
                <w:sz w:val="17"/>
              </w:rPr>
              <w:t xml:space="preserve">Unknown/NA excluded.</w:t>
            </w:r>
          </w:p>
        </w:tc>
      </w:tr>
      <w:tr>
        <w:trPr>
          <w:cantSplit/>
        </w:trPr>
        <w:tc>
          <w:tcPr>
            <w:tcW w:w="2150" w:type="dxa"/>
            <w:vAlign w:val="center"/>
          </w:tcPr>
          <w:p>
            <w:pPr>
              <w:spacing w:after="45" w:before="35" w:line="220" w:lineRule="auto"/>
            </w:pPr>
            <w:r>
              <w:rPr>
                <w:color w:val="243746"/>
                <w:sz w:val="17"/>
              </w:rPr>
              <w:t xml:space="preserve">Governance Practices</w:t>
            </w:r>
          </w:p>
        </w:tc>
        <w:tc>
          <w:tcPr>
            <w:tcW w:w="1450" w:type="dxa"/>
            <w:vAlign w:val="center"/>
          </w:tcPr>
          <w:p>
            <w:pPr>
              <w:spacing w:after="45" w:before="35" w:line="220" w:lineRule="auto"/>
            </w:pPr>
            <w:r>
              <w:rPr>
                <w:color w:val="243746"/>
                <w:sz w:val="17"/>
              </w:rPr>
              <w:t xml:space="preserve">050, 046</w:t>
            </w:r>
          </w:p>
        </w:tc>
        <w:tc>
          <w:tcPr>
            <w:tcW w:w="3550" w:type="dxa"/>
            <w:vAlign w:val="center"/>
          </w:tcPr>
          <w:p>
            <w:pPr>
              <w:spacing w:after="45" w:before="35" w:line="220" w:lineRule="auto"/>
            </w:pPr>
            <w:r>
              <w:rPr>
                <w:color w:val="243746"/>
                <w:sz w:val="17"/>
              </w:rPr>
              <w:t xml:space="preserve">Listed/present=1; blank=0 under current setting.</w:t>
            </w:r>
          </w:p>
        </w:tc>
        <w:tc>
          <w:tcPr>
            <w:tcW w:w="1850" w:type="dxa"/>
            <w:vAlign w:val="center"/>
          </w:tcPr>
          <w:p>
            <w:pPr>
              <w:spacing w:after="45" w:before="35" w:line="220" w:lineRule="auto"/>
            </w:pPr>
            <w:r>
              <w:rPr>
                <w:color w:val="243746"/>
                <w:sz w:val="17"/>
              </w:rPr>
              <w:t xml:space="preserve">Blank is not verified absence.</w:t>
            </w:r>
          </w:p>
        </w:tc>
      </w:tr>
      <w:tr>
        <w:trPr>
          <w:cantSplit/>
        </w:trPr>
        <w:tc>
          <w:tcPr>
            <w:tcW w:w="2150" w:type="dxa"/>
            <w:vAlign w:val="center"/>
          </w:tcPr>
          <w:p>
            <w:pPr>
              <w:spacing w:after="45" w:before="35" w:line="220" w:lineRule="auto"/>
            </w:pPr>
            <w:r>
              <w:rPr>
                <w:color w:val="243746"/>
                <w:sz w:val="17"/>
              </w:rPr>
              <w:t xml:space="preserve">Governance Practices</w:t>
            </w:r>
          </w:p>
        </w:tc>
        <w:tc>
          <w:tcPr>
            <w:tcW w:w="1450" w:type="dxa"/>
            <w:vAlign w:val="center"/>
          </w:tcPr>
          <w:p>
            <w:pPr>
              <w:spacing w:after="45" w:before="35" w:line="220" w:lineRule="auto"/>
            </w:pPr>
            <w:r>
              <w:rPr>
                <w:color w:val="243746"/>
                <w:sz w:val="17"/>
              </w:rPr>
              <w:t xml:space="preserve">048</w:t>
            </w:r>
          </w:p>
        </w:tc>
        <w:tc>
          <w:tcPr>
            <w:tcW w:w="3550" w:type="dxa"/>
            <w:vAlign w:val="center"/>
          </w:tcPr>
          <w:p>
            <w:pPr>
              <w:spacing w:after="45" w:before="35" w:line="220" w:lineRule="auto"/>
            </w:pPr>
            <w:r>
              <w:rPr>
                <w:color w:val="243746"/>
                <w:sz w:val="17"/>
              </w:rPr>
              <w:t xml:space="preserve">Formal=1; Ad hoc=0.5; None=0; blank=0 under current setting.</w:t>
            </w:r>
          </w:p>
        </w:tc>
        <w:tc>
          <w:tcPr>
            <w:tcW w:w="1850" w:type="dxa"/>
            <w:vAlign w:val="center"/>
          </w:tcPr>
          <w:p>
            <w:pPr>
              <w:spacing w:after="45" w:before="35" w:line="220" w:lineRule="auto"/>
            </w:pPr>
            <w:r>
              <w:rPr>
                <w:color w:val="243746"/>
                <w:sz w:val="17"/>
              </w:rPr>
              <w:t xml:space="preserve">Blank-as-zero is a coding assumption.</w:t>
            </w:r>
          </w:p>
        </w:tc>
      </w:tr>
      <w:tr>
        <w:trPr>
          <w:cantSplit/>
        </w:trPr>
        <w:tc>
          <w:tcPr>
            <w:tcW w:w="2150" w:type="dxa"/>
            <w:vAlign w:val="center"/>
          </w:tcPr>
          <w:p>
            <w:pPr>
              <w:spacing w:after="45" w:before="35" w:line="220" w:lineRule="auto"/>
            </w:pPr>
            <w:r>
              <w:rPr>
                <w:color w:val="243746"/>
                <w:sz w:val="17"/>
              </w:rPr>
              <w:t xml:space="preserve">Organizational Capacity</w:t>
            </w:r>
          </w:p>
        </w:tc>
        <w:tc>
          <w:tcPr>
            <w:tcW w:w="1450" w:type="dxa"/>
            <w:vAlign w:val="center"/>
          </w:tcPr>
          <w:p>
            <w:pPr>
              <w:spacing w:after="45" w:before="35" w:line="220" w:lineRule="auto"/>
            </w:pPr>
            <w:r>
              <w:rPr>
                <w:color w:val="243746"/>
                <w:sz w:val="17"/>
              </w:rPr>
              <w:t xml:space="preserve">M1 Readiness</w:t>
            </w:r>
          </w:p>
        </w:tc>
        <w:tc>
          <w:tcPr>
            <w:tcW w:w="3550" w:type="dxa"/>
            <w:vAlign w:val="center"/>
          </w:tcPr>
          <w:p>
            <w:pPr>
              <w:spacing w:after="45" w:before="35" w:line="220" w:lineRule="auto"/>
            </w:pPr>
            <w:r>
              <w:rPr>
                <w:color w:val="243746"/>
                <w:sz w:val="17"/>
              </w:rPr>
              <w:t xml:space="preserve">Operational proven=1; complete/qualified=8/9; relevant validation=5/9.</w:t>
            </w:r>
          </w:p>
        </w:tc>
        <w:tc>
          <w:tcPr>
            <w:tcW w:w="1850" w:type="dxa"/>
            <w:vAlign w:val="center"/>
          </w:tcPr>
          <w:p>
            <w:pPr>
              <w:spacing w:after="45" w:before="35" w:line="220" w:lineRule="auto"/>
            </w:pPr>
            <w:r>
              <w:rPr>
                <w:color w:val="243746"/>
                <w:sz w:val="17"/>
              </w:rPr>
              <w:t xml:space="preserve">Other/unknown = NA.</w:t>
            </w:r>
          </w:p>
        </w:tc>
      </w:tr>
      <w:tr>
        <w:trPr>
          <w:cantSplit/>
        </w:trPr>
        <w:tc>
          <w:tcPr>
            <w:tcW w:w="2150" w:type="dxa"/>
            <w:vAlign w:val="center"/>
          </w:tcPr>
          <w:p>
            <w:pPr>
              <w:spacing w:after="45" w:before="35" w:line="220" w:lineRule="auto"/>
            </w:pPr>
            <w:r>
              <w:rPr>
                <w:color w:val="243746"/>
                <w:sz w:val="17"/>
              </w:rPr>
              <w:t xml:space="preserve">Organizational Capacity</w:t>
            </w:r>
          </w:p>
        </w:tc>
        <w:tc>
          <w:tcPr>
            <w:tcW w:w="1450" w:type="dxa"/>
            <w:vAlign w:val="center"/>
          </w:tcPr>
          <w:p>
            <w:pPr>
              <w:spacing w:after="45" w:before="35" w:line="220" w:lineRule="auto"/>
            </w:pPr>
            <w:r>
              <w:rPr>
                <w:color w:val="243746"/>
                <w:sz w:val="17"/>
              </w:rPr>
              <w:t xml:space="preserve">M2 Maintenance</w:t>
            </w:r>
          </w:p>
        </w:tc>
        <w:tc>
          <w:tcPr>
            <w:tcW w:w="3550" w:type="dxa"/>
            <w:vAlign w:val="center"/>
          </w:tcPr>
          <w:p>
            <w:pPr>
              <w:spacing w:after="45" w:before="35" w:line="220" w:lineRule="auto"/>
            </w:pPr>
            <w:r>
              <w:rPr>
                <w:color w:val="243746"/>
                <w:sz w:val="17"/>
              </w:rPr>
              <w:t xml:space="preserve">Active=1; minimal=0.5; inactive/not maintained=0.</w:t>
            </w:r>
          </w:p>
        </w:tc>
        <w:tc>
          <w:tcPr>
            <w:tcW w:w="1850" w:type="dxa"/>
            <w:vAlign w:val="center"/>
          </w:tcPr>
          <w:p>
            <w:pPr>
              <w:spacing w:after="45" w:before="35" w:line="220" w:lineRule="auto"/>
            </w:pPr>
            <w:r>
              <w:rPr>
                <w:color w:val="243746"/>
                <w:sz w:val="17"/>
              </w:rPr>
              <w:t xml:space="preserve">Unknown/blank = NA.</w:t>
            </w:r>
          </w:p>
        </w:tc>
      </w:tr>
      <w:tr>
        <w:trPr>
          <w:cantSplit/>
        </w:trPr>
        <w:tc>
          <w:tcPr>
            <w:tcW w:w="2150" w:type="dxa"/>
            <w:vAlign w:val="center"/>
          </w:tcPr>
          <w:p>
            <w:pPr>
              <w:spacing w:after="45" w:before="35" w:line="220" w:lineRule="auto"/>
            </w:pPr>
            <w:r>
              <w:rPr>
                <w:color w:val="243746"/>
                <w:sz w:val="17"/>
              </w:rPr>
              <w:t xml:space="preserve">Organizational Capacity</w:t>
            </w:r>
          </w:p>
        </w:tc>
        <w:tc>
          <w:tcPr>
            <w:tcW w:w="1450" w:type="dxa"/>
            <w:vAlign w:val="center"/>
          </w:tcPr>
          <w:p>
            <w:pPr>
              <w:spacing w:after="45" w:before="35" w:line="220" w:lineRule="auto"/>
            </w:pPr>
            <w:r>
              <w:rPr>
                <w:color w:val="243746"/>
                <w:sz w:val="17"/>
              </w:rPr>
              <w:t xml:space="preserve">M3 Age</w:t>
            </w:r>
          </w:p>
        </w:tc>
        <w:tc>
          <w:tcPr>
            <w:tcW w:w="3550" w:type="dxa"/>
            <w:vAlign w:val="center"/>
          </w:tcPr>
          <w:p>
            <w:pPr>
              <w:spacing w:after="45" w:before="35" w:line="220" w:lineRule="auto"/>
            </w:pPr>
            <w:r>
              <w:rPr>
                <w:color w:val="243746"/>
                <w:sz w:val="17"/>
              </w:rPr>
              <w:t xml:space="preserve">min(max(0, 2026 - launch year), 15) / 15.</w:t>
            </w:r>
          </w:p>
        </w:tc>
        <w:tc>
          <w:tcPr>
            <w:tcW w:w="1850" w:type="dxa"/>
            <w:vAlign w:val="center"/>
          </w:tcPr>
          <w:p>
            <w:pPr>
              <w:spacing w:after="45" w:before="35" w:line="220" w:lineRule="auto"/>
            </w:pPr>
            <w:r>
              <w:rPr>
                <w:color w:val="243746"/>
                <w:sz w:val="17"/>
              </w:rPr>
              <w:t xml:space="preserve">Missing/unparseable = NA.</w:t>
            </w:r>
          </w:p>
        </w:tc>
      </w:tr>
      <w:tr>
        <w:trPr>
          <w:cantSplit/>
        </w:trPr>
        <w:tc>
          <w:tcPr>
            <w:tcW w:w="2150" w:type="dxa"/>
            <w:vAlign w:val="center"/>
          </w:tcPr>
          <w:p>
            <w:pPr>
              <w:spacing w:after="45" w:before="35" w:line="220" w:lineRule="auto"/>
            </w:pPr>
            <w:r>
              <w:rPr>
                <w:color w:val="243746"/>
                <w:sz w:val="17"/>
              </w:rPr>
              <w:t xml:space="preserve">Organizational Capacity</w:t>
            </w:r>
          </w:p>
        </w:tc>
        <w:tc>
          <w:tcPr>
            <w:tcW w:w="1450" w:type="dxa"/>
            <w:vAlign w:val="center"/>
          </w:tcPr>
          <w:p>
            <w:pPr>
              <w:spacing w:after="45" w:before="35" w:line="220" w:lineRule="auto"/>
            </w:pPr>
            <w:r>
              <w:rPr>
                <w:color w:val="243746"/>
                <w:sz w:val="17"/>
              </w:rPr>
              <w:t xml:space="preserve">I1 Host</w:t>
            </w:r>
          </w:p>
        </w:tc>
        <w:tc>
          <w:tcPr>
            <w:tcW w:w="3550" w:type="dxa"/>
            <w:vAlign w:val="center"/>
          </w:tcPr>
          <w:p>
            <w:pPr>
              <w:spacing w:after="45" w:before="35" w:line="220" w:lineRule="auto"/>
            </w:pPr>
            <w:r>
              <w:rPr>
                <w:color w:val="243746"/>
                <w:sz w:val="17"/>
              </w:rPr>
              <w:t xml:space="preserve">Formal nonprofit/academic/commercial/fiscal host=1; volunteer=0.5.</w:t>
            </w:r>
          </w:p>
        </w:tc>
        <w:tc>
          <w:tcPr>
            <w:tcW w:w="1850" w:type="dxa"/>
            <w:vAlign w:val="center"/>
          </w:tcPr>
          <w:p>
            <w:pPr>
              <w:spacing w:after="45" w:before="35" w:line="220" w:lineRule="auto"/>
            </w:pPr>
            <w:r>
              <w:rPr>
                <w:color w:val="243746"/>
                <w:sz w:val="17"/>
              </w:rPr>
              <w:t xml:space="preserve">Other/blank = NA.</w:t>
            </w:r>
          </w:p>
        </w:tc>
      </w:tr>
      <w:tr>
        <w:trPr>
          <w:cantSplit/>
        </w:trPr>
        <w:tc>
          <w:tcPr>
            <w:tcW w:w="2150" w:type="dxa"/>
            <w:vAlign w:val="center"/>
          </w:tcPr>
          <w:p>
            <w:pPr>
              <w:spacing w:after="45" w:before="35" w:line="220" w:lineRule="auto"/>
            </w:pPr>
            <w:r>
              <w:rPr>
                <w:color w:val="243746"/>
                <w:sz w:val="17"/>
              </w:rPr>
              <w:t xml:space="preserve">Organizational Capacity</w:t>
            </w:r>
          </w:p>
        </w:tc>
        <w:tc>
          <w:tcPr>
            <w:tcW w:w="1450" w:type="dxa"/>
            <w:vAlign w:val="center"/>
          </w:tcPr>
          <w:p>
            <w:pPr>
              <w:spacing w:after="45" w:before="35" w:line="220" w:lineRule="auto"/>
            </w:pPr>
            <w:r>
              <w:rPr>
                <w:color w:val="243746"/>
                <w:sz w:val="17"/>
              </w:rPr>
              <w:t xml:space="preserve">I2 Affiliations</w:t>
            </w:r>
          </w:p>
        </w:tc>
        <w:tc>
          <w:tcPr>
            <w:tcW w:w="3550" w:type="dxa"/>
            <w:vAlign w:val="center"/>
          </w:tcPr>
          <w:p>
            <w:pPr>
              <w:spacing w:after="45" w:before="35" w:line="220" w:lineRule="auto"/>
            </w:pPr>
            <w:r>
              <w:rPr>
                <w:color w:val="243746"/>
                <w:sz w:val="17"/>
              </w:rPr>
              <w:t xml:space="preserve">Named support=1; explicit no affiliation=0.</w:t>
            </w:r>
          </w:p>
        </w:tc>
        <w:tc>
          <w:tcPr>
            <w:tcW w:w="1850" w:type="dxa"/>
            <w:vAlign w:val="center"/>
          </w:tcPr>
          <w:p>
            <w:pPr>
              <w:spacing w:after="45" w:before="35" w:line="220" w:lineRule="auto"/>
            </w:pPr>
            <w:r>
              <w:rPr>
                <w:color w:val="243746"/>
                <w:sz w:val="17"/>
              </w:rPr>
              <w:t xml:space="preserve">Blank = NA.</w:t>
            </w:r>
          </w:p>
        </w:tc>
      </w:tr>
      <w:tr>
        <w:trPr>
          <w:cantSplit/>
        </w:trPr>
        <w:tc>
          <w:tcPr>
            <w:tcW w:w="2150" w:type="dxa"/>
            <w:vAlign w:val="center"/>
          </w:tcPr>
          <w:p>
            <w:pPr>
              <w:spacing w:after="45" w:before="35" w:line="220" w:lineRule="auto"/>
            </w:pPr>
            <w:r>
              <w:rPr>
                <w:color w:val="243746"/>
                <w:sz w:val="17"/>
              </w:rPr>
              <w:t xml:space="preserve">Organizational Capacity</w:t>
            </w:r>
          </w:p>
        </w:tc>
        <w:tc>
          <w:tcPr>
            <w:tcW w:w="1450" w:type="dxa"/>
            <w:vAlign w:val="center"/>
          </w:tcPr>
          <w:p>
            <w:pPr>
              <w:spacing w:after="45" w:before="35" w:line="220" w:lineRule="auto"/>
            </w:pPr>
            <w:r>
              <w:rPr>
                <w:color w:val="243746"/>
                <w:sz w:val="17"/>
              </w:rPr>
              <w:t xml:space="preserve">I3 SCOSS</w:t>
            </w:r>
          </w:p>
        </w:tc>
        <w:tc>
          <w:tcPr>
            <w:tcW w:w="3550" w:type="dxa"/>
            <w:vAlign w:val="center"/>
          </w:tcPr>
          <w:p>
            <w:pPr>
              <w:spacing w:after="45" w:before="35" w:line="220" w:lineRule="auto"/>
            </w:pPr>
            <w:r>
              <w:rPr>
                <w:color w:val="243746"/>
                <w:sz w:val="17"/>
              </w:rPr>
              <w:t xml:space="preserve">TRUE=1; FALSE=0.</w:t>
            </w:r>
          </w:p>
        </w:tc>
        <w:tc>
          <w:tcPr>
            <w:tcW w:w="1850" w:type="dxa"/>
            <w:vAlign w:val="center"/>
          </w:tcPr>
          <w:p>
            <w:pPr>
              <w:spacing w:after="45" w:before="35" w:line="220" w:lineRule="auto"/>
            </w:pPr>
            <w:r>
              <w:rPr>
                <w:color w:val="243746"/>
                <w:sz w:val="17"/>
              </w:rPr>
              <w:t xml:space="preserve">Unknown/blank = NA.</w:t>
            </w:r>
          </w:p>
        </w:tc>
      </w:tr>
      <w:tr>
        <w:trPr>
          <w:cantSplit/>
        </w:trPr>
        <w:tc>
          <w:tcPr>
            <w:tcW w:w="2150" w:type="dxa"/>
            <w:vAlign w:val="center"/>
          </w:tcPr>
          <w:p>
            <w:pPr>
              <w:spacing w:after="45" w:before="35" w:line="220" w:lineRule="auto"/>
            </w:pPr>
            <w:r>
              <w:rPr>
                <w:color w:val="243746"/>
                <w:sz w:val="17"/>
              </w:rPr>
              <w:t xml:space="preserve">Organizational Capacity</w:t>
            </w:r>
          </w:p>
        </w:tc>
        <w:tc>
          <w:tcPr>
            <w:tcW w:w="1450" w:type="dxa"/>
            <w:vAlign w:val="center"/>
          </w:tcPr>
          <w:p>
            <w:pPr>
              <w:spacing w:after="45" w:before="35" w:line="220" w:lineRule="auto"/>
            </w:pPr>
            <w:r>
              <w:rPr>
                <w:color w:val="243746"/>
                <w:sz w:val="17"/>
              </w:rPr>
              <w:t xml:space="preserve">O1 SaaS</w:t>
            </w:r>
          </w:p>
        </w:tc>
        <w:tc>
          <w:tcPr>
            <w:tcW w:w="3550" w:type="dxa"/>
            <w:vAlign w:val="center"/>
          </w:tcPr>
          <w:p>
            <w:pPr>
              <w:spacing w:after="45" w:before="35" w:line="220" w:lineRule="auto"/>
            </w:pPr>
            <w:r>
              <w:rPr>
                <w:color w:val="243746"/>
                <w:sz w:val="17"/>
              </w:rPr>
              <w:t xml:space="preserve">Provider service=1; no services available=0.</w:t>
            </w:r>
          </w:p>
        </w:tc>
        <w:tc>
          <w:tcPr>
            <w:tcW w:w="1850" w:type="dxa"/>
            <w:vAlign w:val="center"/>
          </w:tcPr>
          <w:p>
            <w:pPr>
              <w:spacing w:after="45" w:before="35" w:line="220" w:lineRule="auto"/>
            </w:pPr>
            <w:r>
              <w:rPr>
                <w:color w:val="243746"/>
                <w:sz w:val="17"/>
              </w:rPr>
              <w:t xml:space="preserve">Not applicable excluded; unknown=NA.</w:t>
            </w:r>
          </w:p>
        </w:tc>
      </w:tr>
      <w:tr>
        <w:trPr>
          <w:cantSplit/>
        </w:trPr>
        <w:tc>
          <w:tcPr>
            <w:tcW w:w="2150" w:type="dxa"/>
            <w:vAlign w:val="center"/>
          </w:tcPr>
          <w:p>
            <w:pPr>
              <w:spacing w:after="45" w:before="35" w:line="220" w:lineRule="auto"/>
            </w:pPr>
            <w:r>
              <w:rPr>
                <w:color w:val="243746"/>
                <w:sz w:val="17"/>
              </w:rPr>
              <w:t xml:space="preserve">Organizational Capacity</w:t>
            </w:r>
          </w:p>
        </w:tc>
        <w:tc>
          <w:tcPr>
            <w:tcW w:w="1450" w:type="dxa"/>
            <w:vAlign w:val="center"/>
          </w:tcPr>
          <w:p>
            <w:pPr>
              <w:spacing w:after="45" w:before="35" w:line="220" w:lineRule="auto"/>
            </w:pPr>
            <w:r>
              <w:rPr>
                <w:color w:val="243746"/>
                <w:sz w:val="17"/>
              </w:rPr>
              <w:t xml:space="preserve">O2 Providers</w:t>
            </w:r>
          </w:p>
        </w:tc>
        <w:tc>
          <w:tcPr>
            <w:tcW w:w="3550" w:type="dxa"/>
            <w:vAlign w:val="center"/>
          </w:tcPr>
          <w:p>
            <w:pPr>
              <w:spacing w:after="45" w:before="35" w:line="220" w:lineRule="auto"/>
            </w:pPr>
            <w:r>
              <w:rPr>
                <w:color w:val="243746"/>
                <w:sz w:val="17"/>
              </w:rPr>
              <w:t xml:space="preserve">If third-party delivery applies: listed=1; none listed=0.</w:t>
            </w:r>
          </w:p>
        </w:tc>
        <w:tc>
          <w:tcPr>
            <w:tcW w:w="1850" w:type="dxa"/>
            <w:vAlign w:val="center"/>
          </w:tcPr>
          <w:p>
            <w:pPr>
              <w:spacing w:after="45" w:before="35" w:line="220" w:lineRule="auto"/>
            </w:pPr>
            <w:r>
              <w:rPr>
                <w:color w:val="243746"/>
                <w:sz w:val="17"/>
              </w:rPr>
              <w:t xml:space="preserve">Otherwise not applicable.</w:t>
            </w:r>
          </w:p>
        </w:tc>
      </w:tr>
    </w:tbl>
    <w:p>
      <w:pPr>
        <w:pStyle w:val="Heading1"/>
      </w:pPr>
      <w:r>
        <w:t xml:space="preserve">Development Activity</w:t>
      </w:r>
    </w:p>
    <w:p>
      <w:pPr>
        <w:spacing w:after="100" w:line="240" w:lineRule="auto"/>
      </w:pPr>
      <w:r>
        <w:t xml:space="preserve">Repository resolution records each infrastructure’s repository, platform, branch, upstream, and issue tracker. Git history supplies commits, active weeks, recency, releases, contributor counts/distribution, and retention. R code queried GitHub GraphQL for issues, pull requests, and forks, and the REST star-history endpoint for gained stars. Paginated responses were filtered to the study period, retained as raw records, and summarized. Bots were excluded; identities were resolved within repositories. Available non-GitHub tracker evidence could be entered manually. Retrieval failures and insufficient samples remain missing, not zero.</w:t>
      </w:r>
    </w:p>
    <w:tbl>
      <w:tblPr>
        <w:tblStyle w:val="TableGrid"/>
        <w:tblW w:w="9000" w:type="dxa"/>
        <w:tblLayout w:type="fixed"/>
        <w:tblCellMar>
          <w:top w:w="65" w:type="dxa"/>
          <w:left w:w="90" w:type="dxa"/>
          <w:bottom w:w="65" w:type="dxa"/>
          <w:right w:w="90" w:type="dxa"/>
        </w:tblCellMar>
        <w:tblBorders>
          <w:top w:val="single" w:sz="5" w:color="B7C9D6"/>
          <w:left w:val="single" w:sz="5" w:color="B7C9D6"/>
          <w:bottom w:val="single" w:sz="5" w:color="B7C9D6"/>
          <w:right w:val="single" w:sz="5" w:color="B7C9D6"/>
          <w:insideH w:val="single" w:sz="4" w:color="D7E0E7"/>
          <w:insideV w:val="single" w:sz="4" w:color="D7E0E7"/>
        </w:tblBorders>
      </w:tblPr>
      <w:tr>
        <w:trPr>
          <w:cantSplit/>
        </w:trPr>
        <w:tblHeader w:val="true"/>
        <w:tc>
          <w:tcPr>
            <w:tcW w:w="2150" w:type="dxa"/>
            <w:shd w:fill="1F4E78"/>
            <w:vAlign w:val="center"/>
          </w:tcPr>
          <w:p>
            <w:pPr>
              <w:spacing w:after="45" w:before="35" w:line="220" w:lineRule="auto"/>
            </w:pPr>
            <w:r>
              <w:rPr>
                <w:b/>
                <w:color w:val="FFFFFF"/>
                <w:sz w:val="17"/>
              </w:rPr>
              <w:t xml:space="preserve">Metric</w:t>
            </w:r>
          </w:p>
        </w:tc>
        <w:tc>
          <w:tcPr>
            <w:tcW w:w="1450" w:type="dxa"/>
            <w:shd w:fill="1F4E78"/>
            <w:vAlign w:val="center"/>
          </w:tcPr>
          <w:p>
            <w:pPr>
              <w:spacing w:after="45" w:before="35" w:line="220" w:lineRule="auto"/>
            </w:pPr>
            <w:r>
              <w:rPr>
                <w:b/>
                <w:color w:val="FFFFFF"/>
                <w:sz w:val="17"/>
              </w:rPr>
              <w:t xml:space="preserve">Raw measure</w:t>
            </w:r>
          </w:p>
        </w:tc>
        <w:tc>
          <w:tcPr>
            <w:tcW w:w="3550" w:type="dxa"/>
            <w:shd w:fill="1F4E78"/>
            <w:vAlign w:val="center"/>
          </w:tcPr>
          <w:p>
            <w:pPr>
              <w:spacing w:after="45" w:before="35" w:line="220" w:lineRule="auto"/>
            </w:pPr>
            <w:r>
              <w:rPr>
                <w:b/>
                <w:color w:val="FFFFFF"/>
                <w:sz w:val="17"/>
              </w:rPr>
              <w:t xml:space="preserve">Normalized scoring rule</w:t>
            </w:r>
          </w:p>
        </w:tc>
        <w:tc>
          <w:tcPr>
            <w:tcW w:w="1850" w:type="dxa"/>
            <w:shd w:fill="1F4E78"/>
            <w:vAlign w:val="center"/>
          </w:tcPr>
          <w:p>
            <w:pPr>
              <w:spacing w:after="45" w:before="35" w:line="220" w:lineRule="auto"/>
            </w:pPr>
            <w:r>
              <w:rPr>
                <w:b/>
                <w:color w:val="FFFFFF"/>
                <w:sz w:val="17"/>
              </w:rPr>
              <w:t xml:space="preserve">Equal share</w:t>
            </w:r>
          </w:p>
        </w:tc>
      </w:tr>
      <w:tr>
        <w:trPr>
          <w:cantSplit/>
        </w:trPr>
        <w:tc>
          <w:tcPr>
            <w:tcW w:w="2150" w:type="dxa"/>
            <w:vAlign w:val="center"/>
          </w:tcPr>
          <w:p>
            <w:pPr>
              <w:spacing w:after="45" w:before="35" w:line="220" w:lineRule="auto"/>
            </w:pPr>
            <w:r>
              <w:rPr>
                <w:color w:val="243746"/>
                <w:sz w:val="17"/>
              </w:rPr>
              <w:t xml:space="preserve">m1 Human commits</w:t>
            </w:r>
          </w:p>
        </w:tc>
        <w:tc>
          <w:tcPr>
            <w:tcW w:w="1450" w:type="dxa"/>
            <w:vAlign w:val="center"/>
          </w:tcPr>
          <w:p>
            <w:pPr>
              <w:spacing w:after="45" w:before="35" w:line="220" w:lineRule="auto"/>
            </w:pPr>
            <w:r>
              <w:rPr>
                <w:color w:val="243746"/>
                <w:sz w:val="17"/>
              </w:rPr>
              <w:t xml:space="preserve">Non-merge human commits c</w:t>
            </w:r>
          </w:p>
        </w:tc>
        <w:tc>
          <w:tcPr>
            <w:tcW w:w="3550" w:type="dxa"/>
            <w:vAlign w:val="center"/>
          </w:tcPr>
          <w:p>
            <w:pPr>
              <w:spacing w:after="45" w:before="35" w:line="220" w:lineRule="auto"/>
            </w:pPr>
            <w:r>
              <w:rPr>
                <w:color w:val="243746"/>
                <w:sz w:val="17"/>
              </w:rPr>
              <w:t xml:space="preserve">100*min(1, log10(1+c)/log10(1001)); cap 1,000.</w:t>
            </w:r>
          </w:p>
        </w:tc>
        <w:tc>
          <w:tcPr>
            <w:tcW w:w="1850" w:type="dxa"/>
            <w:vAlign w:val="center"/>
          </w:tcPr>
          <w:p>
            <w:pPr>
              <w:spacing w:after="45" w:before="35" w:line="220" w:lineRule="auto"/>
            </w:pPr>
            <w:r>
              <w:rPr>
                <w:color w:val="243746"/>
                <w:sz w:val="17"/>
              </w:rPr>
              <w:t xml:space="preserve">7.69%</w:t>
            </w:r>
          </w:p>
        </w:tc>
      </w:tr>
      <w:tr>
        <w:trPr>
          <w:cantSplit/>
        </w:trPr>
        <w:tc>
          <w:tcPr>
            <w:tcW w:w="2150" w:type="dxa"/>
            <w:vAlign w:val="center"/>
          </w:tcPr>
          <w:p>
            <w:pPr>
              <w:spacing w:after="45" w:before="35" w:line="220" w:lineRule="auto"/>
            </w:pPr>
            <w:r>
              <w:rPr>
                <w:color w:val="243746"/>
                <w:sz w:val="17"/>
              </w:rPr>
              <w:t xml:space="preserve">m2 Active weeks</w:t>
            </w:r>
          </w:p>
        </w:tc>
        <w:tc>
          <w:tcPr>
            <w:tcW w:w="1450" w:type="dxa"/>
            <w:vAlign w:val="center"/>
          </w:tcPr>
          <w:p>
            <w:pPr>
              <w:spacing w:after="45" w:before="35" w:line="220" w:lineRule="auto"/>
            </w:pPr>
            <w:r>
              <w:rPr>
                <w:color w:val="243746"/>
                <w:sz w:val="17"/>
              </w:rPr>
              <w:t xml:space="preserve">Distinct active weeks</w:t>
            </w:r>
          </w:p>
        </w:tc>
        <w:tc>
          <w:tcPr>
            <w:tcW w:w="3550" w:type="dxa"/>
            <w:vAlign w:val="center"/>
          </w:tcPr>
          <w:p>
            <w:pPr>
              <w:spacing w:after="45" w:before="35" w:line="220" w:lineRule="auto"/>
            </w:pPr>
            <w:r>
              <w:rPr>
                <w:color w:val="243746"/>
                <w:sz w:val="17"/>
              </w:rPr>
              <w:t xml:space="preserve">Active weeks / 52 * 100.</w:t>
            </w:r>
          </w:p>
        </w:tc>
        <w:tc>
          <w:tcPr>
            <w:tcW w:w="1850" w:type="dxa"/>
            <w:vAlign w:val="center"/>
          </w:tcPr>
          <w:p>
            <w:pPr>
              <w:spacing w:after="45" w:before="35" w:line="220" w:lineRule="auto"/>
            </w:pPr>
            <w:r>
              <w:rPr>
                <w:color w:val="243746"/>
                <w:sz w:val="17"/>
              </w:rPr>
              <w:t xml:space="preserve">7.69%</w:t>
            </w:r>
          </w:p>
        </w:tc>
      </w:tr>
      <w:tr>
        <w:trPr>
          <w:cantSplit/>
        </w:trPr>
        <w:tc>
          <w:tcPr>
            <w:tcW w:w="2150" w:type="dxa"/>
            <w:vAlign w:val="center"/>
          </w:tcPr>
          <w:p>
            <w:pPr>
              <w:spacing w:after="45" w:before="35" w:line="220" w:lineRule="auto"/>
            </w:pPr>
            <w:r>
              <w:rPr>
                <w:color w:val="243746"/>
                <w:sz w:val="17"/>
              </w:rPr>
              <w:t xml:space="preserve">m3 Recency</w:t>
            </w:r>
          </w:p>
        </w:tc>
        <w:tc>
          <w:tcPr>
            <w:tcW w:w="1450" w:type="dxa"/>
            <w:vAlign w:val="center"/>
          </w:tcPr>
          <w:p>
            <w:pPr>
              <w:spacing w:after="45" w:before="35" w:line="220" w:lineRule="auto"/>
            </w:pPr>
            <w:r>
              <w:rPr>
                <w:color w:val="243746"/>
                <w:sz w:val="17"/>
              </w:rPr>
              <w:t xml:space="preserve">Days since last qualifying commit</w:t>
            </w:r>
          </w:p>
        </w:tc>
        <w:tc>
          <w:tcPr>
            <w:tcW w:w="3550" w:type="dxa"/>
            <w:vAlign w:val="center"/>
          </w:tcPr>
          <w:p>
            <w:pPr>
              <w:spacing w:after="45" w:before="35" w:line="220" w:lineRule="auto"/>
            </w:pPr>
            <w:r>
              <w:rPr>
                <w:color w:val="243746"/>
                <w:sz w:val="17"/>
              </w:rPr>
              <w:t xml:space="preserve">100 through day 30; linear decline to 0 at day 365.</w:t>
            </w:r>
          </w:p>
        </w:tc>
        <w:tc>
          <w:tcPr>
            <w:tcW w:w="1850" w:type="dxa"/>
            <w:vAlign w:val="center"/>
          </w:tcPr>
          <w:p>
            <w:pPr>
              <w:spacing w:after="45" w:before="35" w:line="220" w:lineRule="auto"/>
            </w:pPr>
            <w:r>
              <w:rPr>
                <w:color w:val="243746"/>
                <w:sz w:val="17"/>
              </w:rPr>
              <w:t xml:space="preserve">7.69%</w:t>
            </w:r>
          </w:p>
        </w:tc>
      </w:tr>
      <w:tr>
        <w:trPr>
          <w:cantSplit/>
        </w:trPr>
        <w:tc>
          <w:tcPr>
            <w:tcW w:w="2150" w:type="dxa"/>
            <w:vAlign w:val="center"/>
          </w:tcPr>
          <w:p>
            <w:pPr>
              <w:spacing w:after="45" w:before="35" w:line="220" w:lineRule="auto"/>
            </w:pPr>
            <w:r>
              <w:rPr>
                <w:color w:val="243746"/>
                <w:sz w:val="17"/>
              </w:rPr>
              <w:t xml:space="preserve">m4 Release activity</w:t>
            </w:r>
          </w:p>
        </w:tc>
        <w:tc>
          <w:tcPr>
            <w:tcW w:w="1450" w:type="dxa"/>
            <w:vAlign w:val="center"/>
          </w:tcPr>
          <w:p>
            <w:pPr>
              <w:spacing w:after="45" w:before="35" w:line="220" w:lineRule="auto"/>
            </w:pPr>
            <w:r>
              <w:rPr>
                <w:color w:val="243746"/>
                <w:sz w:val="17"/>
              </w:rPr>
              <w:t xml:space="preserve">Git tags in window</w:t>
            </w:r>
          </w:p>
        </w:tc>
        <w:tc>
          <w:tcPr>
            <w:tcW w:w="3550" w:type="dxa"/>
            <w:vAlign w:val="center"/>
          </w:tcPr>
          <w:p>
            <w:pPr>
              <w:spacing w:after="45" w:before="35" w:line="220" w:lineRule="auto"/>
            </w:pPr>
            <w:r>
              <w:rPr>
                <w:color w:val="243746"/>
                <w:sz w:val="17"/>
              </w:rPr>
              <w:t xml:space="preserve">0=0; 1=50; 2-3=75; &gt;=4=100.</w:t>
            </w:r>
          </w:p>
        </w:tc>
        <w:tc>
          <w:tcPr>
            <w:tcW w:w="1850" w:type="dxa"/>
            <w:vAlign w:val="center"/>
          </w:tcPr>
          <w:p>
            <w:pPr>
              <w:spacing w:after="45" w:before="35" w:line="220" w:lineRule="auto"/>
            </w:pPr>
            <w:r>
              <w:rPr>
                <w:color w:val="243746"/>
                <w:sz w:val="17"/>
              </w:rPr>
              <w:t xml:space="preserve">7.69%</w:t>
            </w:r>
          </w:p>
        </w:tc>
      </w:tr>
      <w:tr>
        <w:trPr>
          <w:cantSplit/>
        </w:trPr>
        <w:tc>
          <w:tcPr>
            <w:tcW w:w="2150" w:type="dxa"/>
            <w:vAlign w:val="center"/>
          </w:tcPr>
          <w:p>
            <w:pPr>
              <w:spacing w:after="45" w:before="35" w:line="220" w:lineRule="auto"/>
            </w:pPr>
            <w:r>
              <w:rPr>
                <w:color w:val="243746"/>
                <w:sz w:val="17"/>
              </w:rPr>
              <w:t xml:space="preserve">m5 Active contributors</w:t>
            </w:r>
          </w:p>
        </w:tc>
        <w:tc>
          <w:tcPr>
            <w:tcW w:w="1450" w:type="dxa"/>
            <w:vAlign w:val="center"/>
          </w:tcPr>
          <w:p>
            <w:pPr>
              <w:spacing w:after="45" w:before="35" w:line="220" w:lineRule="auto"/>
            </w:pPr>
            <w:r>
              <w:rPr>
                <w:color w:val="243746"/>
                <w:sz w:val="17"/>
              </w:rPr>
              <w:t xml:space="preserve">Distinct resolved human contributors n</w:t>
            </w:r>
          </w:p>
        </w:tc>
        <w:tc>
          <w:tcPr>
            <w:tcW w:w="3550" w:type="dxa"/>
            <w:vAlign w:val="center"/>
          </w:tcPr>
          <w:p>
            <w:pPr>
              <w:spacing w:after="45" w:before="35" w:line="220" w:lineRule="auto"/>
            </w:pPr>
            <w:r>
              <w:rPr>
                <w:color w:val="243746"/>
                <w:sz w:val="17"/>
              </w:rPr>
              <w:t xml:space="preserve">0 if n&lt;=1; otherwise 100*min(1, log2(n)/5); cap 32.</w:t>
            </w:r>
          </w:p>
        </w:tc>
        <w:tc>
          <w:tcPr>
            <w:tcW w:w="1850" w:type="dxa"/>
            <w:vAlign w:val="center"/>
          </w:tcPr>
          <w:p>
            <w:pPr>
              <w:spacing w:after="45" w:before="35" w:line="220" w:lineRule="auto"/>
            </w:pPr>
            <w:r>
              <w:rPr>
                <w:color w:val="243746"/>
                <w:sz w:val="17"/>
              </w:rPr>
              <w:t xml:space="preserve">7.69%</w:t>
            </w:r>
          </w:p>
        </w:tc>
      </w:tr>
      <w:tr>
        <w:trPr>
          <w:cantSplit/>
        </w:trPr>
        <w:tc>
          <w:tcPr>
            <w:tcW w:w="2150" w:type="dxa"/>
            <w:vAlign w:val="center"/>
          </w:tcPr>
          <w:p>
            <w:pPr>
              <w:spacing w:after="45" w:before="35" w:line="220" w:lineRule="auto"/>
            </w:pPr>
            <w:r>
              <w:rPr>
                <w:color w:val="243746"/>
                <w:sz w:val="17"/>
              </w:rPr>
              <w:t xml:space="preserve">m6 Effective contributors</w:t>
            </w:r>
          </w:p>
        </w:tc>
        <w:tc>
          <w:tcPr>
            <w:tcW w:w="1450" w:type="dxa"/>
            <w:vAlign w:val="center"/>
          </w:tcPr>
          <w:p>
            <w:pPr>
              <w:spacing w:after="45" w:before="35" w:line="220" w:lineRule="auto"/>
            </w:pPr>
            <w:r>
              <w:rPr>
                <w:color w:val="243746"/>
                <w:sz w:val="17"/>
              </w:rPr>
              <w:t xml:space="preserve">E=1/sum(p_i^2)</w:t>
            </w:r>
          </w:p>
        </w:tc>
        <w:tc>
          <w:tcPr>
            <w:tcW w:w="3550" w:type="dxa"/>
            <w:vAlign w:val="center"/>
          </w:tcPr>
          <w:p>
            <w:pPr>
              <w:spacing w:after="45" w:before="35" w:line="220" w:lineRule="auto"/>
            </w:pPr>
            <w:r>
              <w:rPr>
                <w:color w:val="243746"/>
                <w:sz w:val="17"/>
              </w:rPr>
              <w:t xml:space="preserve">0 if E&lt;=1; otherwise 100*min(1, log2(E)/3); cap E=8.</w:t>
            </w:r>
          </w:p>
        </w:tc>
        <w:tc>
          <w:tcPr>
            <w:tcW w:w="1850" w:type="dxa"/>
            <w:vAlign w:val="center"/>
          </w:tcPr>
          <w:p>
            <w:pPr>
              <w:spacing w:after="45" w:before="35" w:line="220" w:lineRule="auto"/>
            </w:pPr>
            <w:r>
              <w:rPr>
                <w:color w:val="243746"/>
                <w:sz w:val="17"/>
              </w:rPr>
              <w:t xml:space="preserve">7.69%</w:t>
            </w:r>
          </w:p>
        </w:tc>
      </w:tr>
      <w:tr>
        <w:trPr>
          <w:cantSplit/>
        </w:trPr>
        <w:tc>
          <w:tcPr>
            <w:tcW w:w="2150" w:type="dxa"/>
            <w:vAlign w:val="center"/>
          </w:tcPr>
          <w:p>
            <w:pPr>
              <w:spacing w:after="45" w:before="35" w:line="220" w:lineRule="auto"/>
            </w:pPr>
            <w:r>
              <w:rPr>
                <w:color w:val="243746"/>
                <w:sz w:val="17"/>
              </w:rPr>
              <w:t xml:space="preserve">m7 Contributor retention</w:t>
            </w:r>
          </w:p>
        </w:tc>
        <w:tc>
          <w:tcPr>
            <w:tcW w:w="1450" w:type="dxa"/>
            <w:vAlign w:val="center"/>
          </w:tcPr>
          <w:p>
            <w:pPr>
              <w:spacing w:after="45" w:before="35" w:line="220" w:lineRule="auto"/>
            </w:pPr>
            <w:r>
              <w:rPr>
                <w:color w:val="243746"/>
                <w:sz w:val="17"/>
              </w:rPr>
              <w:t xml:space="preserve">Active in both half-windows</w:t>
            </w:r>
          </w:p>
        </w:tc>
        <w:tc>
          <w:tcPr>
            <w:tcW w:w="3550" w:type="dxa"/>
            <w:vAlign w:val="center"/>
          </w:tcPr>
          <w:p>
            <w:pPr>
              <w:spacing w:after="45" w:before="35" w:line="220" w:lineRule="auto"/>
            </w:pPr>
            <w:r>
              <w:rPr>
                <w:color w:val="243746"/>
                <w:sz w:val="17"/>
              </w:rPr>
              <w:t xml:space="preserve">0=0; 1=25; 2=50; 3-4=75; &gt;=5=100.</w:t>
            </w:r>
          </w:p>
        </w:tc>
        <w:tc>
          <w:tcPr>
            <w:tcW w:w="1850" w:type="dxa"/>
            <w:vAlign w:val="center"/>
          </w:tcPr>
          <w:p>
            <w:pPr>
              <w:spacing w:after="45" w:before="35" w:line="220" w:lineRule="auto"/>
            </w:pPr>
            <w:r>
              <w:rPr>
                <w:color w:val="243746"/>
                <w:sz w:val="17"/>
              </w:rPr>
              <w:t xml:space="preserve">7.69%</w:t>
            </w:r>
          </w:p>
        </w:tc>
      </w:tr>
      <w:tr>
        <w:trPr>
          <w:cantSplit/>
        </w:trPr>
        <w:tc>
          <w:tcPr>
            <w:tcW w:w="2150" w:type="dxa"/>
            <w:vAlign w:val="center"/>
          </w:tcPr>
          <w:p>
            <w:pPr>
              <w:spacing w:after="45" w:before="35" w:line="220" w:lineRule="auto"/>
            </w:pPr>
            <w:r>
              <w:rPr>
                <w:color w:val="243746"/>
                <w:sz w:val="17"/>
              </w:rPr>
              <w:t xml:space="preserve">m8 Issue response</w:t>
            </w:r>
          </w:p>
        </w:tc>
        <w:tc>
          <w:tcPr>
            <w:tcW w:w="1450" w:type="dxa"/>
            <w:vAlign w:val="center"/>
          </w:tcPr>
          <w:p>
            <w:pPr>
              <w:spacing w:after="45" w:before="35" w:line="220" w:lineRule="auto"/>
            </w:pPr>
            <w:r>
              <w:rPr>
                <w:color w:val="243746"/>
                <w:sz w:val="17"/>
              </w:rPr>
              <w:t xml:space="preserve">Issues responded to within 14 days</w:t>
            </w:r>
          </w:p>
        </w:tc>
        <w:tc>
          <w:tcPr>
            <w:tcW w:w="3550" w:type="dxa"/>
            <w:vAlign w:val="center"/>
          </w:tcPr>
          <w:p>
            <w:pPr>
              <w:spacing w:after="45" w:before="35" w:line="220" w:lineRule="auto"/>
            </w:pPr>
            <w:r>
              <w:rPr>
                <w:color w:val="243746"/>
                <w:sz w:val="17"/>
              </w:rPr>
              <w:t xml:space="preserve">Eligible response rate * 100; minimum 10 eligible issues.</w:t>
            </w:r>
          </w:p>
        </w:tc>
        <w:tc>
          <w:tcPr>
            <w:tcW w:w="1850" w:type="dxa"/>
            <w:vAlign w:val="center"/>
          </w:tcPr>
          <w:p>
            <w:pPr>
              <w:spacing w:after="45" w:before="35" w:line="220" w:lineRule="auto"/>
            </w:pPr>
            <w:r>
              <w:rPr>
                <w:color w:val="243746"/>
                <w:sz w:val="17"/>
              </w:rPr>
              <w:t xml:space="preserve">7.69%</w:t>
            </w:r>
          </w:p>
        </w:tc>
      </w:tr>
      <w:tr>
        <w:trPr>
          <w:cantSplit/>
        </w:trPr>
        <w:tc>
          <w:tcPr>
            <w:tcW w:w="2150" w:type="dxa"/>
            <w:vAlign w:val="center"/>
          </w:tcPr>
          <w:p>
            <w:pPr>
              <w:spacing w:after="45" w:before="35" w:line="220" w:lineRule="auto"/>
            </w:pPr>
            <w:r>
              <w:rPr>
                <w:color w:val="243746"/>
                <w:sz w:val="17"/>
              </w:rPr>
              <w:t xml:space="preserve">m9 PR response</w:t>
            </w:r>
          </w:p>
        </w:tc>
        <w:tc>
          <w:tcPr>
            <w:tcW w:w="1450" w:type="dxa"/>
            <w:vAlign w:val="center"/>
          </w:tcPr>
          <w:p>
            <w:pPr>
              <w:spacing w:after="45" w:before="35" w:line="220" w:lineRule="auto"/>
            </w:pPr>
            <w:r>
              <w:rPr>
                <w:color w:val="243746"/>
                <w:sz w:val="17"/>
              </w:rPr>
              <w:t xml:space="preserve">PRs responded to within 7 days</w:t>
            </w:r>
          </w:p>
        </w:tc>
        <w:tc>
          <w:tcPr>
            <w:tcW w:w="3550" w:type="dxa"/>
            <w:vAlign w:val="center"/>
          </w:tcPr>
          <w:p>
            <w:pPr>
              <w:spacing w:after="45" w:before="35" w:line="220" w:lineRule="auto"/>
            </w:pPr>
            <w:r>
              <w:rPr>
                <w:color w:val="243746"/>
                <w:sz w:val="17"/>
              </w:rPr>
              <w:t xml:space="preserve">Eligible response rate * 100; minimum 10 eligible PRs.</w:t>
            </w:r>
          </w:p>
        </w:tc>
        <w:tc>
          <w:tcPr>
            <w:tcW w:w="1850" w:type="dxa"/>
            <w:vAlign w:val="center"/>
          </w:tcPr>
          <w:p>
            <w:pPr>
              <w:spacing w:after="45" w:before="35" w:line="220" w:lineRule="auto"/>
            </w:pPr>
            <w:r>
              <w:rPr>
                <w:color w:val="243746"/>
                <w:sz w:val="17"/>
              </w:rPr>
              <w:t xml:space="preserve">7.69%</w:t>
            </w:r>
          </w:p>
        </w:tc>
      </w:tr>
      <w:tr>
        <w:trPr>
          <w:cantSplit/>
        </w:trPr>
        <w:tc>
          <w:tcPr>
            <w:tcW w:w="2150" w:type="dxa"/>
            <w:vAlign w:val="center"/>
          </w:tcPr>
          <w:p>
            <w:pPr>
              <w:spacing w:after="45" w:before="35" w:line="220" w:lineRule="auto"/>
            </w:pPr>
            <w:r>
              <w:rPr>
                <w:color w:val="243746"/>
                <w:sz w:val="17"/>
              </w:rPr>
              <w:t xml:space="preserve">m10 Issue closure</w:t>
            </w:r>
          </w:p>
        </w:tc>
        <w:tc>
          <w:tcPr>
            <w:tcW w:w="1450" w:type="dxa"/>
            <w:vAlign w:val="center"/>
          </w:tcPr>
          <w:p>
            <w:pPr>
              <w:spacing w:after="45" w:before="35" w:line="220" w:lineRule="auto"/>
            </w:pPr>
            <w:r>
              <w:rPr>
                <w:color w:val="243746"/>
                <w:sz w:val="17"/>
              </w:rPr>
              <w:t xml:space="preserve">Issues closed within 90 days</w:t>
            </w:r>
          </w:p>
        </w:tc>
        <w:tc>
          <w:tcPr>
            <w:tcW w:w="3550" w:type="dxa"/>
            <w:vAlign w:val="center"/>
          </w:tcPr>
          <w:p>
            <w:pPr>
              <w:spacing w:after="45" w:before="35" w:line="220" w:lineRule="auto"/>
            </w:pPr>
            <w:r>
              <w:rPr>
                <w:color w:val="243746"/>
                <w:sz w:val="17"/>
              </w:rPr>
              <w:t xml:space="preserve">Eligible closure rate * 100; minimum 10 eligible issues.</w:t>
            </w:r>
          </w:p>
        </w:tc>
        <w:tc>
          <w:tcPr>
            <w:tcW w:w="1850" w:type="dxa"/>
            <w:vAlign w:val="center"/>
          </w:tcPr>
          <w:p>
            <w:pPr>
              <w:spacing w:after="45" w:before="35" w:line="220" w:lineRule="auto"/>
            </w:pPr>
            <w:r>
              <w:rPr>
                <w:color w:val="243746"/>
                <w:sz w:val="17"/>
              </w:rPr>
              <w:t xml:space="preserve">7.69%</w:t>
            </w:r>
          </w:p>
        </w:tc>
      </w:tr>
      <w:tr>
        <w:trPr>
          <w:cantSplit/>
        </w:trPr>
        <w:tc>
          <w:tcPr>
            <w:tcW w:w="2150" w:type="dxa"/>
            <w:vAlign w:val="center"/>
          </w:tcPr>
          <w:p>
            <w:pPr>
              <w:spacing w:after="45" w:before="35" w:line="220" w:lineRule="auto"/>
            </w:pPr>
            <w:r>
              <w:rPr>
                <w:color w:val="243746"/>
                <w:sz w:val="17"/>
              </w:rPr>
              <w:t xml:space="preserve">m11 PR decision</w:t>
            </w:r>
          </w:p>
        </w:tc>
        <w:tc>
          <w:tcPr>
            <w:tcW w:w="1450" w:type="dxa"/>
            <w:vAlign w:val="center"/>
          </w:tcPr>
          <w:p>
            <w:pPr>
              <w:spacing w:after="45" w:before="35" w:line="220" w:lineRule="auto"/>
            </w:pPr>
            <w:r>
              <w:rPr>
                <w:color w:val="243746"/>
                <w:sz w:val="17"/>
              </w:rPr>
              <w:t xml:space="preserve">PRs merged/closed within 30 days</w:t>
            </w:r>
          </w:p>
        </w:tc>
        <w:tc>
          <w:tcPr>
            <w:tcW w:w="3550" w:type="dxa"/>
            <w:vAlign w:val="center"/>
          </w:tcPr>
          <w:p>
            <w:pPr>
              <w:spacing w:after="45" w:before="35" w:line="220" w:lineRule="auto"/>
            </w:pPr>
            <w:r>
              <w:rPr>
                <w:color w:val="243746"/>
                <w:sz w:val="17"/>
              </w:rPr>
              <w:t xml:space="preserve">Eligible decision rate * 100; minimum 10 eligible PRs.</w:t>
            </w:r>
          </w:p>
        </w:tc>
        <w:tc>
          <w:tcPr>
            <w:tcW w:w="1850" w:type="dxa"/>
            <w:vAlign w:val="center"/>
          </w:tcPr>
          <w:p>
            <w:pPr>
              <w:spacing w:after="45" w:before="35" w:line="220" w:lineRule="auto"/>
            </w:pPr>
            <w:r>
              <w:rPr>
                <w:color w:val="243746"/>
                <w:sz w:val="17"/>
              </w:rPr>
              <w:t xml:space="preserve">7.69%</w:t>
            </w:r>
          </w:p>
        </w:tc>
      </w:tr>
      <w:tr>
        <w:trPr>
          <w:cantSplit/>
        </w:trPr>
        <w:tc>
          <w:tcPr>
            <w:tcW w:w="2150" w:type="dxa"/>
            <w:vAlign w:val="center"/>
          </w:tcPr>
          <w:p>
            <w:pPr>
              <w:spacing w:after="45" w:before="35" w:line="220" w:lineRule="auto"/>
            </w:pPr>
            <w:r>
              <w:rPr>
                <w:color w:val="243746"/>
                <w:sz w:val="17"/>
              </w:rPr>
              <w:t xml:space="preserve">m12 Stars gained</w:t>
            </w:r>
          </w:p>
        </w:tc>
        <w:tc>
          <w:tcPr>
            <w:tcW w:w="1450" w:type="dxa"/>
            <w:vAlign w:val="center"/>
          </w:tcPr>
          <w:p>
            <w:pPr>
              <w:spacing w:after="45" w:before="35" w:line="220" w:lineRule="auto"/>
            </w:pPr>
            <w:r>
              <w:rPr>
                <w:color w:val="243746"/>
                <w:sz w:val="17"/>
              </w:rPr>
              <w:t xml:space="preserve">Stars added during window s</w:t>
            </w:r>
          </w:p>
        </w:tc>
        <w:tc>
          <w:tcPr>
            <w:tcW w:w="3550" w:type="dxa"/>
            <w:vAlign w:val="center"/>
          </w:tcPr>
          <w:p>
            <w:pPr>
              <w:spacing w:after="45" w:before="35" w:line="220" w:lineRule="auto"/>
            </w:pPr>
            <w:r>
              <w:rPr>
                <w:color w:val="243746"/>
                <w:sz w:val="17"/>
              </w:rPr>
              <w:t xml:space="preserve">100*min(1, log10(1+s)/3); cap 1,000.</w:t>
            </w:r>
          </w:p>
        </w:tc>
        <w:tc>
          <w:tcPr>
            <w:tcW w:w="1850" w:type="dxa"/>
            <w:vAlign w:val="center"/>
          </w:tcPr>
          <w:p>
            <w:pPr>
              <w:spacing w:after="45" w:before="35" w:line="220" w:lineRule="auto"/>
            </w:pPr>
            <w:r>
              <w:rPr>
                <w:color w:val="243746"/>
                <w:sz w:val="17"/>
              </w:rPr>
              <w:t xml:space="preserve">7.69%</w:t>
            </w:r>
          </w:p>
        </w:tc>
      </w:tr>
      <w:tr>
        <w:trPr>
          <w:cantSplit/>
        </w:trPr>
        <w:tc>
          <w:tcPr>
            <w:tcW w:w="2150" w:type="dxa"/>
            <w:vAlign w:val="center"/>
          </w:tcPr>
          <w:p>
            <w:pPr>
              <w:spacing w:after="45" w:before="35" w:line="220" w:lineRule="auto"/>
            </w:pPr>
            <w:r>
              <w:rPr>
                <w:color w:val="243746"/>
                <w:sz w:val="17"/>
              </w:rPr>
              <w:t xml:space="preserve">m13 Forks created</w:t>
            </w:r>
          </w:p>
        </w:tc>
        <w:tc>
          <w:tcPr>
            <w:tcW w:w="1450" w:type="dxa"/>
            <w:vAlign w:val="center"/>
          </w:tcPr>
          <w:p>
            <w:pPr>
              <w:spacing w:after="45" w:before="35" w:line="220" w:lineRule="auto"/>
            </w:pPr>
            <w:r>
              <w:rPr>
                <w:color w:val="243746"/>
                <w:sz w:val="17"/>
              </w:rPr>
              <w:t xml:space="preserve">Forks created during window f</w:t>
            </w:r>
          </w:p>
        </w:tc>
        <w:tc>
          <w:tcPr>
            <w:tcW w:w="3550" w:type="dxa"/>
            <w:vAlign w:val="center"/>
          </w:tcPr>
          <w:p>
            <w:pPr>
              <w:spacing w:after="45" w:before="35" w:line="220" w:lineRule="auto"/>
            </w:pPr>
            <w:r>
              <w:rPr>
                <w:color w:val="243746"/>
                <w:sz w:val="17"/>
              </w:rPr>
              <w:t xml:space="preserve">100*min(1, log10(1+f)/2); cap 100.</w:t>
            </w:r>
          </w:p>
        </w:tc>
        <w:tc>
          <w:tcPr>
            <w:tcW w:w="1850" w:type="dxa"/>
            <w:vAlign w:val="center"/>
          </w:tcPr>
          <w:p>
            <w:pPr>
              <w:spacing w:after="45" w:before="35" w:line="220" w:lineRule="auto"/>
            </w:pPr>
            <w:r>
              <w:rPr>
                <w:color w:val="243746"/>
                <w:sz w:val="17"/>
              </w:rPr>
              <w:t xml:space="preserve">7.69%</w:t>
            </w:r>
          </w:p>
        </w:tc>
      </w:tr>
    </w:tbl>
    <w:p>
      <w:pPr>
        <w:pStyle w:val="Heading1"/>
      </w:pPr>
      <w:r>
        <w:t xml:space="preserve">Window and metric selection</w:t>
      </w:r>
    </w:p>
    <w:p>
      <w:pPr>
        <w:spacing w:after="100" w:line="240" w:lineRule="auto"/>
      </w:pPr>
      <w:r>
        <w:t xml:space="preserve">The observation window is 1 October 2025 inclusive to 1 October 2026 exclusive (UTC), a common recent annual cycle. Follow-up cutoffs are 14 days for issue response, 7 days for PR response, 90 days for issue closure, and 30 days for PR decisions. Metrics were selected for relevance, clear definitions, cohort-wide data feasibility, interpretability, and manageable redundancy. The 13 indicators measure continuity (commits, active weeks, recency, releases), contributors (count, distribution, retention), responsiveness (issue/PR response and disposition), and adoption (stars, forks). Response metrics require at least ten eligible items.</w:t>
      </w:r>
    </w:p>
    <w:p>
      <w:pPr>
        <w:pStyle w:val="Heading1"/>
      </w:pPr>
      <w:r>
        <w:t xml:space="preserve">Equal-weight scoring</w:t>
      </w:r>
    </w:p>
    <w:p>
      <w:pPr>
        <w:spacing w:after="100" w:line="240" w:lineRule="auto"/>
      </w:pPr>
      <w:r>
        <w:t xml:space="preserve">Indicators are normalized to 0-100 and averaged equally: each CE metric 1/7 (14.29%); Governance 1/10 (10%); applicable Organizational Capacity metric 1/k (12.5% when all eight apply); Development Activity 1/13 (7.69%). Each component contributes 25% to OISI. Eligibility requires 5/7 CE metrics across all groups; 7/10 Governance indicators including Formal and Transparency; 70% of applicable Organizational Capacity metrics across two dimensions; and 10/13 Development metrics plus half of each dimension. Not-applicable fields leave the denominator.</w:t>
      </w:r>
    </w:p>
    <w:p>
      <w:pPr>
        <w:pStyle w:val="Heading2"/>
      </w:pPr>
      <w:r>
        <w:t xml:space="preserve">Final component and index calculations</w:t>
      </w:r>
    </w:p>
    <w:tbl>
      <w:tblPr>
        <w:tblStyle w:val="TableGrid"/>
        <w:tblW w:w="9000" w:type="dxa"/>
        <w:tblLayout w:type="fixed"/>
        <w:tblCellMar>
          <w:top w:w="65" w:type="dxa"/>
          <w:left w:w="90" w:type="dxa"/>
          <w:bottom w:w="65" w:type="dxa"/>
          <w:right w:w="90" w:type="dxa"/>
        </w:tblCellMar>
        <w:tblBorders>
          <w:top w:val="single" w:sz="5" w:color="B7C9D6"/>
          <w:left w:val="single" w:sz="5" w:color="B7C9D6"/>
          <w:bottom w:val="single" w:sz="5" w:color="B7C9D6"/>
          <w:right w:val="single" w:sz="5" w:color="B7C9D6"/>
          <w:insideH w:val="single" w:sz="4" w:color="D7E0E7"/>
          <w:insideV w:val="single" w:sz="4" w:color="D7E0E7"/>
        </w:tblBorders>
      </w:tblPr>
      <w:tr>
        <w:trPr>
          <w:cantSplit/>
        </w:trPr>
        <w:tblHeader w:val="true"/>
        <w:tc>
          <w:tcPr>
            <w:tcW w:w="2400" w:type="dxa"/>
            <w:shd w:fill="1F4E78"/>
            <w:vAlign w:val="center"/>
          </w:tcPr>
          <w:p>
            <w:pPr>
              <w:spacing w:after="45" w:before="35" w:line="220" w:lineRule="auto"/>
            </w:pPr>
            <w:r>
              <w:rPr>
                <w:b/>
                <w:color w:val="FFFFFF"/>
                <w:sz w:val="17"/>
              </w:rPr>
              <w:t xml:space="preserve">Calculation</w:t>
            </w:r>
          </w:p>
        </w:tc>
        <w:tc>
          <w:tcPr>
            <w:tcW w:w="3900" w:type="dxa"/>
            <w:shd w:fill="1F4E78"/>
            <w:vAlign w:val="center"/>
          </w:tcPr>
          <w:p>
            <w:pPr>
              <w:spacing w:after="45" w:before="35" w:line="220" w:lineRule="auto"/>
            </w:pPr>
            <w:r>
              <w:rPr>
                <w:b/>
                <w:color w:val="FFFFFF"/>
                <w:sz w:val="17"/>
              </w:rPr>
              <w:t xml:space="preserve">Formula</w:t>
            </w:r>
          </w:p>
        </w:tc>
        <w:tc>
          <w:tcPr>
            <w:tcW w:w="2700" w:type="dxa"/>
            <w:shd w:fill="1F4E78"/>
            <w:vAlign w:val="center"/>
          </w:tcPr>
          <w:p>
            <w:pPr>
              <w:spacing w:after="45" w:before="35" w:line="220" w:lineRule="auto"/>
            </w:pPr>
            <w:r>
              <w:rPr>
                <w:b/>
                <w:color w:val="FFFFFF"/>
                <w:sz w:val="17"/>
              </w:rPr>
              <w:t xml:space="preserve">Rule</w:t>
            </w:r>
          </w:p>
        </w:tc>
      </w:tr>
      <w:tr>
        <w:trPr>
          <w:cantSplit/>
        </w:trPr>
        <w:tc>
          <w:tcPr>
            <w:tcW w:w="2400" w:type="dxa"/>
            <w:vAlign w:val="center"/>
          </w:tcPr>
          <w:p>
            <w:pPr>
              <w:spacing w:after="45" w:before="35" w:line="220" w:lineRule="auto"/>
            </w:pPr>
            <w:r>
              <w:rPr>
                <w:color w:val="243746"/>
                <w:sz w:val="17"/>
              </w:rPr>
              <w:t xml:space="preserve">Common metric scale</w:t>
            </w:r>
          </w:p>
        </w:tc>
        <w:tc>
          <w:tcPr>
            <w:tcW w:w="3900" w:type="dxa"/>
            <w:vAlign w:val="center"/>
          </w:tcPr>
          <w:p>
            <w:pPr>
              <w:spacing w:after="45" w:before="35" w:line="220" w:lineRule="auto"/>
            </w:pPr>
            <w:r>
              <w:rPr>
                <w:color w:val="243746"/>
                <w:sz w:val="17"/>
              </w:rPr>
              <w:t xml:space="preserve">Profile metric points = 100*r_i, where r_i is the 0-1 anchor score; Development Activity metrics are already 0-100.</w:t>
            </w:r>
          </w:p>
        </w:tc>
        <w:tc>
          <w:tcPr>
            <w:tcW w:w="2700" w:type="dxa"/>
            <w:vAlign w:val="center"/>
          </w:tcPr>
          <w:p>
            <w:pPr>
              <w:spacing w:after="45" w:before="35" w:line="220" w:lineRule="auto"/>
            </w:pPr>
            <w:r>
              <w:rPr>
                <w:color w:val="243746"/>
                <w:sz w:val="17"/>
              </w:rPr>
              <w:t xml:space="preserve">All x_i are put on a 0-100 scale before component averaging.</w:t>
            </w:r>
          </w:p>
        </w:tc>
      </w:tr>
      <w:tr>
        <w:trPr>
          <w:cantSplit/>
        </w:trPr>
        <w:tc>
          <w:tcPr>
            <w:tcW w:w="2400" w:type="dxa"/>
            <w:vAlign w:val="center"/>
          </w:tcPr>
          <w:p>
            <w:pPr>
              <w:spacing w:after="45" w:before="35" w:line="220" w:lineRule="auto"/>
            </w:pPr>
            <w:r>
              <w:rPr>
                <w:color w:val="243746"/>
                <w:sz w:val="17"/>
              </w:rPr>
              <w:t xml:space="preserve">Equal component score</w:t>
            </w:r>
          </w:p>
        </w:tc>
        <w:tc>
          <w:tcPr>
            <w:tcW w:w="3900" w:type="dxa"/>
            <w:vAlign w:val="center"/>
          </w:tcPr>
          <w:p>
            <w:pPr>
              <w:spacing w:after="45" w:before="35" w:line="220" w:lineRule="auto"/>
            </w:pPr>
            <w:r>
              <w:rPr>
                <w:color w:val="243746"/>
                <w:sz w:val="17"/>
              </w:rPr>
              <w:t xml:space="preserve">C_j = sum(x_i for scored/applicable i) / n_j.</w:t>
            </w:r>
          </w:p>
        </w:tc>
        <w:tc>
          <w:tcPr>
            <w:tcW w:w="2700" w:type="dxa"/>
            <w:vAlign w:val="center"/>
          </w:tcPr>
          <w:p>
            <w:pPr>
              <w:spacing w:after="45" w:before="35" w:line="220" w:lineRule="auto"/>
            </w:pPr>
            <w:r>
              <w:rPr>
                <w:color w:val="243746"/>
                <w:sz w:val="17"/>
              </w:rPr>
              <w:t xml:space="preserve">Publish only when that component’s coverage and dimension rules pass.</w:t>
            </w:r>
          </w:p>
        </w:tc>
      </w:tr>
      <w:tr>
        <w:trPr>
          <w:cantSplit/>
        </w:trPr>
        <w:tc>
          <w:tcPr>
            <w:tcW w:w="2400" w:type="dxa"/>
            <w:vAlign w:val="center"/>
          </w:tcPr>
          <w:p>
            <w:pPr>
              <w:spacing w:after="45" w:before="35" w:line="220" w:lineRule="auto"/>
            </w:pPr>
            <w:r>
              <w:rPr>
                <w:color w:val="243746"/>
                <w:sz w:val="17"/>
              </w:rPr>
              <w:t xml:space="preserve">Strict OISI</w:t>
            </w:r>
          </w:p>
        </w:tc>
        <w:tc>
          <w:tcPr>
            <w:tcW w:w="3900" w:type="dxa"/>
            <w:vAlign w:val="center"/>
          </w:tcPr>
          <w:p>
            <w:pPr>
              <w:spacing w:after="45" w:before="35" w:line="220" w:lineRule="auto"/>
            </w:pPr>
            <w:r>
              <w:rPr>
                <w:color w:val="243746"/>
                <w:sz w:val="17"/>
              </w:rPr>
              <w:t xml:space="preserve">OISI = (CE + Governance + Organizational Capacity + Development Activity) / 4.</w:t>
            </w:r>
          </w:p>
        </w:tc>
        <w:tc>
          <w:tcPr>
            <w:tcW w:w="2700" w:type="dxa"/>
            <w:vAlign w:val="center"/>
          </w:tcPr>
          <w:p>
            <w:pPr>
              <w:spacing w:after="45" w:before="35" w:line="220" w:lineRule="auto"/>
            </w:pPr>
            <w:r>
              <w:rPr>
                <w:color w:val="243746"/>
                <w:sz w:val="17"/>
              </w:rPr>
              <w:t xml:space="preserve">All four component scores qualify; each contributes 25%.</w:t>
            </w:r>
          </w:p>
        </w:tc>
      </w:tr>
      <w:tr>
        <w:trPr>
          <w:cantSplit/>
        </w:trPr>
        <w:tc>
          <w:tcPr>
            <w:tcW w:w="2400" w:type="dxa"/>
            <w:vAlign w:val="center"/>
          </w:tcPr>
          <w:p>
            <w:pPr>
              <w:spacing w:after="45" w:before="35" w:line="220" w:lineRule="auto"/>
            </w:pPr>
            <w:r>
              <w:rPr>
                <w:color w:val="243746"/>
                <w:sz w:val="17"/>
              </w:rPr>
              <w:t xml:space="preserve">All-112 evidence view</w:t>
            </w:r>
          </w:p>
        </w:tc>
        <w:tc>
          <w:tcPr>
            <w:tcW w:w="3900" w:type="dxa"/>
            <w:vAlign w:val="center"/>
          </w:tcPr>
          <w:p>
            <w:pPr>
              <w:spacing w:after="45" w:before="35" w:line="220" w:lineRule="auto"/>
            </w:pPr>
            <w:r>
              <w:rPr>
                <w:color w:val="243746"/>
                <w:sz w:val="17"/>
              </w:rPr>
              <w:t xml:space="preserve">OISI_4 = (CE + Gov + Org + Dev) / 4; missing component = 0.</w:t>
            </w:r>
          </w:p>
        </w:tc>
        <w:tc>
          <w:tcPr>
            <w:tcW w:w="2700" w:type="dxa"/>
            <w:vAlign w:val="center"/>
          </w:tcPr>
          <w:p>
            <w:pPr>
              <w:spacing w:after="45" w:before="35" w:line="220" w:lineRule="auto"/>
            </w:pPr>
            <w:r>
              <w:rPr>
                <w:color w:val="243746"/>
                <w:sz w:val="17"/>
              </w:rPr>
              <w:t xml:space="preserve">Secondary coverage view, not measured zero performance.</w:t>
            </w:r>
          </w:p>
        </w:tc>
      </w:tr>
      <w:tr>
        <w:trPr>
          <w:cantSplit/>
        </w:trPr>
        <w:tc>
          <w:tcPr>
            <w:tcW w:w="2400" w:type="dxa"/>
            <w:vAlign w:val="center"/>
          </w:tcPr>
          <w:p>
            <w:pPr>
              <w:spacing w:after="45" w:before="35" w:line="220" w:lineRule="auto"/>
            </w:pPr>
            <w:r>
              <w:rPr>
                <w:color w:val="243746"/>
                <w:sz w:val="17"/>
              </w:rPr>
              <w:t xml:space="preserve">Illustrative example</w:t>
            </w:r>
          </w:p>
        </w:tc>
        <w:tc>
          <w:tcPr>
            <w:tcW w:w="3900" w:type="dxa"/>
            <w:vAlign w:val="center"/>
          </w:tcPr>
          <w:p>
            <w:pPr>
              <w:spacing w:after="45" w:before="35" w:line="220" w:lineRule="auto"/>
            </w:pPr>
            <w:r>
              <w:rPr>
                <w:color w:val="243746"/>
                <w:sz w:val="17"/>
              </w:rPr>
              <w:t xml:space="preserve">(80 + 70 + 60 + 90) / 4 = 75.00.</w:t>
            </w:r>
          </w:p>
        </w:tc>
        <w:tc>
          <w:tcPr>
            <w:tcW w:w="2700" w:type="dxa"/>
            <w:vAlign w:val="center"/>
          </w:tcPr>
          <w:p>
            <w:pPr>
              <w:spacing w:after="45" w:before="35" w:line="220" w:lineRule="auto"/>
            </w:pPr>
            <w:r>
              <w:rPr>
                <w:color w:val="243746"/>
                <w:sz w:val="17"/>
              </w:rPr>
              <w:t xml:space="preserve">Example values only; not a repository result.</w:t>
            </w:r>
          </w:p>
        </w:tc>
      </w:tr>
    </w:tbl>
    <w:p>
      <w:pPr>
        <w:pStyle w:val="Heading1"/>
      </w:pPr>
      <w:r>
        <w:t xml:space="preserve">Evaluation and interpretation</w:t>
      </w:r>
    </w:p>
    <w:p>
      <w:pPr>
        <w:spacing w:after="100" w:line="240" w:lineRule="auto"/>
      </w:pPr>
      <w:r>
        <w:t xml:space="preserve">Checks reconcile the cohort, trace sources, recalculate scores, and inspect missingness, distributions, API diagnostics, and redundancy. Report complete cases separately from the all-112 view, where missing component scores contribute zero, not measured zero performance. Currently, 57 entries have all four scores (mean 74.54; range 46.90-91.52). Limitations include self-reporting, platform gaps, proxy measures, identity errors, and a one-year snapshot. Equal shares do not imply equal reliability [2-4].</w:t>
      </w:r>
    </w:p>
    <w:p>
      <w:pPr>
        <w:pStyle w:val="Heading1"/>
      </w:pPr>
      <w:r>
        <w:t xml:space="preserve">Continuing analysis</w:t>
      </w:r>
    </w:p>
    <w:p>
      <w:pPr>
        <w:spacing w:after="100" w:line="240" w:lineRule="auto"/>
      </w:pPr>
      <w:r>
        <w:t xml:space="preserve">Alongside this equal-weight study, we are exploring a separate weighted analysis of the same infrastructure set for comparative analysis. It does not alter the present results.</w:t>
      </w:r>
    </w:p>
    <w:p>
      <w:pPr>
        <w:pStyle w:val="Heading1"/>
      </w:pPr>
      <w:r>
        <w:t xml:space="preserve">References</w:t>
      </w:r>
    </w:p>
    <w:p>
      <w:pPr>
        <w:spacing w:after="100" w:line="240" w:lineRule="auto"/>
      </w:pPr>
      <w:r>
        <w:t xml:space="preserve">[1] Zenodo record 18225266. https://zenodo.org/records/18225266. [2] OECD, EU &amp; EC-JRC (2008), Handbook on Constructing Composite Indicators. https://doi.org/10.1787/9789264043466-en. [3] Goggins, Lumbard &amp; Germonprez (2021), Open Source Community Health. https://doi.org/10.1109/SoHeal52568.2021.00010. [4] Yin et al. (2022), Open Source Software Sustainability, PACM HCI 6(CSCW2), Article 404. https://doi.org/10.1145/3555129.</w:t>
      </w:r>
    </w:p>
    <w:sectPr>
      <w:pgSz w:w="12240" w:h="15840"/>
      <w:pgMar w:top="850" w:right="900" w:bottom="850" w:left="900"/>
    </w:sectPr>
  </w:body>
</w:document>
</file>

<file path=word/styles.xml><?xml version="1.0" encoding="utf-8"?>
<w:styles xmlns:w="http://schemas.openxmlformats.org/wordprocessingml/2006/main">
  <w:docDefaults>
    <w:rPrDefault>
      <w:rPr>
        <w:rFonts w:ascii="Aptos" w:hAnsi="Aptos"/>
        <w:sz w:val="20"/>
        <w:color w:val="243746"/>
      </w:rPr>
    </w:rPrDefault>
    <w:pPrDefault>
      <w:pPr>
        <w:spacing w:after="100" w:line="270" w:lineRule="auto"/>
      </w:pPr>
    </w:pPrDefault>
  </w:docDefaults>
  <w:style w:type="paragraph" w:default="1" w:styleId="Normal">
    <w:name w:val="Normal"/>
  </w:style>
  <w:style w:type="paragraph" w:styleId="Title">
    <w:name w:val="Title"/>
    <w:rPr>
      <w:rFonts w:ascii="Aptos Display" w:hAnsi="Aptos Display"/>
      <w:b/>
      <w:color w:val="1F4E78"/>
      <w:sz w:val="32"/>
    </w:rPr>
  </w:style>
  <w:style w:type="paragraph" w:styleId="Subtitle">
    <w:name w:val="Subtitle"/>
    <w:rPr>
      <w:color w:val="58717F"/>
      <w:sz w:val="18"/>
    </w:rPr>
  </w:style>
  <w:style w:type="paragraph" w:styleId="Heading1">
    <w:name w:val="heading 1"/>
    <w:basedOn w:val="Normal"/>
    <w:pPr>
      <w:keepNext/>
      <w:spacing w:before="180" w:after="90"/>
    </w:pPr>
    <w:rPr>
      <w:b/>
      <w:color w:val="1F4E78"/>
      <w:sz w:val="23"/>
    </w:rPr>
  </w:style>
  <w:style w:type="paragraph" w:styleId="Heading2">
    <w:name w:val="heading 2"/>
    <w:basedOn w:val="Normal"/>
    <w:pPr>
      <w:keepNext/>
      <w:spacing w:before="150" w:after="70"/>
    </w:pPr>
    <w:rPr>
      <w:b/>
      <w:color w:val="1F4E78"/>
      <w:sz w:val="20"/>
    </w:rPr>
  </w:style>
  <w:style w:type="table" w:styleId="TableGrid">
    <w:name w:val="Table Grid"/>
  </w:style>
</w:styles>
</file>