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OISI Component 3: Organizational Capacity</w:t>
      </w:r>
    </w:p>
    <w:p>
      <w:pPr>
        <w:jc w:val="center"/>
      </w:pPr>
      <w:r>
        <w:rPr>
          <w:b/>
          <w:sz w:val="24"/>
        </w:rPr>
        <w:t>25% of total OISI</w:t>
      </w:r>
    </w:p>
    <w:p>
      <w:r>
        <w:rPr>
          <w:b/>
        </w:rPr>
        <w:t xml:space="preserve">Purpose: </w:t>
      </w:r>
      <w:r>
        <w:t>Measures whether the infrastructure has mature, maintained, institutionally supported, and operational arrangements that can support continuity. Staffing is not included in the core score.</w:t>
      </w:r>
    </w:p>
    <w:p>
      <w:pPr>
        <w:pStyle w:val="Heading1"/>
      </w:pPr>
      <w:r>
        <w:t>Sub-components, metrics and weightage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232"/>
            <w:shd w:fill="D9EAF7"/>
            <w:vAlign w:val="center"/>
          </w:tcPr>
          <w:p>
            <w:r>
              <w:rPr>
                <w:b/>
                <w:sz w:val="18"/>
              </w:rPr>
              <w:t>Sub-component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rPr>
                <w:b/>
                <w:sz w:val="18"/>
              </w:rPr>
              <w:t>Weight within component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952"/>
            <w:shd w:fill="D9EAF7"/>
            <w:vAlign w:val="center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224"/>
            <w:shd w:fill="D9EAF7"/>
            <w:vAlign w:val="center"/>
          </w:tcPr>
          <w:p>
            <w:r>
              <w:rPr>
                <w:b/>
                <w:sz w:val="18"/>
              </w:rPr>
              <w:t>Metric weight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Organizational Maturity and Maintenance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Technology readiness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079_technology_readiness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Maintenance status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080_maintenance_status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Infrastructure age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056_launch_date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Institutional Support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Affiliations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058_affiliations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SCOSS participation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099_scoss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Registered service providers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077_registered_service_providers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Operational Capacity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SaaS / hosted options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076_saas_options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Service-provider ecosystem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077_registered_service_providers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10%</w:t>
            </w:r>
          </w:p>
        </w:tc>
      </w:tr>
    </w:tbl>
    <w:p>
      <w:pPr>
        <w:pStyle w:val="Heading1"/>
      </w:pPr>
      <w:r>
        <w:t>Working scoring rules</w:t>
      </w:r>
    </w:p>
    <w:p>
      <w:r>
        <w:rPr>
          <w:b/>
        </w:rPr>
        <w:t>Organizational Maturity and Maintenance (50%)</w:t>
      </w:r>
    </w:p>
    <w:p>
      <w:pPr>
        <w:pStyle w:val="ListBullet"/>
        <w:spacing w:after="40"/>
      </w:pPr>
      <w:r>
        <w:rPr>
          <w:b/>
        </w:rPr>
        <w:t xml:space="preserve">Technology readiness [079_technology_readiness; 20%]: </w:t>
      </w:r>
      <w:r>
        <w:t>Create an ordinal 0-1 scale from the verified readiness categories; highest score for an operationally proven system.</w:t>
      </w:r>
    </w:p>
    <w:p>
      <w:pPr>
        <w:pStyle w:val="ListBullet"/>
        <w:spacing w:after="40"/>
      </w:pPr>
      <w:r>
        <w:rPr>
          <w:b/>
        </w:rPr>
        <w:t xml:space="preserve">Maintenance status [080_maintenance_status; 25%]: </w:t>
      </w:r>
      <w:r>
        <w:t>Actively maintained = 1.00; minimally/limited maintenance = intermediate score; inactive/not maintained = 0; unknown = NA.</w:t>
      </w:r>
    </w:p>
    <w:p>
      <w:pPr>
        <w:pStyle w:val="ListBullet"/>
        <w:spacing w:after="40"/>
      </w:pPr>
      <w:r>
        <w:rPr>
          <w:b/>
        </w:rPr>
        <w:t xml:space="preserve">Infrastructure age [056_launch_date; 5%]: </w:t>
      </w:r>
      <w:r>
        <w:t>Use only as a small contextual maturity indicator after normalizing age; older age must not dominate the score.</w:t>
      </w:r>
    </w:p>
    <w:p>
      <w:r>
        <w:rPr>
          <w:b/>
        </w:rPr>
        <w:t>Institutional Support (30%)</w:t>
      </w:r>
    </w:p>
    <w:p>
      <w:pPr>
        <w:pStyle w:val="ListBullet"/>
        <w:spacing w:after="40"/>
      </w:pPr>
      <w:r>
        <w:rPr>
          <w:b/>
        </w:rPr>
        <w:t xml:space="preserve">Affiliations [058_affiliations; 15%]: </w:t>
      </w:r>
      <w:r>
        <w:t>Score verified presence of meaningful institutional affiliation/support; do not reward the sheer number of affiliations.</w:t>
      </w:r>
    </w:p>
    <w:p>
      <w:pPr>
        <w:pStyle w:val="ListBullet"/>
        <w:spacing w:after="40"/>
      </w:pPr>
      <w:r>
        <w:rPr>
          <w:b/>
        </w:rPr>
        <w:t xml:space="preserve">SCOSS participation [099_scoss; 5%]: </w:t>
      </w:r>
      <w:r>
        <w:t>Verified participation = 1; no participation = 0; unknown/not applicable = NA.</w:t>
      </w:r>
    </w:p>
    <w:p>
      <w:pPr>
        <w:pStyle w:val="ListBullet"/>
        <w:spacing w:after="40"/>
      </w:pPr>
      <w:r>
        <w:rPr>
          <w:b/>
        </w:rPr>
        <w:t xml:space="preserve">Registered service providers [077_registered_service_providers; 10%]: </w:t>
      </w:r>
      <w:r>
        <w:t>Score verified availability of an external/provider ecosystem where applicable; NA where not applicable.</w:t>
      </w:r>
    </w:p>
    <w:p>
      <w:r>
        <w:rPr>
          <w:b/>
        </w:rPr>
        <w:t>Operational Capacity (20%)</w:t>
      </w:r>
    </w:p>
    <w:p>
      <w:pPr>
        <w:pStyle w:val="ListBullet"/>
        <w:spacing w:after="40"/>
      </w:pPr>
      <w:r>
        <w:rPr>
          <w:b/>
        </w:rPr>
        <w:t xml:space="preserve">SaaS / hosted options [076_saas_options; 10%]: </w:t>
      </w:r>
      <w:r>
        <w:t>Score verified operational service availability where applicable.</w:t>
      </w:r>
    </w:p>
    <w:p>
      <w:pPr>
        <w:pStyle w:val="ListBullet"/>
        <w:spacing w:after="40"/>
      </w:pPr>
      <w:r>
        <w:rPr>
          <w:b/>
        </w:rPr>
        <w:t xml:space="preserve">Service-provider ecosystem [077_registered_service_providers; 10%]: </w:t>
      </w:r>
      <w:r>
        <w:t>Where applicable, score presence of a verified provider ecosystem. If already used above, avoid double-counting by retaining it in only one sub-component in the final codebook.</w:t>
      </w:r>
    </w:p>
    <w:p>
      <w:pPr>
        <w:pStyle w:val="Heading1"/>
      </w:pPr>
      <w:r>
        <w:t>Descriptive / contextual variables</w:t>
      </w:r>
    </w:p>
    <w:p>
      <w:r>
        <w:t>These variables may be reported or used for subgroup analysis, but should not automatically increase or decrease the core component score:</w:t>
      </w:r>
    </w:p>
    <w:p>
      <w:pPr>
        <w:pStyle w:val="ListBullet"/>
      </w:pPr>
      <w:r>
        <w:t>051_business_form</w:t>
      </w:r>
    </w:p>
    <w:p>
      <w:pPr>
        <w:pStyle w:val="ListBullet"/>
      </w:pPr>
      <w:r>
        <w:t>052_nonprofit_status</w:t>
      </w:r>
    </w:p>
    <w:p>
      <w:pPr>
        <w:pStyle w:val="ListBullet"/>
      </w:pPr>
      <w:r>
        <w:t>061_primary_funding_source</w:t>
      </w:r>
    </w:p>
    <w:p>
      <w:pPr>
        <w:pStyle w:val="ListBullet"/>
      </w:pPr>
      <w:r>
        <w:t>017_funding_needs</w:t>
      </w:r>
    </w:p>
    <w:p>
      <w:pPr>
        <w:pStyle w:val="ListBullet"/>
      </w:pPr>
      <w:r>
        <w:t>054_staffing_full_time</w:t>
      </w:r>
    </w:p>
    <w:p>
      <w:pPr>
        <w:pStyle w:val="ListBullet"/>
      </w:pPr>
      <w:r>
        <w:t>055_staffing_volunteer</w:t>
      </w:r>
    </w:p>
    <w:p>
      <w:pPr>
        <w:pStyle w:val="ListBullet"/>
      </w:pPr>
      <w:r>
        <w:t>057_organizational_history</w:t>
      </w:r>
    </w:p>
    <w:p>
      <w:pPr>
        <w:pStyle w:val="ListBullet"/>
      </w:pPr>
      <w:r>
        <w:t>059_founders</w:t>
      </w:r>
    </w:p>
    <w:p>
      <w:pPr>
        <w:pStyle w:val="Heading1"/>
      </w:pPr>
      <w:r>
        <w:t>Component formula</w:t>
      </w:r>
    </w:p>
    <w:p>
      <w:r>
        <w:rPr>
          <w:b/>
        </w:rPr>
        <w:t>Working Organizational Capacity Score = 0.50(Organizational Maturity &amp; Maintenance) + 0.30(Institutional Support) + 0.20(Operational Capacity). Note: before final calculation, registered service providers must be assigned to only one sub-component to avoid double-counting.</w:t>
      </w:r>
    </w:p>
    <w:p>
      <w:r>
        <w:rPr>
          <w:b/>
        </w:rPr>
        <w:t xml:space="preserve">Missing-data rule: </w:t>
      </w:r>
      <w:r>
        <w:t>Unknown, blank, and Not applicable should be treated as missing (NA), not automatically as zero. The final codebook should specify a minimum completeness threshold before a component score is calculated.</w:t>
      </w:r>
    </w:p>
    <w:p>
      <w:r>
        <w:rPr>
          <w:b/>
        </w:rPr>
        <w:t xml:space="preserve">Overall OISI contribution: </w:t>
      </w:r>
      <w:r>
        <w:t>This component contributes 25% to the final OISI. The initial overall formula is OISI = 100 x [0.25 Community Engagement + 0.25 Governance Practices + 0.25 Organizational Capacity + 0.25 Development Activity].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