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OISI Equal-Metric Weighting Methodology</w:t>
      </w:r>
    </w:p>
    <w:p>
      <w:pPr>
        <w:pStyle w:val="Subtitle"/>
      </w:pPr>
      <w:r>
        <w:t xml:space="preserve">Standalone method note | Four components | 112 infrastructures | 14 October 2026</w:t>
      </w:r>
    </w:p>
    <w:p>
      <w:pPr>
        <w:pStyle w:val="Heading2"/>
      </w:pPr>
      <w:r>
        <w:t xml:space="preserve">Purpose and scope</w:t>
      </w:r>
    </w:p>
    <w:p>
      <w:pPr>
        <w:pStyle w:val="Normal"/>
      </w:pPr>
      <w:r>
        <w:t xml:space="preserve">This document specifies an alternative OISI calculation in which every scored, applicable metric receives the same share within its own component. It is intended to be read alongside the existing component score sheets and the OISI full-index workbook. It documents the equal-metric perspective; it does not replace the original weighted results.</w:t>
      </w:r>
    </w:p>
    <w:p>
      <w:pPr>
        <w:pStyle w:val="Heading2"/>
      </w:pPr>
      <w:r>
        <w:t xml:space="preserve">The distinction that matters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400" w:type="dxa"/>
            <w:shd w:fill="1F4E78"/>
            <w:vAlign w:val="center"/>
          </w:tcPr>
          <w:p>
            <w:pPr>
              <w:spacing w:after="45" w:before="35"/>
            </w:pPr>
            <w:r>
              <w:rPr>
                <w:b/>
                <w:color w:val="FFFFFF"/>
                <w:sz w:val="16"/>
              </w:rPr>
              <w:t xml:space="preserve">Level</w:t>
            </w:r>
          </w:p>
        </w:tc>
        <w:tc>
          <w:tcPr>
            <w:tcW w:w="6600" w:type="dxa"/>
            <w:shd w:fill="1F4E78"/>
            <w:vAlign w:val="center"/>
          </w:tcPr>
          <w:p>
            <w:pPr>
              <w:spacing w:after="45" w:before="35"/>
            </w:pPr>
            <w:r>
              <w:rPr>
                <w:b/>
                <w:color w:val="FFFFFF"/>
                <w:sz w:val="16"/>
              </w:rPr>
              <w:t xml:space="preserve">Rule in this analysis</w:t>
            </w:r>
          </w:p>
        </w:tc>
      </w:tr>
      <w:tr>
        <w:tc>
          <w:tcPr>
            <w:tcW w:w="2400" w:type="dxa"/>
            <w:vAlign w:val="center"/>
          </w:tcPr>
          <w:p>
            <w:pPr>
              <w:spacing w:after="45" w:before="35"/>
            </w:pPr>
            <w:r>
              <w:rPr>
                <w:color w:val="243746"/>
                <w:sz w:val="16"/>
              </w:rPr>
              <w:t xml:space="preserve">Within a component</w:t>
            </w:r>
          </w:p>
        </w:tc>
        <w:tc>
          <w:tcPr>
            <w:tcW w:w="6600" w:type="dxa"/>
            <w:vAlign w:val="center"/>
          </w:tcPr>
          <w:p>
            <w:pPr>
              <w:spacing w:after="45" w:before="35"/>
            </w:pPr>
            <w:r>
              <w:rPr>
                <w:color w:val="243746"/>
                <w:sz w:val="16"/>
              </w:rPr>
              <w:t xml:space="preserve">Equal arithmetic mean across the component's scored, applicable metrics.</w:t>
            </w:r>
          </w:p>
        </w:tc>
      </w:tr>
      <w:tr>
        <w:tc>
          <w:tcPr>
            <w:tcW w:w="2400" w:type="dxa"/>
            <w:vAlign w:val="center"/>
          </w:tcPr>
          <w:p>
            <w:pPr>
              <w:spacing w:after="45" w:before="35"/>
            </w:pPr>
            <w:r>
              <w:rPr>
                <w:color w:val="243746"/>
                <w:sz w:val="16"/>
              </w:rPr>
              <w:t xml:space="preserve">Across the four components</w:t>
            </w:r>
          </w:p>
        </w:tc>
        <w:tc>
          <w:tcPr>
            <w:tcW w:w="6600" w:type="dxa"/>
            <w:vAlign w:val="center"/>
          </w:tcPr>
          <w:p>
            <w:pPr>
              <w:spacing w:after="45" w:before="35"/>
            </w:pPr>
            <w:r>
              <w:rPr>
                <w:color w:val="243746"/>
                <w:sz w:val="16"/>
              </w:rPr>
              <w:t xml:space="preserve">Each component remains 25% of the combined OISI.</w:t>
            </w:r>
          </w:p>
        </w:tc>
      </w:tr>
      <w:tr>
        <w:tc>
          <w:tcPr>
            <w:tcW w:w="2400" w:type="dxa"/>
            <w:vAlign w:val="center"/>
          </w:tcPr>
          <w:p>
            <w:pPr>
              <w:spacing w:after="45" w:before="35"/>
            </w:pPr>
            <w:r>
              <w:rPr>
                <w:color w:val="243746"/>
                <w:sz w:val="16"/>
              </w:rPr>
              <w:t xml:space="preserve">Metric definitions and anchors</w:t>
            </w:r>
          </w:p>
        </w:tc>
        <w:tc>
          <w:tcPr>
            <w:tcW w:w="6600" w:type="dxa"/>
            <w:vAlign w:val="center"/>
          </w:tcPr>
          <w:p>
            <w:pPr>
              <w:spacing w:after="45" w:before="35"/>
            </w:pPr>
            <w:r>
              <w:rPr>
                <w:color w:val="243746"/>
                <w:sz w:val="16"/>
              </w:rPr>
              <w:t xml:space="preserve">Retained from the current component scoring sheets; this alternative changes metric influence, not the evidence or scoring anchors.</w:t>
            </w:r>
          </w:p>
        </w:tc>
      </w:tr>
      <w:tr>
        <w:tc>
          <w:tcPr>
            <w:tcW w:w="2400" w:type="dxa"/>
            <w:vAlign w:val="center"/>
          </w:tcPr>
          <w:p>
            <w:pPr>
              <w:spacing w:after="45" w:before="35"/>
            </w:pPr>
            <w:r>
              <w:rPr>
                <w:color w:val="243746"/>
                <w:sz w:val="16"/>
              </w:rPr>
              <w:t xml:space="preserve">Unavailable metrics</w:t>
            </w:r>
          </w:p>
        </w:tc>
        <w:tc>
          <w:tcPr>
            <w:tcW w:w="6600" w:type="dxa"/>
            <w:vAlign w:val="center"/>
          </w:tcPr>
          <w:p>
            <w:pPr>
              <w:spacing w:after="45" w:before="35"/>
            </w:pPr>
            <w:r>
              <w:rPr>
                <w:color w:val="243746"/>
                <w:sz w:val="16"/>
              </w:rPr>
              <w:t xml:space="preserve">Not silently turned into zero. They are omitted from that component mean, subject to the minimum coverage safeguards below.</w:t>
            </w:r>
          </w:p>
        </w:tc>
      </w:tr>
    </w:tbl>
    <w:p>
      <w:pPr>
        <w:pStyle w:val="Heading2"/>
      </w:pPr>
      <w:r>
        <w:t xml:space="preserve">Formula</w:t>
      </w:r>
    </w:p>
    <w:p>
      <w:pPr>
        <w:pStyle w:val="Normal"/>
      </w:pPr>
      <w:r>
        <w:t xml:space="preserve">For component j, let S_j be the set of scored and applicable metrics and x_ij their normalized 0-100 values. The equal-metric component score is C_j = sum(x_ij for i in S_j) / |S_j|. The strict combined index, when all four components qualify, is OISI = 0.25*CE + 0.25*GP + 0.25*OC + 0.25*DA.</w:t>
      </w:r>
    </w:p>
    <w:p>
      <w:pPr>
        <w:pStyle w:val="Heading2"/>
      </w:pPr>
      <w:r>
        <w:t xml:space="preserve">Why examine equal metric weights?</w:t>
      </w:r>
    </w:p>
    <w:p>
      <w:pPr>
        <w:pStyle w:val="Normal"/>
      </w:pPr>
      <w:r>
        <w:t xml:space="preserve">Equal shares provide an interpretable benchmark: no indicator receives extra influence simply because a prior design assigned it a larger percentage. This makes it easier to see how much conclusions depend on the original within-component weighting choices. It is a transparent normative scenario, not a claim that every indicator has identical construct validity, reliability, or causal importance. Composite-indicator guidance recommends making weighting and aggregation assumptions explicit and testing their influence [1]. Open-source health research also cautions against relying on a single repository signal to represent a multidimensional community [2, 3].</w:t>
      </w:r>
    </w:p>
    <w:p>
      <w:pPr>
        <w:pStyle w:val="Normal"/>
      </w:pPr>
      <w:r>
        <w:t xml:space="preserve">The four component weights are still 25% each. Equal metric weighting does not mean pooling all 38 indicators into one mean: each component is calculated first, then the four component scores are combined.</w:t>
      </w:r>
    </w:p>
    <w:p>
      <w:r>
        <w:br w:type="page"/>
      </w:r>
    </w:p>
    <w:p>
      <w:pPr>
        <w:pStyle w:val="Heading1"/>
      </w:pPr>
      <w:r>
        <w:t xml:space="preserve">1. Community Engagement</w:t>
      </w:r>
    </w:p>
    <w:p>
      <w:pPr>
        <w:pStyle w:val="Subtitle"/>
      </w:pPr>
      <w:r>
        <w:t xml:space="preserve">7 active metrics | 14.29% each when all seven are scored</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850" w:type="dxa"/>
            <w:shd w:fill="1F4E78"/>
            <w:vAlign w:val="center"/>
          </w:tcPr>
          <w:p>
            <w:pPr>
              <w:spacing w:after="45" w:before="35"/>
            </w:pPr>
            <w:r>
              <w:rPr>
                <w:b/>
                <w:color w:val="FFFFFF"/>
                <w:sz w:val="16"/>
              </w:rPr>
              <w:t xml:space="preserve">Metric</w:t>
            </w:r>
          </w:p>
        </w:tc>
        <w:tc>
          <w:tcPr>
            <w:tcW w:w="1350" w:type="dxa"/>
            <w:shd w:fill="1F4E78"/>
            <w:vAlign w:val="center"/>
          </w:tcPr>
          <w:p>
            <w:pPr>
              <w:spacing w:after="45" w:before="35"/>
            </w:pPr>
            <w:r>
              <w:rPr>
                <w:b/>
                <w:color w:val="FFFFFF"/>
                <w:sz w:val="16"/>
              </w:rPr>
              <w:t xml:space="preserve">Metric share</w:t>
            </w:r>
          </w:p>
        </w:tc>
        <w:tc>
          <w:tcPr>
            <w:tcW w:w="4800" w:type="dxa"/>
            <w:shd w:fill="1F4E78"/>
            <w:vAlign w:val="center"/>
          </w:tcPr>
          <w:p>
            <w:pPr>
              <w:spacing w:after="45" w:before="35"/>
            </w:pPr>
            <w:r>
              <w:rPr>
                <w:b/>
                <w:color w:val="FFFFFF"/>
                <w:sz w:val="16"/>
              </w:rPr>
              <w:t xml:space="preserve">Existing score meaning retained</w:t>
            </w:r>
          </w:p>
        </w:tc>
      </w:tr>
      <w:tr>
        <w:tc>
          <w:tcPr>
            <w:tcW w:w="2850" w:type="dxa"/>
            <w:vAlign w:val="center"/>
          </w:tcPr>
          <w:p>
            <w:pPr>
              <w:spacing w:after="45" w:before="35"/>
            </w:pPr>
            <w:r>
              <w:rPr>
                <w:color w:val="243746"/>
                <w:sz w:val="16"/>
              </w:rPr>
              <w:t xml:space="preserve">E1 Engagement availability</w:t>
            </w:r>
          </w:p>
        </w:tc>
        <w:tc>
          <w:tcPr>
            <w:tcW w:w="1350" w:type="dxa"/>
            <w:vAlign w:val="center"/>
          </w:tcPr>
          <w:p>
            <w:pPr>
              <w:spacing w:after="45" w:before="35"/>
            </w:pPr>
            <w:r>
              <w:rPr>
                <w:color w:val="243746"/>
                <w:sz w:val="16"/>
              </w:rPr>
              <w:t xml:space="preserve">1/7 = 14.29%</w:t>
            </w:r>
          </w:p>
        </w:tc>
        <w:tc>
          <w:tcPr>
            <w:tcW w:w="4800" w:type="dxa"/>
            <w:vAlign w:val="center"/>
          </w:tcPr>
          <w:p>
            <w:pPr>
              <w:spacing w:after="45" w:before="35"/>
            </w:pPr>
            <w:r>
              <w:rPr>
                <w:color w:val="243746"/>
                <w:sz w:val="16"/>
              </w:rPr>
              <w:t xml:space="preserve">Availability/status ladder from the current CE scoring sheet.</w:t>
            </w:r>
          </w:p>
        </w:tc>
      </w:tr>
      <w:tr>
        <w:tc>
          <w:tcPr>
            <w:tcW w:w="2850" w:type="dxa"/>
            <w:vAlign w:val="center"/>
          </w:tcPr>
          <w:p>
            <w:pPr>
              <w:spacing w:after="45" w:before="35"/>
            </w:pPr>
            <w:r>
              <w:rPr>
                <w:color w:val="243746"/>
                <w:sz w:val="16"/>
              </w:rPr>
              <w:t xml:space="preserve">E2 Engagement activity breadth</w:t>
            </w:r>
          </w:p>
        </w:tc>
        <w:tc>
          <w:tcPr>
            <w:tcW w:w="1350" w:type="dxa"/>
            <w:vAlign w:val="center"/>
          </w:tcPr>
          <w:p>
            <w:pPr>
              <w:spacing w:after="45" w:before="35"/>
            </w:pPr>
            <w:r>
              <w:rPr>
                <w:color w:val="243746"/>
                <w:sz w:val="16"/>
              </w:rPr>
              <w:t xml:space="preserve">1/7 = 14.29%</w:t>
            </w:r>
          </w:p>
        </w:tc>
        <w:tc>
          <w:tcPr>
            <w:tcW w:w="4800" w:type="dxa"/>
            <w:vAlign w:val="center"/>
          </w:tcPr>
          <w:p>
            <w:pPr>
              <w:spacing w:after="45" w:before="35"/>
            </w:pPr>
            <w:r>
              <w:rPr>
                <w:color w:val="243746"/>
                <w:sz w:val="16"/>
              </w:rPr>
              <w:t xml:space="preserve">Breadth count from fields 038 and 938, normalized and capped using the current anchor.</w:t>
            </w:r>
          </w:p>
        </w:tc>
      </w:tr>
      <w:tr>
        <w:tc>
          <w:tcPr>
            <w:tcW w:w="2850" w:type="dxa"/>
            <w:vAlign w:val="center"/>
          </w:tcPr>
          <w:p>
            <w:pPr>
              <w:spacing w:after="45" w:before="35"/>
            </w:pPr>
            <w:r>
              <w:rPr>
                <w:color w:val="243746"/>
                <w:sz w:val="16"/>
              </w:rPr>
              <w:t xml:space="preserve">E3 Engagement evidence strength</w:t>
            </w:r>
          </w:p>
        </w:tc>
        <w:tc>
          <w:tcPr>
            <w:tcW w:w="1350" w:type="dxa"/>
            <w:vAlign w:val="center"/>
          </w:tcPr>
          <w:p>
            <w:pPr>
              <w:spacing w:after="45" w:before="35"/>
            </w:pPr>
            <w:r>
              <w:rPr>
                <w:color w:val="243746"/>
                <w:sz w:val="16"/>
              </w:rPr>
              <w:t xml:space="preserve">1/7 = 14.29%</w:t>
            </w:r>
          </w:p>
        </w:tc>
        <w:tc>
          <w:tcPr>
            <w:tcW w:w="4800" w:type="dxa"/>
            <w:vAlign w:val="center"/>
          </w:tcPr>
          <w:p>
            <w:pPr>
              <w:spacing w:after="45" w:before="35"/>
            </w:pPr>
            <w:r>
              <w:rPr>
                <w:color w:val="243746"/>
                <w:sz w:val="16"/>
              </w:rPr>
              <w:t xml:space="preserve">Evidence strength from fields 116 and 938 using the current URL/description rule.</w:t>
            </w:r>
          </w:p>
        </w:tc>
      </w:tr>
      <w:tr>
        <w:tc>
          <w:tcPr>
            <w:tcW w:w="2850" w:type="dxa"/>
            <w:vAlign w:val="center"/>
          </w:tcPr>
          <w:p>
            <w:pPr>
              <w:spacing w:after="45" w:before="35"/>
            </w:pPr>
            <w:r>
              <w:rPr>
                <w:color w:val="243746"/>
                <w:sz w:val="16"/>
              </w:rPr>
              <w:t xml:space="preserve">C1 Contribution opportunity breadth</w:t>
            </w:r>
          </w:p>
        </w:tc>
        <w:tc>
          <w:tcPr>
            <w:tcW w:w="1350" w:type="dxa"/>
            <w:vAlign w:val="center"/>
          </w:tcPr>
          <w:p>
            <w:pPr>
              <w:spacing w:after="45" w:before="35"/>
            </w:pPr>
            <w:r>
              <w:rPr>
                <w:color w:val="243746"/>
                <w:sz w:val="16"/>
              </w:rPr>
              <w:t xml:space="preserve">1/7 = 14.29%</w:t>
            </w:r>
          </w:p>
        </w:tc>
        <w:tc>
          <w:tcPr>
            <w:tcW w:w="4800" w:type="dxa"/>
            <w:vAlign w:val="center"/>
          </w:tcPr>
          <w:p>
            <w:pPr>
              <w:spacing w:after="45" w:before="35"/>
            </w:pPr>
            <w:r>
              <w:rPr>
                <w:color w:val="243746"/>
                <w:sz w:val="16"/>
              </w:rPr>
              <w:t xml:space="preserve">Breadth count from fields 040 and 940, normalized and capped using the current anchor.</w:t>
            </w:r>
          </w:p>
        </w:tc>
      </w:tr>
      <w:tr>
        <w:tc>
          <w:tcPr>
            <w:tcW w:w="2850" w:type="dxa"/>
            <w:vAlign w:val="center"/>
          </w:tcPr>
          <w:p>
            <w:pPr>
              <w:spacing w:after="45" w:before="35"/>
            </w:pPr>
            <w:r>
              <w:rPr>
                <w:color w:val="243746"/>
                <w:sz w:val="16"/>
              </w:rPr>
              <w:t xml:space="preserve">C2 Contribution guidance</w:t>
            </w:r>
          </w:p>
        </w:tc>
        <w:tc>
          <w:tcPr>
            <w:tcW w:w="1350" w:type="dxa"/>
            <w:vAlign w:val="center"/>
          </w:tcPr>
          <w:p>
            <w:pPr>
              <w:spacing w:after="45" w:before="35"/>
            </w:pPr>
            <w:r>
              <w:rPr>
                <w:color w:val="243746"/>
                <w:sz w:val="16"/>
              </w:rPr>
              <w:t xml:space="preserve">1/7 = 14.29%</w:t>
            </w:r>
          </w:p>
        </w:tc>
        <w:tc>
          <w:tcPr>
            <w:tcW w:w="4800" w:type="dxa"/>
            <w:vAlign w:val="center"/>
          </w:tcPr>
          <w:p>
            <w:pPr>
              <w:spacing w:after="45" w:before="35"/>
            </w:pPr>
            <w:r>
              <w:rPr>
                <w:color w:val="243746"/>
                <w:sz w:val="16"/>
              </w:rPr>
              <w:t xml:space="preserve">Contribution guidance score from field 041.</w:t>
            </w:r>
          </w:p>
        </w:tc>
      </w:tr>
      <w:tr>
        <w:tc>
          <w:tcPr>
            <w:tcW w:w="2850" w:type="dxa"/>
            <w:vAlign w:val="center"/>
          </w:tcPr>
          <w:p>
            <w:pPr>
              <w:spacing w:after="45" w:before="35"/>
            </w:pPr>
            <w:r>
              <w:rPr>
                <w:color w:val="243746"/>
                <w:sz w:val="16"/>
              </w:rPr>
              <w:t xml:space="preserve">C3 Open contribution infrastructure</w:t>
            </w:r>
          </w:p>
        </w:tc>
        <w:tc>
          <w:tcPr>
            <w:tcW w:w="1350" w:type="dxa"/>
            <w:vAlign w:val="center"/>
          </w:tcPr>
          <w:p>
            <w:pPr>
              <w:spacing w:after="45" w:before="35"/>
            </w:pPr>
            <w:r>
              <w:rPr>
                <w:color w:val="243746"/>
                <w:sz w:val="16"/>
              </w:rPr>
              <w:t xml:space="preserve">1/7 = 14.29%</w:t>
            </w:r>
          </w:p>
        </w:tc>
        <w:tc>
          <w:tcPr>
            <w:tcW w:w="4800" w:type="dxa"/>
            <w:vAlign w:val="center"/>
          </w:tcPr>
          <w:p>
            <w:pPr>
              <w:spacing w:after="45" w:before="35"/>
            </w:pPr>
            <w:r>
              <w:rPr>
                <w:color w:val="243746"/>
                <w:sz w:val="16"/>
              </w:rPr>
              <w:t xml:space="preserve">Public forge/repository accessibility score from field 019.</w:t>
            </w:r>
          </w:p>
        </w:tc>
      </w:tr>
      <w:tr>
        <w:tc>
          <w:tcPr>
            <w:tcW w:w="2850" w:type="dxa"/>
            <w:vAlign w:val="center"/>
          </w:tcPr>
          <w:p>
            <w:pPr>
              <w:spacing w:after="45" w:before="35"/>
            </w:pPr>
            <w:r>
              <w:rPr>
                <w:color w:val="243746"/>
                <w:sz w:val="16"/>
              </w:rPr>
              <w:t xml:space="preserve">N1 Community norms / Code of Conduct</w:t>
            </w:r>
          </w:p>
        </w:tc>
        <w:tc>
          <w:tcPr>
            <w:tcW w:w="1350" w:type="dxa"/>
            <w:vAlign w:val="center"/>
          </w:tcPr>
          <w:p>
            <w:pPr>
              <w:spacing w:after="45" w:before="35"/>
            </w:pPr>
            <w:r>
              <w:rPr>
                <w:color w:val="243746"/>
                <w:sz w:val="16"/>
              </w:rPr>
              <w:t xml:space="preserve">1/7 = 14.29%</w:t>
            </w:r>
          </w:p>
        </w:tc>
        <w:tc>
          <w:tcPr>
            <w:tcW w:w="4800" w:type="dxa"/>
            <w:vAlign w:val="center"/>
          </w:tcPr>
          <w:p>
            <w:pPr>
              <w:spacing w:after="45" w:before="35"/>
            </w:pPr>
            <w:r>
              <w:rPr>
                <w:color w:val="243746"/>
                <w:sz w:val="16"/>
              </w:rPr>
              <w:t xml:space="preserve">Status and evidence rule from fields 042-043; existing implemented-without-URL adjustment is retained.</w:t>
            </w:r>
          </w:p>
        </w:tc>
      </w:tr>
    </w:tbl>
    <w:p>
      <w:pPr>
        <w:pStyle w:val="Heading2"/>
      </w:pPr>
      <w:r>
        <w:t xml:space="preserve">Implied group influence</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300" w:type="dxa"/>
            <w:shd w:fill="1F4E78"/>
            <w:vAlign w:val="center"/>
          </w:tcPr>
          <w:p>
            <w:pPr>
              <w:spacing w:after="45" w:before="35"/>
            </w:pPr>
            <w:r>
              <w:rPr>
                <w:b/>
                <w:color w:val="FFFFFF"/>
                <w:sz w:val="16"/>
              </w:rPr>
              <w:t xml:space="preserve">Group</w:t>
            </w:r>
          </w:p>
        </w:tc>
        <w:tc>
          <w:tcPr>
            <w:tcW w:w="1800" w:type="dxa"/>
            <w:shd w:fill="1F4E78"/>
            <w:vAlign w:val="center"/>
          </w:tcPr>
          <w:p>
            <w:pPr>
              <w:spacing w:after="45" w:before="35"/>
            </w:pPr>
            <w:r>
              <w:rPr>
                <w:b/>
                <w:color w:val="FFFFFF"/>
                <w:sz w:val="16"/>
              </w:rPr>
              <w:t xml:space="preserve">Metrics</w:t>
            </w:r>
          </w:p>
        </w:tc>
        <w:tc>
          <w:tcPr>
            <w:tcW w:w="4900" w:type="dxa"/>
            <w:shd w:fill="1F4E78"/>
            <w:vAlign w:val="center"/>
          </w:tcPr>
          <w:p>
            <w:pPr>
              <w:spacing w:after="45" w:before="35"/>
            </w:pPr>
            <w:r>
              <w:rPr>
                <w:b/>
                <w:color w:val="FFFFFF"/>
                <w:sz w:val="16"/>
              </w:rPr>
              <w:t xml:space="preserve">Equal-metric share</w:t>
            </w:r>
          </w:p>
        </w:tc>
      </w:tr>
      <w:tr>
        <w:tc>
          <w:tcPr>
            <w:tcW w:w="2300" w:type="dxa"/>
            <w:vAlign w:val="center"/>
          </w:tcPr>
          <w:p>
            <w:pPr>
              <w:spacing w:after="45" w:before="35"/>
            </w:pPr>
            <w:r>
              <w:rPr>
                <w:color w:val="243746"/>
                <w:sz w:val="16"/>
              </w:rPr>
              <w:t xml:space="preserve">Engagement</w:t>
            </w:r>
          </w:p>
        </w:tc>
        <w:tc>
          <w:tcPr>
            <w:tcW w:w="1800" w:type="dxa"/>
            <w:vAlign w:val="center"/>
          </w:tcPr>
          <w:p>
            <w:pPr>
              <w:spacing w:after="45" w:before="35"/>
            </w:pPr>
            <w:r>
              <w:rPr>
                <w:color w:val="243746"/>
                <w:sz w:val="16"/>
              </w:rPr>
              <w:t xml:space="preserve">E1-E3</w:t>
            </w:r>
          </w:p>
        </w:tc>
        <w:tc>
          <w:tcPr>
            <w:tcW w:w="4900" w:type="dxa"/>
            <w:vAlign w:val="center"/>
          </w:tcPr>
          <w:p>
            <w:pPr>
              <w:spacing w:after="45" w:before="35"/>
            </w:pPr>
            <w:r>
              <w:rPr>
                <w:color w:val="243746"/>
                <w:sz w:val="16"/>
              </w:rPr>
              <w:t xml:space="preserve">3/7 = 42.86%</w:t>
            </w:r>
          </w:p>
        </w:tc>
      </w:tr>
      <w:tr>
        <w:tc>
          <w:tcPr>
            <w:tcW w:w="2300" w:type="dxa"/>
            <w:vAlign w:val="center"/>
          </w:tcPr>
          <w:p>
            <w:pPr>
              <w:spacing w:after="45" w:before="35"/>
            </w:pPr>
            <w:r>
              <w:rPr>
                <w:color w:val="243746"/>
                <w:sz w:val="16"/>
              </w:rPr>
              <w:t xml:space="preserve">Contribution</w:t>
            </w:r>
          </w:p>
        </w:tc>
        <w:tc>
          <w:tcPr>
            <w:tcW w:w="1800" w:type="dxa"/>
            <w:vAlign w:val="center"/>
          </w:tcPr>
          <w:p>
            <w:pPr>
              <w:spacing w:after="45" w:before="35"/>
            </w:pPr>
            <w:r>
              <w:rPr>
                <w:color w:val="243746"/>
                <w:sz w:val="16"/>
              </w:rPr>
              <w:t xml:space="preserve">C1-C3</w:t>
            </w:r>
          </w:p>
        </w:tc>
        <w:tc>
          <w:tcPr>
            <w:tcW w:w="4900" w:type="dxa"/>
            <w:vAlign w:val="center"/>
          </w:tcPr>
          <w:p>
            <w:pPr>
              <w:spacing w:after="45" w:before="35"/>
            </w:pPr>
            <w:r>
              <w:rPr>
                <w:color w:val="243746"/>
                <w:sz w:val="16"/>
              </w:rPr>
              <w:t xml:space="preserve">3/7 = 42.86%</w:t>
            </w:r>
          </w:p>
        </w:tc>
      </w:tr>
      <w:tr>
        <w:tc>
          <w:tcPr>
            <w:tcW w:w="2300" w:type="dxa"/>
            <w:vAlign w:val="center"/>
          </w:tcPr>
          <w:p>
            <w:pPr>
              <w:spacing w:after="45" w:before="35"/>
            </w:pPr>
            <w:r>
              <w:rPr>
                <w:color w:val="243746"/>
                <w:sz w:val="16"/>
              </w:rPr>
              <w:t xml:space="preserve">Norms</w:t>
            </w:r>
          </w:p>
        </w:tc>
        <w:tc>
          <w:tcPr>
            <w:tcW w:w="1800" w:type="dxa"/>
            <w:vAlign w:val="center"/>
          </w:tcPr>
          <w:p>
            <w:pPr>
              <w:spacing w:after="45" w:before="35"/>
            </w:pPr>
            <w:r>
              <w:rPr>
                <w:color w:val="243746"/>
                <w:sz w:val="16"/>
              </w:rPr>
              <w:t xml:space="preserve">N1</w:t>
            </w:r>
          </w:p>
        </w:tc>
        <w:tc>
          <w:tcPr>
            <w:tcW w:w="4900" w:type="dxa"/>
            <w:vAlign w:val="center"/>
          </w:tcPr>
          <w:p>
            <w:pPr>
              <w:spacing w:after="45" w:before="35"/>
            </w:pPr>
            <w:r>
              <w:rPr>
                <w:color w:val="243746"/>
                <w:sz w:val="16"/>
              </w:rPr>
              <w:t xml:space="preserve">1/7 = 14.29%</w:t>
            </w:r>
          </w:p>
        </w:tc>
      </w:tr>
    </w:tbl>
    <w:p>
      <w:pPr>
        <w:pStyle w:val="Heading2"/>
      </w:pPr>
      <w:r>
        <w:t xml:space="preserve">Eligibility and missingness</w:t>
      </w:r>
    </w:p>
    <w:p>
      <w:pPr>
        <w:pStyle w:val="Normal"/>
      </w:pPr>
      <w:r>
        <w:t xml:space="preserve">A component score requires at least 5 of 7 metrics (the threshold is at least 60%) and at least one observed metric in each of Engagement, Contribution, and Norms. At least 6 of 7 metrics (85%) is labelled Reportable; otherwise an eligible score is Provisional. Blank, unknown, or not-applicable values are excluded rather than assumed to be zero. Field 039 is descriptive/flag-only and is not one of the seven scored metrics. Governance field 048 is not part of this component.</w:t>
      </w:r>
    </w:p>
    <w:p>
      <w:pPr>
        <w:pStyle w:val="Heading2"/>
      </w:pPr>
      <w:r>
        <w:t xml:space="preserve">Interpretation</w:t>
      </w:r>
    </w:p>
    <w:p>
      <w:pPr>
        <w:pStyle w:val="Normal"/>
      </w:pPr>
      <w:r>
        <w:t xml:space="preserve">Under equal weighting, the two three-metric groups each account for 42.86% of a fully observed CE score, while the single norms metric accounts for 14.29%. This is a consequence of equal metric shares, not an additional decision to weight groups equally.</w:t>
      </w:r>
    </w:p>
    <w:p>
      <w:r>
        <w:br w:type="page"/>
      </w:r>
    </w:p>
    <w:p>
      <w:pPr>
        <w:pStyle w:val="Heading1"/>
      </w:pPr>
      <w:r>
        <w:t xml:space="preserve">2. Governance Practices</w:t>
      </w:r>
    </w:p>
    <w:p>
      <w:pPr>
        <w:pStyle w:val="Subtitle"/>
      </w:pPr>
      <w:r>
        <w:t xml:space="preserve">10 active score indicators | 10% each | board-level field excluded</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600" w:type="dxa"/>
            <w:shd w:fill="1F4E78"/>
            <w:vAlign w:val="center"/>
          </w:tcPr>
          <w:p>
            <w:pPr>
              <w:spacing w:after="45" w:before="35"/>
            </w:pPr>
            <w:r>
              <w:rPr>
                <w:b/>
                <w:color w:val="FFFFFF"/>
                <w:sz w:val="16"/>
              </w:rPr>
              <w:t xml:space="preserve">Active indicator</w:t>
            </w:r>
          </w:p>
        </w:tc>
        <w:tc>
          <w:tcPr>
            <w:tcW w:w="1100" w:type="dxa"/>
            <w:shd w:fill="1F4E78"/>
            <w:vAlign w:val="center"/>
          </w:tcPr>
          <w:p>
            <w:pPr>
              <w:spacing w:after="45" w:before="35"/>
            </w:pPr>
            <w:r>
              <w:rPr>
                <w:b/>
                <w:color w:val="FFFFFF"/>
                <w:sz w:val="16"/>
              </w:rPr>
              <w:t xml:space="preserve">Metric share</w:t>
            </w:r>
          </w:p>
        </w:tc>
        <w:tc>
          <w:tcPr>
            <w:tcW w:w="5250" w:type="dxa"/>
            <w:shd w:fill="1F4E78"/>
            <w:vAlign w:val="center"/>
          </w:tcPr>
          <w:p>
            <w:pPr>
              <w:spacing w:after="45" w:before="35"/>
            </w:pPr>
            <w:r>
              <w:rPr>
                <w:b/>
                <w:color w:val="FFFFFF"/>
                <w:sz w:val="16"/>
              </w:rPr>
              <w:t xml:space="preserve">Scoring content retained</w:t>
            </w:r>
          </w:p>
        </w:tc>
      </w:tr>
      <w:tr>
        <w:tc>
          <w:tcPr>
            <w:tcW w:w="2600" w:type="dxa"/>
            <w:vAlign w:val="center"/>
          </w:tcPr>
          <w:p>
            <w:pPr>
              <w:spacing w:after="45" w:before="35"/>
            </w:pPr>
            <w:r>
              <w:rPr>
                <w:color w:val="243746"/>
                <w:sz w:val="16"/>
              </w:rPr>
              <w:t xml:space="preserve">s024 Governance structure</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Current status score for a documented governance structure.</w:t>
            </w:r>
          </w:p>
        </w:tc>
      </w:tr>
      <w:tr>
        <w:tc>
          <w:tcPr>
            <w:tcW w:w="2600" w:type="dxa"/>
            <w:vAlign w:val="center"/>
          </w:tcPr>
          <w:p>
            <w:pPr>
              <w:spacing w:after="45" w:before="35"/>
            </w:pPr>
            <w:r>
              <w:rPr>
                <w:color w:val="243746"/>
                <w:sz w:val="16"/>
              </w:rPr>
              <w:t xml:space="preserve">s026 Governance records</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Current status score for public governance/decision records.</w:t>
            </w:r>
          </w:p>
        </w:tc>
      </w:tr>
      <w:tr>
        <w:tc>
          <w:tcPr>
            <w:tcW w:w="2600" w:type="dxa"/>
            <w:vAlign w:val="center"/>
          </w:tcPr>
          <w:p>
            <w:pPr>
              <w:spacing w:after="45" w:before="35"/>
            </w:pPr>
            <w:r>
              <w:rPr>
                <w:color w:val="243746"/>
                <w:sz w:val="16"/>
              </w:rPr>
              <w:t xml:space="preserve">s108 Bylaws</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Current score for bylaws; unknown remains missing.</w:t>
            </w:r>
          </w:p>
        </w:tc>
      </w:tr>
      <w:tr>
        <w:tc>
          <w:tcPr>
            <w:tcW w:w="2600" w:type="dxa"/>
            <w:vAlign w:val="center"/>
          </w:tcPr>
          <w:p>
            <w:pPr>
              <w:spacing w:after="45" w:before="35"/>
            </w:pPr>
            <w:r>
              <w:rPr>
                <w:color w:val="243746"/>
                <w:sz w:val="16"/>
              </w:rPr>
              <w:t xml:space="preserve">s050 Board structure</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Presence score as coded in the source workbook.</w:t>
            </w:r>
          </w:p>
        </w:tc>
      </w:tr>
      <w:tr>
        <w:tc>
          <w:tcPr>
            <w:tcW w:w="2600" w:type="dxa"/>
            <w:vAlign w:val="center"/>
          </w:tcPr>
          <w:p>
            <w:pPr>
              <w:spacing w:after="45" w:before="35"/>
            </w:pPr>
            <w:r>
              <w:rPr>
                <w:color w:val="243746"/>
                <w:sz w:val="16"/>
              </w:rPr>
              <w:t xml:space="preserve">s048 Community governance</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Formal = 1; Ad hoc = 0.5; None = 0. Existing blank-as-zero coding retained.</w:t>
            </w:r>
          </w:p>
        </w:tc>
      </w:tr>
      <w:tr>
        <w:tc>
          <w:tcPr>
            <w:tcW w:w="2600" w:type="dxa"/>
            <w:vAlign w:val="center"/>
          </w:tcPr>
          <w:p>
            <w:pPr>
              <w:spacing w:after="45" w:before="35"/>
            </w:pPr>
            <w:r>
              <w:rPr>
                <w:color w:val="243746"/>
                <w:sz w:val="16"/>
              </w:rPr>
              <w:t xml:space="preserve">s029 Web accessibility</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Current status score for accessibility.</w:t>
            </w:r>
          </w:p>
        </w:tc>
      </w:tr>
      <w:tr>
        <w:tc>
          <w:tcPr>
            <w:tcW w:w="2600" w:type="dxa"/>
            <w:vAlign w:val="center"/>
          </w:tcPr>
          <w:p>
            <w:pPr>
              <w:spacing w:after="45" w:before="35"/>
            </w:pPr>
            <w:r>
              <w:rPr>
                <w:color w:val="243746"/>
                <w:sz w:val="16"/>
              </w:rPr>
              <w:t xml:space="preserve">s033 Transparent pricing</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Current transparent-pricing rule, including the existing no-direct-costs mapping.</w:t>
            </w:r>
          </w:p>
        </w:tc>
      </w:tr>
      <w:tr>
        <w:tc>
          <w:tcPr>
            <w:tcW w:w="2600" w:type="dxa"/>
            <w:vAlign w:val="center"/>
          </w:tcPr>
          <w:p>
            <w:pPr>
              <w:spacing w:after="45" w:before="35"/>
            </w:pPr>
            <w:r>
              <w:rPr>
                <w:color w:val="243746"/>
                <w:sz w:val="16"/>
              </w:rPr>
              <w:t xml:space="preserve">s035 Equity commitment</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Current status score for an equity commitment.</w:t>
            </w:r>
          </w:p>
        </w:tc>
      </w:tr>
      <w:tr>
        <w:tc>
          <w:tcPr>
            <w:tcW w:w="2600" w:type="dxa"/>
            <w:vAlign w:val="center"/>
          </w:tcPr>
          <w:p>
            <w:pPr>
              <w:spacing w:after="45" w:before="35"/>
            </w:pPr>
            <w:r>
              <w:rPr>
                <w:color w:val="243746"/>
                <w:sz w:val="16"/>
              </w:rPr>
              <w:t xml:space="preserve">s044 Privacy commitment</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Current status score for a privacy commitment.</w:t>
            </w:r>
          </w:p>
        </w:tc>
      </w:tr>
      <w:tr>
        <w:tc>
          <w:tcPr>
            <w:tcW w:w="2600" w:type="dxa"/>
            <w:vAlign w:val="center"/>
          </w:tcPr>
          <w:p>
            <w:pPr>
              <w:spacing w:after="45" w:before="35"/>
            </w:pPr>
            <w:r>
              <w:rPr>
                <w:color w:val="243746"/>
                <w:sz w:val="16"/>
              </w:rPr>
              <w:t xml:space="preserve">s046 Values frameworks</w:t>
            </w:r>
          </w:p>
        </w:tc>
        <w:tc>
          <w:tcPr>
            <w:tcW w:w="1100" w:type="dxa"/>
            <w:vAlign w:val="center"/>
          </w:tcPr>
          <w:p>
            <w:pPr>
              <w:spacing w:after="45" w:before="35"/>
            </w:pPr>
            <w:r>
              <w:rPr>
                <w:color w:val="243746"/>
                <w:sz w:val="16"/>
              </w:rPr>
              <w:t xml:space="preserve">10%</w:t>
            </w:r>
          </w:p>
        </w:tc>
        <w:tc>
          <w:tcPr>
            <w:tcW w:w="5250" w:type="dxa"/>
            <w:vAlign w:val="center"/>
          </w:tcPr>
          <w:p>
            <w:pPr>
              <w:spacing w:after="45" w:before="35"/>
            </w:pPr>
            <w:r>
              <w:rPr>
                <w:color w:val="243746"/>
                <w:sz w:val="16"/>
              </w:rPr>
              <w:t xml:space="preserve">Presence score as coded in the source workbook; blank-as-zero retained.</w:t>
            </w:r>
          </w:p>
        </w:tc>
      </w:tr>
    </w:tbl>
    <w:p>
      <w:pPr>
        <w:pStyle w:val="Heading2"/>
      </w:pPr>
      <w:r>
        <w:t xml:space="preserve">Implied group influence</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300" w:type="dxa"/>
            <w:shd w:fill="1F4E78"/>
            <w:vAlign w:val="center"/>
          </w:tcPr>
          <w:p>
            <w:pPr>
              <w:spacing w:after="45" w:before="35"/>
            </w:pPr>
            <w:r>
              <w:rPr>
                <w:b/>
                <w:color w:val="FFFFFF"/>
                <w:sz w:val="16"/>
              </w:rPr>
              <w:t xml:space="preserve">Group</w:t>
            </w:r>
          </w:p>
        </w:tc>
        <w:tc>
          <w:tcPr>
            <w:tcW w:w="3500" w:type="dxa"/>
            <w:shd w:fill="1F4E78"/>
            <w:vAlign w:val="center"/>
          </w:tcPr>
          <w:p>
            <w:pPr>
              <w:spacing w:after="45" w:before="35"/>
            </w:pPr>
            <w:r>
              <w:rPr>
                <w:b/>
                <w:color w:val="FFFFFF"/>
                <w:sz w:val="16"/>
              </w:rPr>
              <w:t xml:space="preserve">Indicators</w:t>
            </w:r>
          </w:p>
        </w:tc>
        <w:tc>
          <w:tcPr>
            <w:tcW w:w="3200" w:type="dxa"/>
            <w:shd w:fill="1F4E78"/>
            <w:vAlign w:val="center"/>
          </w:tcPr>
          <w:p>
            <w:pPr>
              <w:spacing w:after="45" w:before="35"/>
            </w:pPr>
            <w:r>
              <w:rPr>
                <w:b/>
                <w:color w:val="FFFFFF"/>
                <w:sz w:val="16"/>
              </w:rPr>
              <w:t xml:space="preserve">Equal-metric share</w:t>
            </w:r>
          </w:p>
        </w:tc>
      </w:tr>
      <w:tr>
        <w:tc>
          <w:tcPr>
            <w:tcW w:w="2300" w:type="dxa"/>
            <w:vAlign w:val="center"/>
          </w:tcPr>
          <w:p>
            <w:pPr>
              <w:spacing w:after="45" w:before="35"/>
            </w:pPr>
            <w:r>
              <w:rPr>
                <w:color w:val="243746"/>
                <w:sz w:val="16"/>
              </w:rPr>
              <w:t xml:space="preserve">Formal</w:t>
            </w:r>
          </w:p>
        </w:tc>
        <w:tc>
          <w:tcPr>
            <w:tcW w:w="3500" w:type="dxa"/>
            <w:vAlign w:val="center"/>
          </w:tcPr>
          <w:p>
            <w:pPr>
              <w:spacing w:after="45" w:before="35"/>
            </w:pPr>
            <w:r>
              <w:rPr>
                <w:color w:val="243746"/>
                <w:sz w:val="16"/>
              </w:rPr>
              <w:t xml:space="preserve">s024, s026, s108, s050</w:t>
            </w:r>
          </w:p>
        </w:tc>
        <w:tc>
          <w:tcPr>
            <w:tcW w:w="3200" w:type="dxa"/>
            <w:vAlign w:val="center"/>
          </w:tcPr>
          <w:p>
            <w:pPr>
              <w:spacing w:after="45" w:before="35"/>
            </w:pPr>
            <w:r>
              <w:rPr>
                <w:color w:val="243746"/>
                <w:sz w:val="16"/>
              </w:rPr>
              <w:t xml:space="preserve">4/10 = 40%</w:t>
            </w:r>
          </w:p>
        </w:tc>
      </w:tr>
      <w:tr>
        <w:tc>
          <w:tcPr>
            <w:tcW w:w="2300" w:type="dxa"/>
            <w:vAlign w:val="center"/>
          </w:tcPr>
          <w:p>
            <w:pPr>
              <w:spacing w:after="45" w:before="35"/>
            </w:pPr>
            <w:r>
              <w:rPr>
                <w:color w:val="243746"/>
                <w:sz w:val="16"/>
              </w:rPr>
              <w:t xml:space="preserve">Participatory</w:t>
            </w:r>
          </w:p>
        </w:tc>
        <w:tc>
          <w:tcPr>
            <w:tcW w:w="3500" w:type="dxa"/>
            <w:vAlign w:val="center"/>
          </w:tcPr>
          <w:p>
            <w:pPr>
              <w:spacing w:after="45" w:before="35"/>
            </w:pPr>
            <w:r>
              <w:rPr>
                <w:color w:val="243746"/>
                <w:sz w:val="16"/>
              </w:rPr>
              <w:t xml:space="preserve">s048</w:t>
            </w:r>
          </w:p>
        </w:tc>
        <w:tc>
          <w:tcPr>
            <w:tcW w:w="3200" w:type="dxa"/>
            <w:vAlign w:val="center"/>
          </w:tcPr>
          <w:p>
            <w:pPr>
              <w:spacing w:after="45" w:before="35"/>
            </w:pPr>
            <w:r>
              <w:rPr>
                <w:color w:val="243746"/>
                <w:sz w:val="16"/>
              </w:rPr>
              <w:t xml:space="preserve">1/10 = 10%</w:t>
            </w:r>
          </w:p>
        </w:tc>
      </w:tr>
      <w:tr>
        <w:tc>
          <w:tcPr>
            <w:tcW w:w="2300" w:type="dxa"/>
            <w:vAlign w:val="center"/>
          </w:tcPr>
          <w:p>
            <w:pPr>
              <w:spacing w:after="45" w:before="35"/>
            </w:pPr>
            <w:r>
              <w:rPr>
                <w:color w:val="243746"/>
                <w:sz w:val="16"/>
              </w:rPr>
              <w:t xml:space="preserve">Transparency</w:t>
            </w:r>
          </w:p>
        </w:tc>
        <w:tc>
          <w:tcPr>
            <w:tcW w:w="3500" w:type="dxa"/>
            <w:vAlign w:val="center"/>
          </w:tcPr>
          <w:p>
            <w:pPr>
              <w:spacing w:after="45" w:before="35"/>
            </w:pPr>
            <w:r>
              <w:rPr>
                <w:color w:val="243746"/>
                <w:sz w:val="16"/>
              </w:rPr>
              <w:t xml:space="preserve">s029, s033, s035, s044, s046</w:t>
            </w:r>
          </w:p>
        </w:tc>
        <w:tc>
          <w:tcPr>
            <w:tcW w:w="3200" w:type="dxa"/>
            <w:vAlign w:val="center"/>
          </w:tcPr>
          <w:p>
            <w:pPr>
              <w:spacing w:after="45" w:before="35"/>
            </w:pPr>
            <w:r>
              <w:rPr>
                <w:color w:val="243746"/>
                <w:sz w:val="16"/>
              </w:rPr>
              <w:t xml:space="preserve">5/10 = 50%</w:t>
            </w:r>
          </w:p>
        </w:tc>
      </w:tr>
    </w:tbl>
    <w:p>
      <w:pPr>
        <w:pStyle w:val="Heading2"/>
      </w:pPr>
      <w:r>
        <w:t xml:space="preserve">Eligibility, coding caveat, and exclusions</w:t>
      </w:r>
    </w:p>
    <w:p>
      <w:pPr>
        <w:pStyle w:val="Normal"/>
      </w:pPr>
      <w:r>
        <w:t xml:space="preserve">At least 7 of 10 active indicators (70%) must be scored, with at least one Formal and one Transparency indicator represented. Unknown status values remain missing. Existing source coding treats blank s048, s050, and s046 values as zero; this equal-metric comparison preserves that choice so the method comparison changes weighting rather than recoding evidence. A blank coded zero is an assumption and should not be described as a verified absence.</w:t>
      </w:r>
    </w:p>
    <w:p>
      <w:pPr>
        <w:pStyle w:val="Normal"/>
      </w:pPr>
      <w:r>
        <w:t xml:space="preserve">The 100_board_level field is descriptive and excluded from the ten scored indicators because its coverage is too sparse for stable comparison. No Governance parameter is added or removed by the equal-metric method; 048 remains a Governance metric, not a Community Engagement metric.</w:t>
      </w:r>
    </w:p>
    <w:p>
      <w:r>
        <w:br w:type="page"/>
      </w:r>
    </w:p>
    <w:p>
      <w:pPr>
        <w:pStyle w:val="Heading1"/>
      </w:pPr>
      <w:r>
        <w:t xml:space="preserve">3. Organizational Capacity</w:t>
      </w:r>
    </w:p>
    <w:p>
      <w:pPr>
        <w:pStyle w:val="Subtitle"/>
      </w:pPr>
      <w:r>
        <w:t xml:space="preserve">8 candidate metrics | 12.5% each when all eight apply</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3000" w:type="dxa"/>
            <w:shd w:fill="1F4E78"/>
            <w:vAlign w:val="center"/>
          </w:tcPr>
          <w:p>
            <w:pPr>
              <w:spacing w:after="45" w:before="35"/>
            </w:pPr>
            <w:r>
              <w:rPr>
                <w:b/>
                <w:color w:val="FFFFFF"/>
                <w:sz w:val="16"/>
              </w:rPr>
              <w:t xml:space="preserve">Metric</w:t>
            </w:r>
          </w:p>
        </w:tc>
        <w:tc>
          <w:tcPr>
            <w:tcW w:w="1350" w:type="dxa"/>
            <w:shd w:fill="1F4E78"/>
            <w:vAlign w:val="center"/>
          </w:tcPr>
          <w:p>
            <w:pPr>
              <w:spacing w:after="45" w:before="35"/>
            </w:pPr>
            <w:r>
              <w:rPr>
                <w:b/>
                <w:color w:val="FFFFFF"/>
                <w:sz w:val="16"/>
              </w:rPr>
              <w:t xml:space="preserve">Metric share</w:t>
            </w:r>
          </w:p>
        </w:tc>
        <w:tc>
          <w:tcPr>
            <w:tcW w:w="4600" w:type="dxa"/>
            <w:shd w:fill="1F4E78"/>
            <w:vAlign w:val="center"/>
          </w:tcPr>
          <w:p>
            <w:pPr>
              <w:spacing w:after="45" w:before="35"/>
            </w:pPr>
            <w:r>
              <w:rPr>
                <w:b/>
                <w:color w:val="FFFFFF"/>
                <w:sz w:val="16"/>
              </w:rPr>
              <w:t xml:space="preserve">Scoring meaning retained</w:t>
            </w:r>
          </w:p>
        </w:tc>
      </w:tr>
      <w:tr>
        <w:tc>
          <w:tcPr>
            <w:tcW w:w="3000" w:type="dxa"/>
            <w:vAlign w:val="center"/>
          </w:tcPr>
          <w:p>
            <w:pPr>
              <w:spacing w:after="45" w:before="35"/>
            </w:pPr>
            <w:r>
              <w:rPr>
                <w:color w:val="243746"/>
                <w:sz w:val="16"/>
              </w:rPr>
              <w:t xml:space="preserve">M1 Technology readiness</w:t>
            </w:r>
          </w:p>
        </w:tc>
        <w:tc>
          <w:tcPr>
            <w:tcW w:w="1350" w:type="dxa"/>
            <w:vAlign w:val="center"/>
          </w:tcPr>
          <w:p>
            <w:pPr>
              <w:spacing w:after="45" w:before="35"/>
            </w:pPr>
            <w:r>
              <w:rPr>
                <w:color w:val="243746"/>
                <w:sz w:val="16"/>
              </w:rPr>
              <w:t xml:space="preserve">1/8 = 12.5%</w:t>
            </w:r>
          </w:p>
        </w:tc>
        <w:tc>
          <w:tcPr>
            <w:tcW w:w="4600" w:type="dxa"/>
            <w:vAlign w:val="center"/>
          </w:tcPr>
          <w:p>
            <w:pPr>
              <w:spacing w:after="45" w:before="35"/>
            </w:pPr>
            <w:r>
              <w:rPr>
                <w:color w:val="243746"/>
                <w:sz w:val="16"/>
              </w:rPr>
              <w:t xml:space="preserve">Readiness levels from field 079.</w:t>
            </w:r>
          </w:p>
        </w:tc>
      </w:tr>
      <w:tr>
        <w:tc>
          <w:tcPr>
            <w:tcW w:w="3000" w:type="dxa"/>
            <w:vAlign w:val="center"/>
          </w:tcPr>
          <w:p>
            <w:pPr>
              <w:spacing w:after="45" w:before="35"/>
            </w:pPr>
            <w:r>
              <w:rPr>
                <w:color w:val="243746"/>
                <w:sz w:val="16"/>
              </w:rPr>
              <w:t xml:space="preserve">M2 Maintenance status</w:t>
            </w:r>
          </w:p>
        </w:tc>
        <w:tc>
          <w:tcPr>
            <w:tcW w:w="1350" w:type="dxa"/>
            <w:vAlign w:val="center"/>
          </w:tcPr>
          <w:p>
            <w:pPr>
              <w:spacing w:after="45" w:before="35"/>
            </w:pPr>
            <w:r>
              <w:rPr>
                <w:color w:val="243746"/>
                <w:sz w:val="16"/>
              </w:rPr>
              <w:t xml:space="preserve">1/8 = 12.5%</w:t>
            </w:r>
          </w:p>
        </w:tc>
        <w:tc>
          <w:tcPr>
            <w:tcW w:w="4600" w:type="dxa"/>
            <w:vAlign w:val="center"/>
          </w:tcPr>
          <w:p>
            <w:pPr>
              <w:spacing w:after="45" w:before="35"/>
            </w:pPr>
            <w:r>
              <w:rPr>
                <w:color w:val="243746"/>
                <w:sz w:val="16"/>
              </w:rPr>
              <w:t xml:space="preserve">Active/minimal/inactive maintenance mapping from field 080.</w:t>
            </w:r>
          </w:p>
        </w:tc>
      </w:tr>
      <w:tr>
        <w:tc>
          <w:tcPr>
            <w:tcW w:w="3000" w:type="dxa"/>
            <w:vAlign w:val="center"/>
          </w:tcPr>
          <w:p>
            <w:pPr>
              <w:spacing w:after="45" w:before="35"/>
            </w:pPr>
            <w:r>
              <w:rPr>
                <w:color w:val="243746"/>
                <w:sz w:val="16"/>
              </w:rPr>
              <w:t xml:space="preserve">M3 Infrastructure age</w:t>
            </w:r>
          </w:p>
        </w:tc>
        <w:tc>
          <w:tcPr>
            <w:tcW w:w="1350" w:type="dxa"/>
            <w:vAlign w:val="center"/>
          </w:tcPr>
          <w:p>
            <w:pPr>
              <w:spacing w:after="45" w:before="35"/>
            </w:pPr>
            <w:r>
              <w:rPr>
                <w:color w:val="243746"/>
                <w:sz w:val="16"/>
              </w:rPr>
              <w:t xml:space="preserve">1/8 = 12.5%</w:t>
            </w:r>
          </w:p>
        </w:tc>
        <w:tc>
          <w:tcPr>
            <w:tcW w:w="4600" w:type="dxa"/>
            <w:vAlign w:val="center"/>
          </w:tcPr>
          <w:p>
            <w:pPr>
              <w:spacing w:after="45" w:before="35"/>
            </w:pPr>
            <w:r>
              <w:rPr>
                <w:color w:val="243746"/>
                <w:sz w:val="16"/>
              </w:rPr>
              <w:t xml:space="preserve">Capped age score from field 056, as in the current workbook.</w:t>
            </w:r>
          </w:p>
        </w:tc>
      </w:tr>
      <w:tr>
        <w:tc>
          <w:tcPr>
            <w:tcW w:w="3000" w:type="dxa"/>
            <w:vAlign w:val="center"/>
          </w:tcPr>
          <w:p>
            <w:pPr>
              <w:spacing w:after="45" w:before="35"/>
            </w:pPr>
            <w:r>
              <w:rPr>
                <w:color w:val="243746"/>
                <w:sz w:val="16"/>
              </w:rPr>
              <w:t xml:space="preserve">I1 Formal organizational host</w:t>
            </w:r>
          </w:p>
        </w:tc>
        <w:tc>
          <w:tcPr>
            <w:tcW w:w="1350" w:type="dxa"/>
            <w:vAlign w:val="center"/>
          </w:tcPr>
          <w:p>
            <w:pPr>
              <w:spacing w:after="45" w:before="35"/>
            </w:pPr>
            <w:r>
              <w:rPr>
                <w:color w:val="243746"/>
                <w:sz w:val="16"/>
              </w:rPr>
              <w:t xml:space="preserve">1/8 = 12.5%</w:t>
            </w:r>
          </w:p>
        </w:tc>
        <w:tc>
          <w:tcPr>
            <w:tcW w:w="4600" w:type="dxa"/>
            <w:vAlign w:val="center"/>
          </w:tcPr>
          <w:p>
            <w:pPr>
              <w:spacing w:after="45" w:before="35"/>
            </w:pPr>
            <w:r>
              <w:rPr>
                <w:color w:val="243746"/>
                <w:sz w:val="16"/>
              </w:rPr>
              <w:t xml:space="preserve">Host type score from field 051.</w:t>
            </w:r>
          </w:p>
        </w:tc>
      </w:tr>
      <w:tr>
        <w:tc>
          <w:tcPr>
            <w:tcW w:w="3000" w:type="dxa"/>
            <w:vAlign w:val="center"/>
          </w:tcPr>
          <w:p>
            <w:pPr>
              <w:spacing w:after="45" w:before="35"/>
            </w:pPr>
            <w:r>
              <w:rPr>
                <w:color w:val="243746"/>
                <w:sz w:val="16"/>
              </w:rPr>
              <w:t xml:space="preserve">I2 Affiliations / institutional support</w:t>
            </w:r>
          </w:p>
        </w:tc>
        <w:tc>
          <w:tcPr>
            <w:tcW w:w="1350" w:type="dxa"/>
            <w:vAlign w:val="center"/>
          </w:tcPr>
          <w:p>
            <w:pPr>
              <w:spacing w:after="45" w:before="35"/>
            </w:pPr>
            <w:r>
              <w:rPr>
                <w:color w:val="243746"/>
                <w:sz w:val="16"/>
              </w:rPr>
              <w:t xml:space="preserve">1/8 = 12.5%</w:t>
            </w:r>
          </w:p>
        </w:tc>
        <w:tc>
          <w:tcPr>
            <w:tcW w:w="4600" w:type="dxa"/>
            <w:vAlign w:val="center"/>
          </w:tcPr>
          <w:p>
            <w:pPr>
              <w:spacing w:after="45" w:before="35"/>
            </w:pPr>
            <w:r>
              <w:rPr>
                <w:color w:val="243746"/>
                <w:sz w:val="16"/>
              </w:rPr>
              <w:t xml:space="preserve">Affiliation/support score from field 058.</w:t>
            </w:r>
          </w:p>
        </w:tc>
      </w:tr>
      <w:tr>
        <w:tc>
          <w:tcPr>
            <w:tcW w:w="3000" w:type="dxa"/>
            <w:vAlign w:val="center"/>
          </w:tcPr>
          <w:p>
            <w:pPr>
              <w:spacing w:after="45" w:before="35"/>
            </w:pPr>
            <w:r>
              <w:rPr>
                <w:color w:val="243746"/>
                <w:sz w:val="16"/>
              </w:rPr>
              <w:t xml:space="preserve">I3 SCOSS participation</w:t>
            </w:r>
          </w:p>
        </w:tc>
        <w:tc>
          <w:tcPr>
            <w:tcW w:w="1350" w:type="dxa"/>
            <w:vAlign w:val="center"/>
          </w:tcPr>
          <w:p>
            <w:pPr>
              <w:spacing w:after="45" w:before="35"/>
            </w:pPr>
            <w:r>
              <w:rPr>
                <w:color w:val="243746"/>
                <w:sz w:val="16"/>
              </w:rPr>
              <w:t xml:space="preserve">1/8 = 12.5%</w:t>
            </w:r>
          </w:p>
        </w:tc>
        <w:tc>
          <w:tcPr>
            <w:tcW w:w="4600" w:type="dxa"/>
            <w:vAlign w:val="center"/>
          </w:tcPr>
          <w:p>
            <w:pPr>
              <w:spacing w:after="45" w:before="35"/>
            </w:pPr>
            <w:r>
              <w:rPr>
                <w:color w:val="243746"/>
                <w:sz w:val="16"/>
              </w:rPr>
              <w:t xml:space="preserve">TRUE/FALSE mapping from field 099.</w:t>
            </w:r>
          </w:p>
        </w:tc>
      </w:tr>
      <w:tr>
        <w:tc>
          <w:tcPr>
            <w:tcW w:w="3000" w:type="dxa"/>
            <w:vAlign w:val="center"/>
          </w:tcPr>
          <w:p>
            <w:pPr>
              <w:spacing w:after="45" w:before="35"/>
            </w:pPr>
            <w:r>
              <w:rPr>
                <w:color w:val="243746"/>
                <w:sz w:val="16"/>
              </w:rPr>
              <w:t xml:space="preserve">O1 Hosted/SaaS service availability</w:t>
            </w:r>
          </w:p>
        </w:tc>
        <w:tc>
          <w:tcPr>
            <w:tcW w:w="1350" w:type="dxa"/>
            <w:vAlign w:val="center"/>
          </w:tcPr>
          <w:p>
            <w:pPr>
              <w:spacing w:after="45" w:before="35"/>
            </w:pPr>
            <w:r>
              <w:rPr>
                <w:color w:val="243746"/>
                <w:sz w:val="16"/>
              </w:rPr>
              <w:t xml:space="preserve">1/8 = 12.5%</w:t>
            </w:r>
          </w:p>
        </w:tc>
        <w:tc>
          <w:tcPr>
            <w:tcW w:w="4600" w:type="dxa"/>
            <w:vAlign w:val="center"/>
          </w:tcPr>
          <w:p>
            <w:pPr>
              <w:spacing w:after="45" w:before="35"/>
            </w:pPr>
            <w:r>
              <w:rPr>
                <w:color w:val="243746"/>
                <w:sz w:val="16"/>
              </w:rPr>
              <w:t xml:space="preserve">Service availability score from field 076, where applicable.</w:t>
            </w:r>
          </w:p>
        </w:tc>
      </w:tr>
      <w:tr>
        <w:tc>
          <w:tcPr>
            <w:tcW w:w="3000" w:type="dxa"/>
            <w:vAlign w:val="center"/>
          </w:tcPr>
          <w:p>
            <w:pPr>
              <w:spacing w:after="45" w:before="35"/>
            </w:pPr>
            <w:r>
              <w:rPr>
                <w:color w:val="243746"/>
                <w:sz w:val="16"/>
              </w:rPr>
              <w:t xml:space="preserve">O2 Registered service-provider ecosystem</w:t>
            </w:r>
          </w:p>
        </w:tc>
        <w:tc>
          <w:tcPr>
            <w:tcW w:w="1350" w:type="dxa"/>
            <w:vAlign w:val="center"/>
          </w:tcPr>
          <w:p>
            <w:pPr>
              <w:spacing w:after="45" w:before="35"/>
            </w:pPr>
            <w:r>
              <w:rPr>
                <w:color w:val="243746"/>
                <w:sz w:val="16"/>
              </w:rPr>
              <w:t xml:space="preserve">1/8 = 12.5%</w:t>
            </w:r>
          </w:p>
        </w:tc>
        <w:tc>
          <w:tcPr>
            <w:tcW w:w="4600" w:type="dxa"/>
            <w:vAlign w:val="center"/>
          </w:tcPr>
          <w:p>
            <w:pPr>
              <w:spacing w:after="45" w:before="35"/>
            </w:pPr>
            <w:r>
              <w:rPr>
                <w:color w:val="243746"/>
                <w:sz w:val="16"/>
              </w:rPr>
              <w:t xml:space="preserve">Provider ecosystem score from field 077, where applicable.</w:t>
            </w:r>
          </w:p>
        </w:tc>
      </w:tr>
    </w:tbl>
    <w:p>
      <w:pPr>
        <w:pStyle w:val="Heading2"/>
      </w:pPr>
      <w:r>
        <w:t xml:space="preserve">Implied dimension shares when all metrics apply</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600" w:type="dxa"/>
            <w:shd w:fill="1F4E78"/>
            <w:vAlign w:val="center"/>
          </w:tcPr>
          <w:p>
            <w:pPr>
              <w:spacing w:after="45" w:before="35"/>
            </w:pPr>
            <w:r>
              <w:rPr>
                <w:b/>
                <w:color w:val="FFFFFF"/>
                <w:sz w:val="16"/>
              </w:rPr>
              <w:t xml:space="preserve">Dimension</w:t>
            </w:r>
          </w:p>
        </w:tc>
        <w:tc>
          <w:tcPr>
            <w:tcW w:w="1900" w:type="dxa"/>
            <w:shd w:fill="1F4E78"/>
            <w:vAlign w:val="center"/>
          </w:tcPr>
          <w:p>
            <w:pPr>
              <w:spacing w:after="45" w:before="35"/>
            </w:pPr>
            <w:r>
              <w:rPr>
                <w:b/>
                <w:color w:val="FFFFFF"/>
                <w:sz w:val="16"/>
              </w:rPr>
              <w:t xml:space="preserve">Metrics</w:t>
            </w:r>
          </w:p>
        </w:tc>
        <w:tc>
          <w:tcPr>
            <w:tcW w:w="4500" w:type="dxa"/>
            <w:shd w:fill="1F4E78"/>
            <w:vAlign w:val="center"/>
          </w:tcPr>
          <w:p>
            <w:pPr>
              <w:spacing w:after="45" w:before="35"/>
            </w:pPr>
            <w:r>
              <w:rPr>
                <w:b/>
                <w:color w:val="FFFFFF"/>
                <w:sz w:val="16"/>
              </w:rPr>
              <w:t xml:space="preserve">Equal-metric share</w:t>
            </w:r>
          </w:p>
        </w:tc>
      </w:tr>
      <w:tr>
        <w:tc>
          <w:tcPr>
            <w:tcW w:w="2600" w:type="dxa"/>
            <w:vAlign w:val="center"/>
          </w:tcPr>
          <w:p>
            <w:pPr>
              <w:spacing w:after="45" w:before="35"/>
            </w:pPr>
            <w:r>
              <w:rPr>
                <w:color w:val="243746"/>
                <w:sz w:val="16"/>
              </w:rPr>
              <w:t xml:space="preserve">Maturity and maintenance</w:t>
            </w:r>
          </w:p>
        </w:tc>
        <w:tc>
          <w:tcPr>
            <w:tcW w:w="1900" w:type="dxa"/>
            <w:vAlign w:val="center"/>
          </w:tcPr>
          <w:p>
            <w:pPr>
              <w:spacing w:after="45" w:before="35"/>
            </w:pPr>
            <w:r>
              <w:rPr>
                <w:color w:val="243746"/>
                <w:sz w:val="16"/>
              </w:rPr>
              <w:t xml:space="preserve">M1-M3</w:t>
            </w:r>
          </w:p>
        </w:tc>
        <w:tc>
          <w:tcPr>
            <w:tcW w:w="4500" w:type="dxa"/>
            <w:vAlign w:val="center"/>
          </w:tcPr>
          <w:p>
            <w:pPr>
              <w:spacing w:after="45" w:before="35"/>
            </w:pPr>
            <w:r>
              <w:rPr>
                <w:color w:val="243746"/>
                <w:sz w:val="16"/>
              </w:rPr>
              <w:t xml:space="preserve">3/8 = 37.5%</w:t>
            </w:r>
          </w:p>
        </w:tc>
      </w:tr>
      <w:tr>
        <w:tc>
          <w:tcPr>
            <w:tcW w:w="2600" w:type="dxa"/>
            <w:vAlign w:val="center"/>
          </w:tcPr>
          <w:p>
            <w:pPr>
              <w:spacing w:after="45" w:before="35"/>
            </w:pPr>
            <w:r>
              <w:rPr>
                <w:color w:val="243746"/>
                <w:sz w:val="16"/>
              </w:rPr>
              <w:t xml:space="preserve">Institutional support</w:t>
            </w:r>
          </w:p>
        </w:tc>
        <w:tc>
          <w:tcPr>
            <w:tcW w:w="1900" w:type="dxa"/>
            <w:vAlign w:val="center"/>
          </w:tcPr>
          <w:p>
            <w:pPr>
              <w:spacing w:after="45" w:before="35"/>
            </w:pPr>
            <w:r>
              <w:rPr>
                <w:color w:val="243746"/>
                <w:sz w:val="16"/>
              </w:rPr>
              <w:t xml:space="preserve">I1-I3</w:t>
            </w:r>
          </w:p>
        </w:tc>
        <w:tc>
          <w:tcPr>
            <w:tcW w:w="4500" w:type="dxa"/>
            <w:vAlign w:val="center"/>
          </w:tcPr>
          <w:p>
            <w:pPr>
              <w:spacing w:after="45" w:before="35"/>
            </w:pPr>
            <w:r>
              <w:rPr>
                <w:color w:val="243746"/>
                <w:sz w:val="16"/>
              </w:rPr>
              <w:t xml:space="preserve">3/8 = 37.5%</w:t>
            </w:r>
          </w:p>
        </w:tc>
      </w:tr>
      <w:tr>
        <w:tc>
          <w:tcPr>
            <w:tcW w:w="2600" w:type="dxa"/>
            <w:vAlign w:val="center"/>
          </w:tcPr>
          <w:p>
            <w:pPr>
              <w:spacing w:after="45" w:before="35"/>
            </w:pPr>
            <w:r>
              <w:rPr>
                <w:color w:val="243746"/>
                <w:sz w:val="16"/>
              </w:rPr>
              <w:t xml:space="preserve">Operational capacity</w:t>
            </w:r>
          </w:p>
        </w:tc>
        <w:tc>
          <w:tcPr>
            <w:tcW w:w="1900" w:type="dxa"/>
            <w:vAlign w:val="center"/>
          </w:tcPr>
          <w:p>
            <w:pPr>
              <w:spacing w:after="45" w:before="35"/>
            </w:pPr>
            <w:r>
              <w:rPr>
                <w:color w:val="243746"/>
                <w:sz w:val="16"/>
              </w:rPr>
              <w:t xml:space="preserve">O1-O2</w:t>
            </w:r>
          </w:p>
        </w:tc>
        <w:tc>
          <w:tcPr>
            <w:tcW w:w="4500" w:type="dxa"/>
            <w:vAlign w:val="center"/>
          </w:tcPr>
          <w:p>
            <w:pPr>
              <w:spacing w:after="45" w:before="35"/>
            </w:pPr>
            <w:r>
              <w:rPr>
                <w:color w:val="243746"/>
                <w:sz w:val="16"/>
              </w:rPr>
              <w:t xml:space="preserve">2/8 = 25%</w:t>
            </w:r>
          </w:p>
        </w:tc>
      </w:tr>
    </w:tbl>
    <w:p>
      <w:pPr>
        <w:pStyle w:val="Heading2"/>
      </w:pPr>
      <w:r>
        <w:t xml:space="preserve">Applicability and eligibility</w:t>
      </w:r>
    </w:p>
    <w:p>
      <w:pPr>
        <w:pStyle w:val="Normal"/>
      </w:pPr>
      <w:r>
        <w:t xml:space="preserve">The denominator is the number of applicable metrics. O1 is excluded when field 076 is explicitly Not applicable. O2 applies only when the SaaS/provider arrangement indicates third-party delivery; otherwise it is removed from the applicable denominator. Other unknown/blank metric values are missing, not zero. A score requires at least 70% of applicable metrics and at least two of the three dimensions represented. Eligible scores with at least 85% applicable coverage are Reportable; scores from 70% to below 85% are Provisional.</w:t>
      </w:r>
    </w:p>
    <w:p>
      <w:pPr>
        <w:pStyle w:val="Heading2"/>
      </w:pPr>
      <w:r>
        <w:t xml:space="preserve">Why the dimension shares vary</w:t>
      </w:r>
    </w:p>
    <w:p>
      <w:pPr>
        <w:pStyle w:val="Normal"/>
      </w:pPr>
      <w:r>
        <w:t xml:space="preserve">Equal shares attach to metrics, not dimensions. Therefore, dimensions with three metrics each account for 37.5% when all apply, and the two-metric operational dimension accounts for 25%. If a metric is structurally not applicable, its share is redistributed across the remaining scored/applicable metrics by the arithmetic mean; it is not treated as a performance failure.</w:t>
      </w:r>
    </w:p>
    <w:p>
      <w:r>
        <w:br w:type="page"/>
      </w:r>
    </w:p>
    <w:p>
      <w:pPr>
        <w:pStyle w:val="Heading1"/>
      </w:pPr>
      <w:r>
        <w:t xml:space="preserve">4. Development Activity</w:t>
      </w:r>
    </w:p>
    <w:p>
      <w:pPr>
        <w:pStyle w:val="Subtitle"/>
      </w:pPr>
      <w:r>
        <w:t xml:space="preserve">13 repository metrics | 7.69% each | observation window: 1 Oct 2025 to 1 Oct 2026 UTC</w:t>
      </w:r>
    </w:p>
    <w:p>
      <w:pPr>
        <w:pStyle w:val="Normal"/>
      </w:pPr>
      <w:r>
        <w:t xml:space="preserve">The normalized metric values and their operational definitions are retained from the Development Activity scoring workbook. For the equal-metric view, each available metric contributes 1/13 = 7.69% of the component mean; count-based score anchors below are unchanged.</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450" w:type="dxa"/>
            <w:shd w:fill="1F4E78"/>
            <w:vAlign w:val="center"/>
          </w:tcPr>
          <w:p>
            <w:pPr>
              <w:spacing w:after="45" w:before="35"/>
            </w:pPr>
            <w:r>
              <w:rPr>
                <w:b/>
                <w:color w:val="FFFFFF"/>
                <w:sz w:val="16"/>
              </w:rPr>
              <w:t xml:space="preserve">Metric</w:t>
            </w:r>
          </w:p>
        </w:tc>
        <w:tc>
          <w:tcPr>
            <w:tcW w:w="6550" w:type="dxa"/>
            <w:shd w:fill="1F4E78"/>
            <w:vAlign w:val="center"/>
          </w:tcPr>
          <w:p>
            <w:pPr>
              <w:spacing w:after="45" w:before="35"/>
            </w:pPr>
            <w:r>
              <w:rPr>
                <w:b/>
                <w:color w:val="FFFFFF"/>
                <w:sz w:val="16"/>
              </w:rPr>
              <w:t xml:space="preserve">Definition / scoring anchor</w:t>
            </w:r>
          </w:p>
        </w:tc>
      </w:tr>
      <w:tr>
        <w:tc>
          <w:tcPr>
            <w:tcW w:w="2450" w:type="dxa"/>
            <w:vAlign w:val="center"/>
          </w:tcPr>
          <w:p>
            <w:pPr>
              <w:spacing w:after="45" w:before="35"/>
            </w:pPr>
            <w:r>
              <w:rPr>
                <w:color w:val="243746"/>
                <w:sz w:val="16"/>
              </w:rPr>
              <w:t xml:space="preserve">m1 Human commits</w:t>
            </w:r>
          </w:p>
        </w:tc>
        <w:tc>
          <w:tcPr>
            <w:tcW w:w="6550" w:type="dxa"/>
            <w:vAlign w:val="center"/>
          </w:tcPr>
          <w:p>
            <w:pPr>
              <w:spacing w:after="45" w:before="35"/>
            </w:pPr>
            <w:r>
              <w:rPr>
                <w:color w:val="243746"/>
                <w:sz w:val="16"/>
              </w:rPr>
              <w:t xml:space="preserve">Log scale: 100*min(1, log10(1+c)/log10(1001)); c capped at 1,000.</w:t>
            </w:r>
          </w:p>
        </w:tc>
      </w:tr>
      <w:tr>
        <w:tc>
          <w:tcPr>
            <w:tcW w:w="2450" w:type="dxa"/>
            <w:vAlign w:val="center"/>
          </w:tcPr>
          <w:p>
            <w:pPr>
              <w:spacing w:after="45" w:before="35"/>
            </w:pPr>
            <w:r>
              <w:rPr>
                <w:color w:val="243746"/>
                <w:sz w:val="16"/>
              </w:rPr>
              <w:t xml:space="preserve">m2 Active weeks</w:t>
            </w:r>
          </w:p>
        </w:tc>
        <w:tc>
          <w:tcPr>
            <w:tcW w:w="6550" w:type="dxa"/>
            <w:vAlign w:val="center"/>
          </w:tcPr>
          <w:p>
            <w:pPr>
              <w:spacing w:after="45" w:before="35"/>
            </w:pPr>
            <w:r>
              <w:rPr>
                <w:color w:val="243746"/>
                <w:sz w:val="16"/>
              </w:rPr>
              <w:t xml:space="preserve">Distinct active weeks / 52 * 100.</w:t>
            </w:r>
          </w:p>
        </w:tc>
      </w:tr>
      <w:tr>
        <w:tc>
          <w:tcPr>
            <w:tcW w:w="2450" w:type="dxa"/>
            <w:vAlign w:val="center"/>
          </w:tcPr>
          <w:p>
            <w:pPr>
              <w:spacing w:after="45" w:before="35"/>
            </w:pPr>
            <w:r>
              <w:rPr>
                <w:color w:val="243746"/>
                <w:sz w:val="16"/>
              </w:rPr>
              <w:t xml:space="preserve">m3 Recency</w:t>
            </w:r>
          </w:p>
        </w:tc>
        <w:tc>
          <w:tcPr>
            <w:tcW w:w="6550" w:type="dxa"/>
            <w:vAlign w:val="center"/>
          </w:tcPr>
          <w:p>
            <w:pPr>
              <w:spacing w:after="45" w:before="35"/>
            </w:pPr>
            <w:r>
              <w:rPr>
                <w:color w:val="243746"/>
                <w:sz w:val="16"/>
              </w:rPr>
              <w:t xml:space="preserve">100 through 30 days since last commit; then linear decline to 0 at 365 days.</w:t>
            </w:r>
          </w:p>
        </w:tc>
      </w:tr>
      <w:tr>
        <w:tc>
          <w:tcPr>
            <w:tcW w:w="2450" w:type="dxa"/>
            <w:vAlign w:val="center"/>
          </w:tcPr>
          <w:p>
            <w:pPr>
              <w:spacing w:after="45" w:before="35"/>
            </w:pPr>
            <w:r>
              <w:rPr>
                <w:color w:val="243746"/>
                <w:sz w:val="16"/>
              </w:rPr>
              <w:t xml:space="preserve">m4 Release activity</w:t>
            </w:r>
          </w:p>
        </w:tc>
        <w:tc>
          <w:tcPr>
            <w:tcW w:w="6550" w:type="dxa"/>
            <w:vAlign w:val="center"/>
          </w:tcPr>
          <w:p>
            <w:pPr>
              <w:spacing w:after="45" w:before="35"/>
            </w:pPr>
            <w:r>
              <w:rPr>
                <w:color w:val="243746"/>
                <w:sz w:val="16"/>
              </w:rPr>
              <w:t xml:space="preserve">Tags: 0=0; 1=50; 2-3=75; 4+=100.</w:t>
            </w:r>
          </w:p>
        </w:tc>
      </w:tr>
      <w:tr>
        <w:tc>
          <w:tcPr>
            <w:tcW w:w="2450" w:type="dxa"/>
            <w:vAlign w:val="center"/>
          </w:tcPr>
          <w:p>
            <w:pPr>
              <w:spacing w:after="45" w:before="35"/>
            </w:pPr>
            <w:r>
              <w:rPr>
                <w:color w:val="243746"/>
                <w:sz w:val="16"/>
              </w:rPr>
              <w:t xml:space="preserve">m5 Active contributors</w:t>
            </w:r>
          </w:p>
        </w:tc>
        <w:tc>
          <w:tcPr>
            <w:tcW w:w="6550" w:type="dxa"/>
            <w:vAlign w:val="center"/>
          </w:tcPr>
          <w:p>
            <w:pPr>
              <w:spacing w:after="45" w:before="35"/>
            </w:pPr>
            <w:r>
              <w:rPr>
                <w:color w:val="243746"/>
                <w:sz w:val="16"/>
              </w:rPr>
              <w:t xml:space="preserve">0 when n&lt;=1; otherwise 100*min(1, log2(n)/5), capped at 32 contributors.</w:t>
            </w:r>
          </w:p>
        </w:tc>
      </w:tr>
      <w:tr>
        <w:tc>
          <w:tcPr>
            <w:tcW w:w="2450" w:type="dxa"/>
            <w:vAlign w:val="center"/>
          </w:tcPr>
          <w:p>
            <w:pPr>
              <w:spacing w:after="45" w:before="35"/>
            </w:pPr>
            <w:r>
              <w:rPr>
                <w:color w:val="243746"/>
                <w:sz w:val="16"/>
              </w:rPr>
              <w:t xml:space="preserve">m6 Effective contributors</w:t>
            </w:r>
          </w:p>
        </w:tc>
        <w:tc>
          <w:tcPr>
            <w:tcW w:w="6550" w:type="dxa"/>
            <w:vAlign w:val="center"/>
          </w:tcPr>
          <w:p>
            <w:pPr>
              <w:spacing w:after="45" w:before="35"/>
            </w:pPr>
            <w:r>
              <w:rPr>
                <w:color w:val="243746"/>
                <w:sz w:val="16"/>
              </w:rPr>
              <w:t xml:space="preserve">E=1/sum(commit_share^2); 0 when E&lt;=1; log2-normalized and capped at E=8.</w:t>
            </w:r>
          </w:p>
        </w:tc>
      </w:tr>
      <w:tr>
        <w:tc>
          <w:tcPr>
            <w:tcW w:w="2450" w:type="dxa"/>
            <w:vAlign w:val="center"/>
          </w:tcPr>
          <w:p>
            <w:pPr>
              <w:spacing w:after="45" w:before="35"/>
            </w:pPr>
            <w:r>
              <w:rPr>
                <w:color w:val="243746"/>
                <w:sz w:val="16"/>
              </w:rPr>
              <w:t xml:space="preserve">m7 Contributor retention</w:t>
            </w:r>
          </w:p>
        </w:tc>
        <w:tc>
          <w:tcPr>
            <w:tcW w:w="6550" w:type="dxa"/>
            <w:vAlign w:val="center"/>
          </w:tcPr>
          <w:p>
            <w:pPr>
              <w:spacing w:after="45" w:before="35"/>
            </w:pPr>
            <w:r>
              <w:rPr>
                <w:color w:val="243746"/>
                <w:sz w:val="16"/>
              </w:rPr>
              <w:t xml:space="preserve">Active in both half-windows: 0=0; 1=25; 2=50; 3-4=75; 5+=100.</w:t>
            </w:r>
          </w:p>
        </w:tc>
      </w:tr>
      <w:tr>
        <w:tc>
          <w:tcPr>
            <w:tcW w:w="2450" w:type="dxa"/>
            <w:vAlign w:val="center"/>
          </w:tcPr>
          <w:p>
            <w:pPr>
              <w:spacing w:after="45" w:before="35"/>
            </w:pPr>
            <w:r>
              <w:rPr>
                <w:color w:val="243746"/>
                <w:sz w:val="16"/>
              </w:rPr>
              <w:t xml:space="preserve">m8 Issue response</w:t>
            </w:r>
          </w:p>
        </w:tc>
        <w:tc>
          <w:tcPr>
            <w:tcW w:w="6550" w:type="dxa"/>
            <w:vAlign w:val="center"/>
          </w:tcPr>
          <w:p>
            <w:pPr>
              <w:spacing w:after="45" w:before="35"/>
            </w:pPr>
            <w:r>
              <w:rPr>
                <w:color w:val="243746"/>
                <w:sz w:val="16"/>
              </w:rPr>
              <w:t xml:space="preserve">Share of eligible issues receiving a response within 14 days; minimum 10 eligible items.</w:t>
            </w:r>
          </w:p>
        </w:tc>
      </w:tr>
      <w:tr>
        <w:tc>
          <w:tcPr>
            <w:tcW w:w="2450" w:type="dxa"/>
            <w:vAlign w:val="center"/>
          </w:tcPr>
          <w:p>
            <w:pPr>
              <w:spacing w:after="45" w:before="35"/>
            </w:pPr>
            <w:r>
              <w:rPr>
                <w:color w:val="243746"/>
                <w:sz w:val="16"/>
              </w:rPr>
              <w:t xml:space="preserve">m9 PR response</w:t>
            </w:r>
          </w:p>
        </w:tc>
        <w:tc>
          <w:tcPr>
            <w:tcW w:w="6550" w:type="dxa"/>
            <w:vAlign w:val="center"/>
          </w:tcPr>
          <w:p>
            <w:pPr>
              <w:spacing w:after="45" w:before="35"/>
            </w:pPr>
            <w:r>
              <w:rPr>
                <w:color w:val="243746"/>
                <w:sz w:val="16"/>
              </w:rPr>
              <w:t xml:space="preserve">Share of eligible pull requests receiving a response within 7 days; minimum 10.</w:t>
            </w:r>
          </w:p>
        </w:tc>
      </w:tr>
      <w:tr>
        <w:tc>
          <w:tcPr>
            <w:tcW w:w="2450" w:type="dxa"/>
            <w:vAlign w:val="center"/>
          </w:tcPr>
          <w:p>
            <w:pPr>
              <w:spacing w:after="45" w:before="35"/>
            </w:pPr>
            <w:r>
              <w:rPr>
                <w:color w:val="243746"/>
                <w:sz w:val="16"/>
              </w:rPr>
              <w:t xml:space="preserve">m10 Issue close within 90d</w:t>
            </w:r>
          </w:p>
        </w:tc>
        <w:tc>
          <w:tcPr>
            <w:tcW w:w="6550" w:type="dxa"/>
            <w:vAlign w:val="center"/>
          </w:tcPr>
          <w:p>
            <w:pPr>
              <w:spacing w:after="45" w:before="35"/>
            </w:pPr>
            <w:r>
              <w:rPr>
                <w:color w:val="243746"/>
                <w:sz w:val="16"/>
              </w:rPr>
              <w:t xml:space="preserve">Share of eligible issues closed within 90 days; minimum 10.</w:t>
            </w:r>
          </w:p>
        </w:tc>
      </w:tr>
      <w:tr>
        <w:tc>
          <w:tcPr>
            <w:tcW w:w="2450" w:type="dxa"/>
            <w:vAlign w:val="center"/>
          </w:tcPr>
          <w:p>
            <w:pPr>
              <w:spacing w:after="45" w:before="35"/>
            </w:pPr>
            <w:r>
              <w:rPr>
                <w:color w:val="243746"/>
                <w:sz w:val="16"/>
              </w:rPr>
              <w:t xml:space="preserve">m11 PR decision within 30d</w:t>
            </w:r>
          </w:p>
        </w:tc>
        <w:tc>
          <w:tcPr>
            <w:tcW w:w="6550" w:type="dxa"/>
            <w:vAlign w:val="center"/>
          </w:tcPr>
          <w:p>
            <w:pPr>
              <w:spacing w:after="45" w:before="35"/>
            </w:pPr>
            <w:r>
              <w:rPr>
                <w:color w:val="243746"/>
                <w:sz w:val="16"/>
              </w:rPr>
              <w:t xml:space="preserve">Share of eligible pull requests decided within 30 days; minimum 10.</w:t>
            </w:r>
          </w:p>
        </w:tc>
      </w:tr>
      <w:tr>
        <w:tc>
          <w:tcPr>
            <w:tcW w:w="2450" w:type="dxa"/>
            <w:vAlign w:val="center"/>
          </w:tcPr>
          <w:p>
            <w:pPr>
              <w:spacing w:after="45" w:before="35"/>
            </w:pPr>
            <w:r>
              <w:rPr>
                <w:color w:val="243746"/>
                <w:sz w:val="16"/>
              </w:rPr>
              <w:t xml:space="preserve">m12 Stars gained</w:t>
            </w:r>
          </w:p>
        </w:tc>
        <w:tc>
          <w:tcPr>
            <w:tcW w:w="6550" w:type="dxa"/>
            <w:vAlign w:val="center"/>
          </w:tcPr>
          <w:p>
            <w:pPr>
              <w:spacing w:after="45" w:before="35"/>
            </w:pPr>
            <w:r>
              <w:rPr>
                <w:color w:val="243746"/>
                <w:sz w:val="16"/>
              </w:rPr>
              <w:t xml:space="preserve">100*min(1, log10(1+s)/3); s capped at 1,000.</w:t>
            </w:r>
          </w:p>
        </w:tc>
      </w:tr>
      <w:tr>
        <w:tc>
          <w:tcPr>
            <w:tcW w:w="2450" w:type="dxa"/>
            <w:vAlign w:val="center"/>
          </w:tcPr>
          <w:p>
            <w:pPr>
              <w:spacing w:after="45" w:before="35"/>
            </w:pPr>
            <w:r>
              <w:rPr>
                <w:color w:val="243746"/>
                <w:sz w:val="16"/>
              </w:rPr>
              <w:t xml:space="preserve">m13 Forks created</w:t>
            </w:r>
          </w:p>
        </w:tc>
        <w:tc>
          <w:tcPr>
            <w:tcW w:w="6550" w:type="dxa"/>
            <w:vAlign w:val="center"/>
          </w:tcPr>
          <w:p>
            <w:pPr>
              <w:spacing w:after="45" w:before="35"/>
            </w:pPr>
            <w:r>
              <w:rPr>
                <w:color w:val="243746"/>
                <w:sz w:val="16"/>
              </w:rPr>
              <w:t xml:space="preserve">100*min(1, log10(1+f)/2); f capped at 100.</w:t>
            </w:r>
          </w:p>
        </w:tc>
      </w:tr>
    </w:tbl>
    <w:p>
      <w:pPr>
        <w:pStyle w:val="Heading2"/>
      </w:pPr>
      <w:r>
        <w:t xml:space="preserve">Implied dimension shares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450" w:type="dxa"/>
            <w:shd w:fill="1F4E78"/>
            <w:vAlign w:val="center"/>
          </w:tcPr>
          <w:p>
            <w:pPr>
              <w:spacing w:after="45" w:before="35"/>
            </w:pPr>
            <w:r>
              <w:rPr>
                <w:b/>
                <w:color w:val="FFFFFF"/>
                <w:sz w:val="16"/>
              </w:rPr>
              <w:t xml:space="preserve">Dimension</w:t>
            </w:r>
          </w:p>
        </w:tc>
        <w:tc>
          <w:tcPr>
            <w:tcW w:w="1750" w:type="dxa"/>
            <w:shd w:fill="1F4E78"/>
            <w:vAlign w:val="center"/>
          </w:tcPr>
          <w:p>
            <w:pPr>
              <w:spacing w:after="45" w:before="35"/>
            </w:pPr>
            <w:r>
              <w:rPr>
                <w:b/>
                <w:color w:val="FFFFFF"/>
                <w:sz w:val="16"/>
              </w:rPr>
              <w:t xml:space="preserve">Metrics</w:t>
            </w:r>
          </w:p>
        </w:tc>
        <w:tc>
          <w:tcPr>
            <w:tcW w:w="4800" w:type="dxa"/>
            <w:shd w:fill="1F4E78"/>
            <w:vAlign w:val="center"/>
          </w:tcPr>
          <w:p>
            <w:pPr>
              <w:spacing w:after="45" w:before="35"/>
            </w:pPr>
            <w:r>
              <w:rPr>
                <w:b/>
                <w:color w:val="FFFFFF"/>
                <w:sz w:val="16"/>
              </w:rPr>
              <w:t xml:space="preserve">Equal-metric share</w:t>
            </w:r>
          </w:p>
        </w:tc>
      </w:tr>
      <w:tr>
        <w:tc>
          <w:tcPr>
            <w:tcW w:w="2450" w:type="dxa"/>
            <w:vAlign w:val="center"/>
          </w:tcPr>
          <w:p>
            <w:pPr>
              <w:spacing w:after="45" w:before="35"/>
            </w:pPr>
            <w:r>
              <w:rPr>
                <w:color w:val="243746"/>
                <w:sz w:val="16"/>
              </w:rPr>
              <w:t xml:space="preserve">Continuity</w:t>
            </w:r>
          </w:p>
        </w:tc>
        <w:tc>
          <w:tcPr>
            <w:tcW w:w="1750" w:type="dxa"/>
            <w:vAlign w:val="center"/>
          </w:tcPr>
          <w:p>
            <w:pPr>
              <w:spacing w:after="45" w:before="35"/>
            </w:pPr>
            <w:r>
              <w:rPr>
                <w:color w:val="243746"/>
                <w:sz w:val="16"/>
              </w:rPr>
              <w:t xml:space="preserve">m1-m4</w:t>
            </w:r>
          </w:p>
        </w:tc>
        <w:tc>
          <w:tcPr>
            <w:tcW w:w="4800" w:type="dxa"/>
            <w:vAlign w:val="center"/>
          </w:tcPr>
          <w:p>
            <w:pPr>
              <w:spacing w:after="45" w:before="35"/>
            </w:pPr>
            <w:r>
              <w:rPr>
                <w:color w:val="243746"/>
                <w:sz w:val="16"/>
              </w:rPr>
              <w:t xml:space="preserve">4/13 = 30.77%</w:t>
            </w:r>
          </w:p>
        </w:tc>
      </w:tr>
      <w:tr>
        <w:tc>
          <w:tcPr>
            <w:tcW w:w="2450" w:type="dxa"/>
            <w:vAlign w:val="center"/>
          </w:tcPr>
          <w:p>
            <w:pPr>
              <w:spacing w:after="45" w:before="35"/>
            </w:pPr>
            <w:r>
              <w:rPr>
                <w:color w:val="243746"/>
                <w:sz w:val="16"/>
              </w:rPr>
              <w:t xml:space="preserve">Contributors</w:t>
            </w:r>
          </w:p>
        </w:tc>
        <w:tc>
          <w:tcPr>
            <w:tcW w:w="1750" w:type="dxa"/>
            <w:vAlign w:val="center"/>
          </w:tcPr>
          <w:p>
            <w:pPr>
              <w:spacing w:after="45" w:before="35"/>
            </w:pPr>
            <w:r>
              <w:rPr>
                <w:color w:val="243746"/>
                <w:sz w:val="16"/>
              </w:rPr>
              <w:t xml:space="preserve">m5-m7</w:t>
            </w:r>
          </w:p>
        </w:tc>
        <w:tc>
          <w:tcPr>
            <w:tcW w:w="4800" w:type="dxa"/>
            <w:vAlign w:val="center"/>
          </w:tcPr>
          <w:p>
            <w:pPr>
              <w:spacing w:after="45" w:before="35"/>
            </w:pPr>
            <w:r>
              <w:rPr>
                <w:color w:val="243746"/>
                <w:sz w:val="16"/>
              </w:rPr>
              <w:t xml:space="preserve">3/13 = 23.08%</w:t>
            </w:r>
          </w:p>
        </w:tc>
      </w:tr>
      <w:tr>
        <w:tc>
          <w:tcPr>
            <w:tcW w:w="2450" w:type="dxa"/>
            <w:vAlign w:val="center"/>
          </w:tcPr>
          <w:p>
            <w:pPr>
              <w:spacing w:after="45" w:before="35"/>
            </w:pPr>
            <w:r>
              <w:rPr>
                <w:color w:val="243746"/>
                <w:sz w:val="16"/>
              </w:rPr>
              <w:t xml:space="preserve">Responsiveness</w:t>
            </w:r>
          </w:p>
        </w:tc>
        <w:tc>
          <w:tcPr>
            <w:tcW w:w="1750" w:type="dxa"/>
            <w:vAlign w:val="center"/>
          </w:tcPr>
          <w:p>
            <w:pPr>
              <w:spacing w:after="45" w:before="35"/>
            </w:pPr>
            <w:r>
              <w:rPr>
                <w:color w:val="243746"/>
                <w:sz w:val="16"/>
              </w:rPr>
              <w:t xml:space="preserve">m8-m11</w:t>
            </w:r>
          </w:p>
        </w:tc>
        <w:tc>
          <w:tcPr>
            <w:tcW w:w="4800" w:type="dxa"/>
            <w:vAlign w:val="center"/>
          </w:tcPr>
          <w:p>
            <w:pPr>
              <w:spacing w:after="45" w:before="35"/>
            </w:pPr>
            <w:r>
              <w:rPr>
                <w:color w:val="243746"/>
                <w:sz w:val="16"/>
              </w:rPr>
              <w:t xml:space="preserve">4/13 = 30.77%</w:t>
            </w:r>
          </w:p>
        </w:tc>
      </w:tr>
      <w:tr>
        <w:tc>
          <w:tcPr>
            <w:tcW w:w="2450" w:type="dxa"/>
            <w:vAlign w:val="center"/>
          </w:tcPr>
          <w:p>
            <w:pPr>
              <w:spacing w:after="45" w:before="35"/>
            </w:pPr>
            <w:r>
              <w:rPr>
                <w:color w:val="243746"/>
                <w:sz w:val="16"/>
              </w:rPr>
              <w:t xml:space="preserve">Adoption</w:t>
            </w:r>
          </w:p>
        </w:tc>
        <w:tc>
          <w:tcPr>
            <w:tcW w:w="1750" w:type="dxa"/>
            <w:vAlign w:val="center"/>
          </w:tcPr>
          <w:p>
            <w:pPr>
              <w:spacing w:after="45" w:before="35"/>
            </w:pPr>
            <w:r>
              <w:rPr>
                <w:color w:val="243746"/>
                <w:sz w:val="16"/>
              </w:rPr>
              <w:t xml:space="preserve">m12-m13</w:t>
            </w:r>
          </w:p>
        </w:tc>
        <w:tc>
          <w:tcPr>
            <w:tcW w:w="4800" w:type="dxa"/>
            <w:vAlign w:val="center"/>
          </w:tcPr>
          <w:p>
            <w:pPr>
              <w:spacing w:after="45" w:before="35"/>
            </w:pPr>
            <w:r>
              <w:rPr>
                <w:color w:val="243746"/>
                <w:sz w:val="16"/>
              </w:rPr>
              <w:t xml:space="preserve">2/13 = 15.38%</w:t>
            </w:r>
          </w:p>
        </w:tc>
      </w:tr>
    </w:tbl>
    <w:p>
      <w:pPr>
        <w:pStyle w:val="Heading2"/>
      </w:pPr>
      <w:r>
        <w:t xml:space="preserve">Coverage and interpretation</w:t>
      </w:r>
    </w:p>
    <w:p>
      <w:pPr>
        <w:pStyle w:val="Normal"/>
      </w:pPr>
      <w:r>
        <w:t xml:space="preserve">A Development Activity score requires at least 10 of 13 metrics (75%) and at least half of each dimension: 2/4 Continuity, 2/3 Contributors, 2/4 Responsiveness, and 1/2 Adoption. Bots are excluded and authorship uses human, non-merge commit rules. A complete-data zero is a measured zero under the defined anchor; unavailable values due to low activity volume or unsupported trackers are missing. Equal metric weights increase Adoption to 15.38% of the component from the prior weighted design's 5%, because stars and forks are two of the 13 indicators. Treat those as indirect attention/reuse signals, not measures of quality.</w:t>
      </w:r>
    </w:p>
    <w:p>
      <w:r>
        <w:br w:type="page"/>
      </w:r>
    </w:p>
    <w:p>
      <w:pPr>
        <w:pStyle w:val="Heading1"/>
      </w:pPr>
      <w:r>
        <w:t xml:space="preserve">5. Combined Results, Comparison, and Use</w:t>
      </w:r>
    </w:p>
    <w:p>
      <w:pPr>
        <w:pStyle w:val="Subtitle"/>
      </w:pPr>
      <w:r>
        <w:t xml:space="preserve">What the equal-metric perspective changes, and how to report it</w:t>
      </w:r>
    </w:p>
    <w:p>
      <w:pPr>
        <w:pStyle w:val="Heading2"/>
      </w:pPr>
      <w:r>
        <w:t xml:space="preserve">Combined-score reporting</w:t>
      </w:r>
    </w:p>
    <w:p>
      <w:pPr>
        <w:pStyle w:val="Normal"/>
      </w:pPr>
      <w:r>
        <w:t xml:space="preserve">Primary result: calculate the strict combined OISI only when all four equal-metric component scores qualify: (CE + Governance + Organizational Capacity + Development Activity)/4. Secondary all-112 result: the workbook also reports an evidence-adjusted score with unavailable component scores contributing zero. That zero is a conservative reporting convention, not observed zero performance. Always show the count of available components and retain component-level status.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3200" w:type="dxa"/>
            <w:shd w:fill="1F4E78"/>
            <w:vAlign w:val="center"/>
          </w:tcPr>
          <w:p>
            <w:pPr>
              <w:spacing w:after="45" w:before="35"/>
            </w:pPr>
            <w:r>
              <w:rPr>
                <w:b/>
                <w:color w:val="FFFFFF"/>
                <w:sz w:val="16"/>
              </w:rPr>
              <w:t xml:space="preserve">Component / cohort</w:t>
            </w:r>
          </w:p>
        </w:tc>
        <w:tc>
          <w:tcPr>
            <w:tcW w:w="5800" w:type="dxa"/>
            <w:shd w:fill="1F4E78"/>
            <w:vAlign w:val="center"/>
          </w:tcPr>
          <w:p>
            <w:pPr>
              <w:spacing w:after="45" w:before="35"/>
            </w:pPr>
            <w:r>
              <w:rPr>
                <w:b/>
                <w:color w:val="FFFFFF"/>
                <w:sz w:val="16"/>
              </w:rPr>
              <w:t xml:space="preserve">Equal-metric results</w:t>
            </w:r>
          </w:p>
        </w:tc>
      </w:tr>
      <w:tr>
        <w:tc>
          <w:tcPr>
            <w:tcW w:w="3200" w:type="dxa"/>
            <w:vAlign w:val="center"/>
          </w:tcPr>
          <w:p>
            <w:pPr>
              <w:spacing w:after="45" w:before="35"/>
            </w:pPr>
            <w:r>
              <w:rPr>
                <w:color w:val="243746"/>
                <w:sz w:val="16"/>
              </w:rPr>
              <w:t xml:space="preserve">Eligible component scores</w:t>
            </w:r>
          </w:p>
        </w:tc>
        <w:tc>
          <w:tcPr>
            <w:tcW w:w="5800" w:type="dxa"/>
            <w:vAlign w:val="center"/>
          </w:tcPr>
          <w:p>
            <w:pPr>
              <w:spacing w:after="45" w:before="35"/>
            </w:pPr>
            <w:r>
              <w:rPr>
                <w:color w:val="243746"/>
                <w:sz w:val="16"/>
              </w:rPr>
              <w:t xml:space="preserve">CE 88; Governance 108; Organizational Capacity 109; Development Activity 72.</w:t>
            </w:r>
          </w:p>
        </w:tc>
      </w:tr>
      <w:tr>
        <w:tc>
          <w:tcPr>
            <w:tcW w:w="3200" w:type="dxa"/>
            <w:vAlign w:val="center"/>
          </w:tcPr>
          <w:p>
            <w:pPr>
              <w:spacing w:after="45" w:before="35"/>
            </w:pPr>
            <w:r>
              <w:rPr>
                <w:color w:val="243746"/>
                <w:sz w:val="16"/>
              </w:rPr>
              <w:t xml:space="preserve">All four components eligible</w:t>
            </w:r>
          </w:p>
        </w:tc>
        <w:tc>
          <w:tcPr>
            <w:tcW w:w="5800" w:type="dxa"/>
            <w:vAlign w:val="center"/>
          </w:tcPr>
          <w:p>
            <w:pPr>
              <w:spacing w:after="45" w:before="35"/>
            </w:pPr>
            <w:r>
              <w:rPr>
                <w:color w:val="243746"/>
                <w:sz w:val="16"/>
              </w:rPr>
              <w:t xml:space="preserve">57 infrastructures; mean 74.54; range 46.90-91.52.</w:t>
            </w:r>
          </w:p>
        </w:tc>
      </w:tr>
      <w:tr>
        <w:tc>
          <w:tcPr>
            <w:tcW w:w="3200" w:type="dxa"/>
            <w:vAlign w:val="center"/>
          </w:tcPr>
          <w:p>
            <w:pPr>
              <w:spacing w:after="45" w:before="35"/>
            </w:pPr>
            <w:r>
              <w:rPr>
                <w:color w:val="243746"/>
                <w:sz w:val="16"/>
              </w:rPr>
              <w:t xml:space="preserve">All 112, missing components contribute zero</w:t>
            </w:r>
          </w:p>
        </w:tc>
        <w:tc>
          <w:tcPr>
            <w:tcW w:w="5800" w:type="dxa"/>
            <w:vAlign w:val="center"/>
          </w:tcPr>
          <w:p>
            <w:pPr>
              <w:spacing w:after="45" w:before="35"/>
            </w:pPr>
            <w:r>
              <w:rPr>
                <w:color w:val="243746"/>
                <w:sz w:val="16"/>
              </w:rPr>
              <w:t xml:space="preserve">Mean 61.46; range 18.91-91.52.</w:t>
            </w:r>
          </w:p>
        </w:tc>
      </w:tr>
      <w:tr>
        <w:tc>
          <w:tcPr>
            <w:tcW w:w="3200" w:type="dxa"/>
            <w:vAlign w:val="center"/>
          </w:tcPr>
          <w:p>
            <w:pPr>
              <w:spacing w:after="45" w:before="35"/>
            </w:pPr>
            <w:r>
              <w:rPr>
                <w:color w:val="243746"/>
                <w:sz w:val="16"/>
              </w:rPr>
              <w:t xml:space="preserve">Weighted-vs-equal, strict cohort</w:t>
            </w:r>
          </w:p>
        </w:tc>
        <w:tc>
          <w:tcPr>
            <w:tcW w:w="5800" w:type="dxa"/>
            <w:vAlign w:val="center"/>
          </w:tcPr>
          <w:p>
            <w:pPr>
              <w:spacing w:after="45" w:before="35"/>
            </w:pPr>
            <w:r>
              <w:rPr>
                <w:color w:val="243746"/>
                <w:sz w:val="16"/>
              </w:rPr>
              <w:t xml:space="preserve">53 entries scoreable under both; Spearman rho .966; top-10 overlap 10/10; weighted mean 75.18, equal mean 73.88.</w:t>
            </w:r>
          </w:p>
        </w:tc>
      </w:tr>
      <w:tr>
        <w:tc>
          <w:tcPr>
            <w:tcW w:w="3200" w:type="dxa"/>
            <w:vAlign w:val="center"/>
          </w:tcPr>
          <w:p>
            <w:pPr>
              <w:spacing w:after="45" w:before="35"/>
            </w:pPr>
            <w:r>
              <w:rPr>
                <w:color w:val="243746"/>
                <w:sz w:val="16"/>
              </w:rPr>
              <w:t xml:space="preserve">Weighted-vs-equal, all 112</w:t>
            </w:r>
          </w:p>
        </w:tc>
        <w:tc>
          <w:tcPr>
            <w:tcW w:w="5800" w:type="dxa"/>
            <w:vAlign w:val="center"/>
          </w:tcPr>
          <w:p>
            <w:pPr>
              <w:spacing w:after="45" w:before="35"/>
            </w:pPr>
            <w:r>
              <w:rPr>
                <w:color w:val="243746"/>
                <w:sz w:val="16"/>
              </w:rPr>
              <w:t xml:space="preserve">Spearman rho .9367; top-10 overlap 7/10; weighted mean 61.76, equal mean 61.46.</w:t>
            </w:r>
          </w:p>
        </w:tc>
      </w:tr>
    </w:tbl>
    <w:p>
      <w:pPr>
        <w:pStyle w:val="Heading2"/>
      </w:pPr>
      <w:r>
        <w:t xml:space="preserve">Component-level rank comparison on entries scoreable under both methods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3000" w:type="dxa"/>
            <w:shd w:fill="1F4E78"/>
            <w:vAlign w:val="center"/>
          </w:tcPr>
          <w:p>
            <w:pPr>
              <w:spacing w:after="45" w:before="35"/>
            </w:pPr>
            <w:r>
              <w:rPr>
                <w:b/>
                <w:color w:val="FFFFFF"/>
                <w:sz w:val="16"/>
              </w:rPr>
              <w:t xml:space="preserve">Component</w:t>
            </w:r>
          </w:p>
        </w:tc>
        <w:tc>
          <w:tcPr>
            <w:tcW w:w="1000" w:type="dxa"/>
            <w:shd w:fill="1F4E78"/>
            <w:vAlign w:val="center"/>
          </w:tcPr>
          <w:p>
            <w:pPr>
              <w:spacing w:after="45" w:before="35"/>
            </w:pPr>
            <w:r>
              <w:rPr>
                <w:b/>
                <w:color w:val="FFFFFF"/>
                <w:sz w:val="16"/>
              </w:rPr>
              <w:t xml:space="preserve">n</w:t>
            </w:r>
          </w:p>
        </w:tc>
        <w:tc>
          <w:tcPr>
            <w:tcW w:w="2300" w:type="dxa"/>
            <w:shd w:fill="1F4E78"/>
            <w:vAlign w:val="center"/>
          </w:tcPr>
          <w:p>
            <w:pPr>
              <w:spacing w:after="45" w:before="35"/>
            </w:pPr>
            <w:r>
              <w:rPr>
                <w:b/>
                <w:color w:val="FFFFFF"/>
                <w:sz w:val="16"/>
              </w:rPr>
              <w:t xml:space="preserve">Spearman rho</w:t>
            </w:r>
          </w:p>
        </w:tc>
        <w:tc>
          <w:tcPr>
            <w:tcW w:w="2700" w:type="dxa"/>
            <w:shd w:fill="1F4E78"/>
            <w:vAlign w:val="center"/>
          </w:tcPr>
          <w:p>
            <w:pPr>
              <w:spacing w:after="45" w:before="35"/>
            </w:pPr>
            <w:r>
              <w:rPr>
                <w:b/>
                <w:color w:val="FFFFFF"/>
                <w:sz w:val="16"/>
              </w:rPr>
              <w:t xml:space="preserve">Top-10 overlap</w:t>
            </w:r>
          </w:p>
        </w:tc>
      </w:tr>
      <w:tr>
        <w:tc>
          <w:tcPr>
            <w:tcW w:w="3000" w:type="dxa"/>
            <w:vAlign w:val="center"/>
          </w:tcPr>
          <w:p>
            <w:pPr>
              <w:spacing w:after="45" w:before="35"/>
            </w:pPr>
            <w:r>
              <w:rPr>
                <w:color w:val="243746"/>
                <w:sz w:val="16"/>
              </w:rPr>
              <w:t xml:space="preserve">Community Engagement</w:t>
            </w:r>
          </w:p>
        </w:tc>
        <w:tc>
          <w:tcPr>
            <w:tcW w:w="1000" w:type="dxa"/>
            <w:vAlign w:val="center"/>
          </w:tcPr>
          <w:p>
            <w:pPr>
              <w:spacing w:after="45" w:before="35"/>
            </w:pPr>
            <w:r>
              <w:rPr>
                <w:color w:val="243746"/>
                <w:sz w:val="16"/>
              </w:rPr>
              <w:t xml:space="preserve">83</w:t>
            </w:r>
          </w:p>
        </w:tc>
        <w:tc>
          <w:tcPr>
            <w:tcW w:w="2300" w:type="dxa"/>
            <w:vAlign w:val="center"/>
          </w:tcPr>
          <w:p>
            <w:pPr>
              <w:spacing w:after="45" w:before="35"/>
            </w:pPr>
            <w:r>
              <w:rPr>
                <w:color w:val="243746"/>
                <w:sz w:val="16"/>
              </w:rPr>
              <w:t xml:space="preserve">.9376</w:t>
            </w:r>
          </w:p>
        </w:tc>
        <w:tc>
          <w:tcPr>
            <w:tcW w:w="2700" w:type="dxa"/>
            <w:vAlign w:val="center"/>
          </w:tcPr>
          <w:p>
            <w:pPr>
              <w:spacing w:after="45" w:before="35"/>
            </w:pPr>
            <w:r>
              <w:rPr>
                <w:color w:val="243746"/>
                <w:sz w:val="16"/>
              </w:rPr>
              <w:t xml:space="preserve">8/10</w:t>
            </w:r>
          </w:p>
        </w:tc>
      </w:tr>
      <w:tr>
        <w:tc>
          <w:tcPr>
            <w:tcW w:w="3000" w:type="dxa"/>
            <w:vAlign w:val="center"/>
          </w:tcPr>
          <w:p>
            <w:pPr>
              <w:spacing w:after="45" w:before="35"/>
            </w:pPr>
            <w:r>
              <w:rPr>
                <w:color w:val="243746"/>
                <w:sz w:val="16"/>
              </w:rPr>
              <w:t xml:space="preserve">Governance Practices</w:t>
            </w:r>
          </w:p>
        </w:tc>
        <w:tc>
          <w:tcPr>
            <w:tcW w:w="1000" w:type="dxa"/>
            <w:vAlign w:val="center"/>
          </w:tcPr>
          <w:p>
            <w:pPr>
              <w:spacing w:after="45" w:before="35"/>
            </w:pPr>
            <w:r>
              <w:rPr>
                <w:color w:val="243746"/>
                <w:sz w:val="16"/>
              </w:rPr>
              <w:t xml:space="preserve">108</w:t>
            </w:r>
          </w:p>
        </w:tc>
        <w:tc>
          <w:tcPr>
            <w:tcW w:w="2300" w:type="dxa"/>
            <w:vAlign w:val="center"/>
          </w:tcPr>
          <w:p>
            <w:pPr>
              <w:spacing w:after="45" w:before="35"/>
            </w:pPr>
            <w:r>
              <w:rPr>
                <w:color w:val="243746"/>
                <w:sz w:val="16"/>
              </w:rPr>
              <w:t xml:space="preserve">.9741</w:t>
            </w:r>
          </w:p>
        </w:tc>
        <w:tc>
          <w:tcPr>
            <w:tcW w:w="2700" w:type="dxa"/>
            <w:vAlign w:val="center"/>
          </w:tcPr>
          <w:p>
            <w:pPr>
              <w:spacing w:after="45" w:before="35"/>
            </w:pPr>
            <w:r>
              <w:rPr>
                <w:color w:val="243746"/>
                <w:sz w:val="16"/>
              </w:rPr>
              <w:t xml:space="preserve">10/10</w:t>
            </w:r>
          </w:p>
        </w:tc>
      </w:tr>
      <w:tr>
        <w:tc>
          <w:tcPr>
            <w:tcW w:w="3000" w:type="dxa"/>
            <w:vAlign w:val="center"/>
          </w:tcPr>
          <w:p>
            <w:pPr>
              <w:spacing w:after="45" w:before="35"/>
            </w:pPr>
            <w:r>
              <w:rPr>
                <w:color w:val="243746"/>
                <w:sz w:val="16"/>
              </w:rPr>
              <w:t xml:space="preserve">Organizational Capacity</w:t>
            </w:r>
          </w:p>
        </w:tc>
        <w:tc>
          <w:tcPr>
            <w:tcW w:w="1000" w:type="dxa"/>
            <w:vAlign w:val="center"/>
          </w:tcPr>
          <w:p>
            <w:pPr>
              <w:spacing w:after="45" w:before="35"/>
            </w:pPr>
            <w:r>
              <w:rPr>
                <w:color w:val="243746"/>
                <w:sz w:val="16"/>
              </w:rPr>
              <w:t xml:space="preserve">108</w:t>
            </w:r>
          </w:p>
        </w:tc>
        <w:tc>
          <w:tcPr>
            <w:tcW w:w="2300" w:type="dxa"/>
            <w:vAlign w:val="center"/>
          </w:tcPr>
          <w:p>
            <w:pPr>
              <w:spacing w:after="45" w:before="35"/>
            </w:pPr>
            <w:r>
              <w:rPr>
                <w:color w:val="243746"/>
                <w:sz w:val="16"/>
              </w:rPr>
              <w:t xml:space="preserve">.9381</w:t>
            </w:r>
          </w:p>
        </w:tc>
        <w:tc>
          <w:tcPr>
            <w:tcW w:w="2700" w:type="dxa"/>
            <w:vAlign w:val="center"/>
          </w:tcPr>
          <w:p>
            <w:pPr>
              <w:spacing w:after="45" w:before="35"/>
            </w:pPr>
            <w:r>
              <w:rPr>
                <w:color w:val="243746"/>
                <w:sz w:val="16"/>
              </w:rPr>
              <w:t xml:space="preserve">9/10</w:t>
            </w:r>
          </w:p>
        </w:tc>
      </w:tr>
      <w:tr>
        <w:tc>
          <w:tcPr>
            <w:tcW w:w="3000" w:type="dxa"/>
            <w:vAlign w:val="center"/>
          </w:tcPr>
          <w:p>
            <w:pPr>
              <w:spacing w:after="45" w:before="35"/>
            </w:pPr>
            <w:r>
              <w:rPr>
                <w:color w:val="243746"/>
                <w:sz w:val="16"/>
              </w:rPr>
              <w:t xml:space="preserve">Development Activity</w:t>
            </w:r>
          </w:p>
        </w:tc>
        <w:tc>
          <w:tcPr>
            <w:tcW w:w="1000" w:type="dxa"/>
            <w:vAlign w:val="center"/>
          </w:tcPr>
          <w:p>
            <w:pPr>
              <w:spacing w:after="45" w:before="35"/>
            </w:pPr>
            <w:r>
              <w:rPr>
                <w:color w:val="243746"/>
                <w:sz w:val="16"/>
              </w:rPr>
              <w:t xml:space="preserve">72</w:t>
            </w:r>
          </w:p>
        </w:tc>
        <w:tc>
          <w:tcPr>
            <w:tcW w:w="2300" w:type="dxa"/>
            <w:vAlign w:val="center"/>
          </w:tcPr>
          <w:p>
            <w:pPr>
              <w:spacing w:after="45" w:before="35"/>
            </w:pPr>
            <w:r>
              <w:rPr>
                <w:color w:val="243746"/>
                <w:sz w:val="16"/>
              </w:rPr>
              <w:t xml:space="preserve">.9763</w:t>
            </w:r>
          </w:p>
        </w:tc>
        <w:tc>
          <w:tcPr>
            <w:tcW w:w="2700" w:type="dxa"/>
            <w:vAlign w:val="center"/>
          </w:tcPr>
          <w:p>
            <w:pPr>
              <w:spacing w:after="45" w:before="35"/>
            </w:pPr>
            <w:r>
              <w:rPr>
                <w:color w:val="243746"/>
                <w:sz w:val="16"/>
              </w:rPr>
              <w:t xml:space="preserve">8/10</w:t>
            </w:r>
          </w:p>
        </w:tc>
      </w:tr>
    </w:tbl>
    <w:p>
      <w:pPr>
        <w:pStyle w:val="Heading2"/>
      </w:pPr>
      <w:r>
        <w:t xml:space="preserve">Reading these results</w:t>
      </w:r>
    </w:p>
    <w:p>
      <w:pPr>
        <w:pStyle w:val="Normal"/>
      </w:pPr>
      <w:r>
        <w:t xml:space="preserve">The high strict-cohort rank correlation and 10/10 top-ten overlap indicate substantial agreement at the top of the combined ranking, while the score mean shifts from 75.18 to 73.88. Component results still move: equal shares particularly alter Organizational Capacity and Community Engagement scores. Correlation is rank agreement, not proof that either weighting is objectively correct. Report score differences, rank movement, and coverage rather than using correlation alone.</w:t>
      </w:r>
    </w:p>
    <w:p>
      <w:pPr>
        <w:pStyle w:val="Heading2"/>
      </w:pPr>
      <w:r>
        <w:t xml:space="preserve">Reviewer-ready justification</w:t>
      </w:r>
    </w:p>
    <w:p>
      <w:pPr>
        <w:pStyle w:val="Normal"/>
      </w:pPr>
      <w:r>
        <w:t xml:space="preserve">“We report equal metric weighting as a transparent alternative specification. Within each component, each scored and applicable indicator receives the same share; the four components remain equally weighted at 25%. This isolates the effect of within-component weighting while retaining the existing evidence definitions and coverage safeguards. We compare it with the prior weighted specification on common eligible records and publish component scores, missingness, and rank-stability statistics. Equal weighting is a design choice, not an empirically proven universal optimum.”</w:t>
      </w:r>
    </w:p>
    <w:p>
      <w:pPr>
        <w:pStyle w:val="Heading2"/>
      </w:pPr>
      <w:r>
        <w:t xml:space="preserve">Limitations and reproducibility</w:t>
      </w:r>
    </w:p>
    <w:p>
      <w:pPr>
        <w:pStyle w:val="Normal"/>
      </w:pPr>
      <w:r>
        <w:t xml:space="preserve">Equal weights do not eliminate judgment: metric selection, scale anchors, applicability, minimum coverage, and zero-coded blanks still matter. The measures have different reliability and construct scope; a metric-count average gives a short, indirect indicator the same nominal share as a broader measure. Repository activity omits work on other platforms and non-code contributions. For reproduction, use the component source sheets named in the workbook, the Equal Metric Scores sheet for per-metric values and component recalculations, Equal Metric Comparison for rank statistics, and Equal Metric Ranking / Equal Metric All 112 for results. Do not mix the strict complete-case ranking with the all-112 zero-filled ranking.</w:t>
      </w:r>
    </w:p>
    <w:p>
      <w:pPr>
        <w:pStyle w:val="Heading2"/>
      </w:pPr>
      <w:r>
        <w:t xml:space="preserve">References</w:t>
      </w:r>
    </w:p>
    <w:p>
      <w:pPr>
        <w:pStyle w:val="Normal"/>
      </w:pPr>
      <w:r>
        <w:t xml:space="preserve">[1] OECD, European Union, &amp; European Commission Joint Research Centre. (2008). Handbook on Constructing Composite Indicators: Methodology and User Guide. OECD Publishing. https://doi.org/10.1787/9789264043466-en</w:t>
      </w:r>
    </w:p>
    <w:p>
      <w:pPr>
        <w:pStyle w:val="Normal"/>
      </w:pPr>
      <w:r>
        <w:t xml:space="preserve">[2] Goggins, S., Lumbard, K., &amp; Germonprez, M. (2021). Open Source Community Health: Analytical Metrics and Their Corresponding Narratives. IEEE/ACM SoHeal. https://doi.org/10.1109/SoHeal52568.2021.00010</w:t>
      </w:r>
    </w:p>
    <w:p>
      <w:pPr>
        <w:pStyle w:val="Normal"/>
      </w:pPr>
      <w:r>
        <w:t xml:space="preserve">[3] Yin, L., Chakraborti, M., Yan, Y., Schweik, C., Frey, S., &amp; Filkov, V. (2022). Open Source Software Sustainability: Combining Institutional Analysis and Socio-Technical Networks. Proceedings of the ACM on Human-Computer Interaction, 6(CSCW2), Article 404. https://doi.org/10.1145/3555129</w:t>
      </w:r>
    </w:p>
    <w:p>
      <w:pPr>
        <w:pStyle w:val="Normal"/>
      </w:pPr>
      <w:r>
        <w:t xml:space="preserve">[4] CHAOSS Project. CHAOSS Metrics. https://chaoss.community/metrics/</w:t>
      </w:r>
    </w:p>
    <w:sectPr>
      <w:pgSz w:w="12240" w:h="15840"/>
      <w:pgMar w:top="620" w:right="650" w:bottom="620" w:left="650" w:header="300" w:footer="300"/>
    </w:sectPr>
  </w:body>
</w:document>
</file>

<file path=word/styles.xml><?xml version="1.0" encoding="utf-8"?>
<w:styles xmlns:w="http://schemas.openxmlformats.org/wordprocessingml/2006/main">
  <w:docDefaults>
    <w:rPrDefault>
      <w:rPr>
        <w:rFonts w:ascii="Aptos" w:hAnsi="Aptos"/>
        <w:sz w:val="18"/>
        <w:color w:val="243746"/>
      </w:rPr>
    </w:rPrDefault>
    <w:pPrDefault>
      <w:pPr>
        <w:spacing w:after="75" w:line="215" w:lineRule="auto"/>
      </w:pPr>
    </w:pPrDefault>
  </w:docDefaults>
  <w:style w:type="paragraph" w:default="1" w:styleId="Normal">
    <w:name w:val="Normal"/>
  </w:style>
  <w:style w:type="paragraph" w:styleId="Heading1">
    <w:name w:val="heading 1"/>
    <w:basedOn w:val="Normal"/>
    <w:pPr>
      <w:keepNext/>
      <w:spacing w:after="80"/>
    </w:pPr>
    <w:rPr>
      <w:rFonts w:ascii="Aptos Display" w:hAnsi="Aptos Display"/>
      <w:b/>
      <w:color w:val="1F4E78"/>
      <w:sz w:val="27"/>
    </w:rPr>
  </w:style>
  <w:style w:type="paragraph" w:styleId="Heading2">
    <w:name w:val="heading 2"/>
    <w:basedOn w:val="Normal"/>
    <w:pPr>
      <w:keepNext/>
      <w:spacing w:before="65" w:after="40"/>
    </w:pPr>
    <w:rPr>
      <w:b/>
      <w:color w:val="1F4E78"/>
      <w:sz w:val="20"/>
    </w:rPr>
  </w:style>
  <w:style w:type="paragraph" w:styleId="Subtitle">
    <w:name w:val="Subtitle"/>
    <w:basedOn w:val="Normal"/>
    <w:pPr>
      <w:spacing w:after="130"/>
    </w:pPr>
    <w:rPr>
      <w:color w:val="58717F"/>
      <w:sz w:val="16"/>
    </w:rPr>
  </w:style>
  <w:style w:type="table" w:styleId="GridTable">
    <w:name w:val="Grid Table"/>
  </w:style>
</w:styles>
</file>