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0A1F44"/>
          <w:spacing w:val="60"/>
          <w:sz w:val="40"/>
          <w:szCs w:val="40"/>
        </w:rPr>
        <w:t xml:space="preserve">SLR ADVOCATES &amp; SOLICITORS</w:t>
      </w:r>
    </w:p>
    <w:p>
      <w:pPr>
        <w:spacing w:after="60" w:before="0"/>
        <w:jc w:val="center"/>
      </w:pPr>
      <w:r>
        <w:rPr>
          <w:i/>
          <w:iCs/>
          <w:color w:val="B08D57"/>
          <w:sz w:val="26"/>
          <w:szCs w:val="26"/>
        </w:rPr>
        <w:t xml:space="preserve">SLR Centre for Global Law, Geoeconomics &amp; Emerging Technologies</w:t>
      </w:r>
    </w:p>
    <w:p>
      <w:pPr>
        <w:pBdr>
          <w:bottom w:val="single" w:color="B08D57" w:sz="10" w:space="2"/>
        </w:pBdr>
        <w:spacing w:after="0" w:before="0"/>
      </w:pPr>
    </w:p>
    <w:p>
      <w:pPr>
        <w:spacing w:after="0" w:before="60"/>
      </w:pPr>
    </w:p>
    <w:p>
      <w:pPr>
        <w:spacing w:after="40" w:before="60"/>
        <w:jc w:val="center"/>
      </w:pPr>
      <w:r>
        <w:rPr>
          <w:b/>
          <w:bCs/>
          <w:color w:val="0A1F44"/>
          <w:spacing w:val="50"/>
          <w:sz w:val="32"/>
          <w:szCs w:val="32"/>
        </w:rPr>
        <w:t xml:space="preserve">WEBSITE DESIGN DOCUMENT</w:t>
      </w:r>
    </w:p>
    <w:p>
      <w:pPr>
        <w:spacing w:after="60" w:before="0"/>
        <w:jc w:val="center"/>
      </w:pPr>
      <w:r>
        <w:rPr>
          <w:color w:val="555F6E"/>
          <w:sz w:val="20"/>
          <w:szCs w:val="20"/>
        </w:rPr>
        <w:t xml:space="preserve">Visual Language · UX Architecture · Page Specifications · Component Library</w:t>
      </w:r>
    </w:p>
    <w:p>
      <w:pPr>
        <w:spacing w:after="600" w:before="0"/>
        <w:jc w:val="center"/>
      </w:pPr>
      <w:r>
        <w:rPr>
          <w:i/>
          <w:iCs/>
          <w:color w:val="555F6E"/>
          <w:sz w:val="20"/>
          <w:szCs w:val="20"/>
        </w:rPr>
        <w:t xml:space="preserve">Version 2.0  ·  September 2026  ·  Confidential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Website Design Specification &amp; Reference Document</w:t>
            </w:r>
          </w:p>
        </w:tc>
      </w:tr>
      <w:tr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SLR Global / SLR Advocates &amp; Solicitors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Design References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A&amp;O Shearman (aoshearman.com)  ·  CFR (cfr.org)  ·  MitKat Advisory (mitkatadvisory.com)</w:t>
            </w:r>
          </w:p>
        </w:tc>
      </w:tr>
      <w:tr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Design &amp; Development Team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Brand colours · Typography · Grid · Components · All page layouts · UX patterns · Functional specs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1. Reference Site Analysis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defining the SLR design system, three benchmark websites were reviewed to identify best-in-class patterns for institutional think tanks, global law firms, and geopolitical advisory organisations. The SLR design synthesises the strongest elements from each.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1.1  A&amp;O Shearman  ·  aoshearman.com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WHAT IT DOES WELL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Mega-menu navigation with grouped expertise categories — allows deep content hierarchies without clutter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Strong editorial photography across hero and insight cards — signals prestige and global reach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White-dominant surface with minimal accent colour — content breathes; gold/green used only for emphasis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Insights collection architecture: featured + collections + latest — mirrors what SLR needs for research publications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'Global coverage' section with clickable regional anchors — directly applicable to SLR's Geographies section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Consistent insight card format: category label + headline + CTA — scannable and authoritative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ADAPT FOR SLR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Replace their green accent with SLR's Burnished Gold (#B08D57)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Use their mega-menu pattern for SLR's Areas of Focus and Sectors nav items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Mirror their insights card grid structure for the SLR research/publications feed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1.2  Council on Foreign Relations  ·  cfr.org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WHAT IT DOES WELL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News-magazine density on homepage: featured hero + thematic clusters + latest content grid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Thematic content clusters (e.g. 'Iran War Ripple Effect', 'Navigating the AI Moment') group research by live issues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Content type labelling: 'Expert Take', 'Report', 'Podcast' — helps users navigate diverse output formats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Publication-first architecture: research reports have dedicated landing pages with executive summaries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Strong newsletter/email capture placement: footer and in-content prompts without being intrusive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Events module integrated into homepage — reinforces the convening authority of the Centre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ADAPT FOR SLR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Use CFR's thematic cluster approach for SLR's priority areas on homepage (each cluster = one Area of Focus)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Mirror their content-type badge system: 'Report', 'Intelligence Brief', 'Policy Paper', 'Strategic Brief'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Adopt their newsletter placement strategy: end of homepage sections + footer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Use their events card format for SLR's Roundtables &amp; Dialogues section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1.3  MitKat Advisory  ·  mitkatadvisory.com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WHAT IT DOES WELL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Opening hero with bold mission line: 'Intelligence, Risk and Resilience' — declarative, not descriptive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Proof-points stats block: '9/10 top US investment banks', '6/10 largest tech companies' — builds instant credibility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Service taxonomy clearly separated: Product / Consulting / Resourcing — maps well to SLR's Research/Intelligence/Advisory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India-anchored global positioning — directly relevant to SLR Centre's primary geographic anchor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Persistent 'Get in Touch' CTA in navigation — conversion-oriented, never out of reach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Testimonials carousel with named client organisations — powerful for an advisory audience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ADAPT FOR SLR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Use MitKat's declarative hero approach: one bold mission statement, not a paragraph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Adapt their stats block for SLR: number of geographies tracked, research publications, sectors covered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Mirror their persistent nav CTA: 'Engage the Centre' button always visible in top-right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Consider a testimonials / notable engagements section — positions Centre credibility concretely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1.4  Design Synthesis: SLR Positioning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A&amp;O Shearman</w:t>
            </w:r>
          </w:p>
        </w:tc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CFR</w:t>
            </w:r>
          </w:p>
        </w:tc>
        <w:tc>
          <w:tcPr>
            <w:tcW w:type="dxa" w:w="24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SLR (Adopt)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Navigation pattern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Mega-menu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top-nav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Mega-menu (A&amp;O model)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 density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Sparse, editorial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News-magazine, dense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Medium: editorial + thematic clusters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Research presentation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grid, category tags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pages, type labels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Both: cards + full landing pages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Credibility signals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names, deal volume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Expert profiles, media citations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Stats block + notable engagements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CTA strategy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Subtle, in-content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Newsletter, membership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nav CTA + newsletter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Colour feel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White + green accent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White + navy + photo-led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Ivory + Midnight Navy + Gold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2. Official Brand Colour System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colours are sourced directly from the SLR Advocates &amp; Solicitors Website Colour Palette Guide. These are the authoritative values — all design decisions, component specs, and developer tokens must use these exact hex codes.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2.1  Primary Colours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These four colours carry the visual identity of SLR. Midnight Navy and Burnished Gold are the defining combination — navy for structure and authority, gold used sparingly for elegance and distinction.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500"/>
        <w:gridCol w:w="2200"/>
        <w:gridCol w:w="2500"/>
      </w:tblGrid>
      <w:tr>
        <w:trPr>
          <w:tblHeader/>
        </w:trPr>
        <w:tc>
          <w:tcPr>
            <w:tcW w:type="dxa" w:w="1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Brand Function</w:t>
            </w:r>
          </w:p>
        </w:tc>
      </w:tr>
      <w:tr>
        <w:tc>
          <w:tcPr>
            <w:tcW w:type="dxa" w:w="1200"/>
            <w:shd w:fill="0A1F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#0A1F44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Midnight Navy (Primary)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#0A1F44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 typography, headings, key elements, nav bar, hero backgrounds, footer</w:t>
            </w:r>
          </w:p>
        </w:tc>
        <w:tc>
          <w:tcPr>
            <w:tcW w:type="dxa" w:w="2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Authority, trust, integrity, professionalism</w:t>
            </w:r>
          </w:p>
        </w:tc>
      </w:tr>
      <w:tr>
        <w:tc>
          <w:tcPr>
            <w:tcW w:type="dxa" w:w="1200"/>
            <w:shd w:fill="3B50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#3B506E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Slate Blue (Secondary)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#3B506E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 elements, subtle backgrounds, borders, button hover states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Stability, calm, reliability</w:t>
            </w:r>
          </w:p>
        </w:tc>
      </w:tr>
      <w:tr>
        <w:tc>
          <w:tcPr>
            <w:tcW w:type="dxa" w:w="1200"/>
            <w:shd w:fill="B08D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#B08D57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Burnished Gold (Accent)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#B08D57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Accents, fine lines, dividers, highlights, icons — USE SPARINGLY</w:t>
            </w:r>
          </w:p>
        </w:tc>
        <w:tc>
          <w:tcPr>
            <w:tcW w:type="dxa" w:w="2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Elegance, prestige, distinction. Overuse dilutes impact.</w:t>
            </w:r>
          </w:p>
        </w:tc>
      </w:tr>
      <w:tr>
        <w:tc>
          <w:tcPr>
            <w:tcW w:type="dxa" w:w="1200"/>
            <w:shd w:fill="E8E3D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#E8E3D8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Warm Ivory (Background)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#F8F7F3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Website background, alternating page sections, print materials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Warmth, clarity, clean neutral foundation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2.2  Supporting Colours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Supporting colours complement the primary palette. Deep Forest and Burgundy are used as secondary and tertiary accents respectively — for charts, callouts, alerts, and visual differentiation in data-heavy sections.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500"/>
        <w:gridCol w:w="2200"/>
        <w:gridCol w:w="2500"/>
      </w:tblGrid>
      <w:tr>
        <w:trPr>
          <w:tblHeader/>
        </w:trPr>
        <w:tc>
          <w:tcPr>
            <w:tcW w:type="dxa" w:w="1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 Notes</w:t>
            </w:r>
          </w:p>
        </w:tc>
      </w:tr>
      <w:tr>
        <w:tc>
          <w:tcPr>
            <w:tcW w:type="dxa" w:w="1200"/>
            <w:shd w:fill="22222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#222222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Charcoal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#222222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body text, paragraphs, icons, dark UI elements</w:t>
            </w:r>
          </w:p>
        </w:tc>
        <w:tc>
          <w:tcPr>
            <w:tcW w:type="dxa" w:w="2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Default text colour — never pure black</w:t>
            </w:r>
          </w:p>
        </w:tc>
      </w:tr>
      <w:tr>
        <w:tc>
          <w:tcPr>
            <w:tcW w:type="dxa" w:w="1200"/>
            <w:shd w:fill="D8D8D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#D8D8DB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Soft Grey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#D8D8DB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Borders, dividers, subtle backgrounds, disabled states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borders, input underlines, horizontal rules</w:t>
            </w:r>
          </w:p>
        </w:tc>
      </w:tr>
      <w:tr>
        <w:tc>
          <w:tcPr>
            <w:tcW w:type="dxa" w:w="1200"/>
            <w:shd w:fill="EEEE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#EEEEEE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Cards, content areas, contrasts, clean spaces</w:t>
            </w:r>
          </w:p>
        </w:tc>
        <w:tc>
          <w:tcPr>
            <w:tcW w:type="dxa" w:w="2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Panel and card surface colour</w:t>
            </w:r>
          </w:p>
        </w:tc>
      </w:tr>
      <w:tr>
        <w:tc>
          <w:tcPr>
            <w:tcW w:type="dxa" w:w="1200"/>
            <w:shd w:fill="2E5E3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#2E5E3E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Deep Forest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#2E5E3E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 accent, chart highlights, visual balance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Energy &amp; Climate sector colour, chart series 2</w:t>
            </w:r>
          </w:p>
        </w:tc>
      </w:tr>
      <w:tr>
        <w:tc>
          <w:tcPr>
            <w:tcW w:type="dxa" w:w="1200"/>
            <w:shd w:fill="7A1E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#7A1E2E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Burgundy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#7A1E2E</w:t>
            </w:r>
          </w:p>
        </w:tc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Tertiary accent, alerts, emphasis, call-outs</w:t>
            </w:r>
          </w:p>
        </w:tc>
        <w:tc>
          <w:tcPr>
            <w:tcW w:type="dxa" w:w="2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Warning states, critical alerts, emphasis tags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2.3  Colour Usage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 Application</w:t>
            </w:r>
          </w:p>
        </w:tc>
        <w:tc>
          <w:tcPr>
            <w:tcW w:type="dxa" w:w="3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Common Violation to Avoid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Navy dominates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Navy as primary surface and text colour on dark sections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use Slate Blue where Navy was intended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 is sparingly used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1–3 gold elements per page section maximum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fill buttons, large areas, or backgrounds with gold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Ivory as base, not White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 page background is #F8F7F3 Warm Ivory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use pure white (#FFFFFF) for page background — only for card surfaces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 contrast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Body text Charcoal on Ivory: ratio ≥7:1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place Burnished Gold text on Ivory — insufficient contrast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Forest and Burgundy as data only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Reserve for charts, sector differentiation, alert badges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use in primary navigation, main headings, or hero sections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Sector colour mapping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Each sector may optionally carry a unique supporting colour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invent new colours — draw from the 9-colour palette only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2.4  Sector-to-Colour Mapping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To visually differentiate the seven priority sectors on hub pages and tag badges, each is assigned a colour from the supporting palette. These are used only for small accent elements (left border of cards, badge fills, chart series).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rPr>
          <w:tblHeader/>
        </w:trPr>
        <w:tc>
          <w:tcPr>
            <w:tcW w:type="dxa" w:w="3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 Sector</w:t>
            </w:r>
          </w:p>
        </w:tc>
        <w:tc>
          <w:tcPr>
            <w:tcW w:type="dxa" w:w="2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Assigned Colour</w:t>
            </w:r>
          </w:p>
        </w:tc>
        <w:tc>
          <w:tcPr>
            <w:tcW w:type="dxa" w:w="2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Defence &amp; Homeland Security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Midnight Navy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#0A1F44</w:t>
            </w:r>
          </w:p>
        </w:tc>
      </w:tr>
      <w:tr>
        <w:tc>
          <w:tcPr>
            <w:tcW w:type="dxa" w:w="3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Pharmaceuticals &amp; Healthcare</w:t>
            </w:r>
          </w:p>
        </w:tc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Slate Blue</w:t>
            </w:r>
          </w:p>
        </w:tc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#3B506E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Energy &amp; Climate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Deep Forest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#2E5E3E</w:t>
            </w:r>
          </w:p>
        </w:tc>
      </w:tr>
      <w:tr>
        <w:tc>
          <w:tcPr>
            <w:tcW w:type="dxa" w:w="3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Technology &amp; AI</w:t>
            </w:r>
          </w:p>
        </w:tc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Burnished Gold</w:t>
            </w:r>
          </w:p>
        </w:tc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#B08D57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Charcoal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#222222</w:t>
            </w:r>
          </w:p>
        </w:tc>
      </w:tr>
      <w:tr>
        <w:tc>
          <w:tcPr>
            <w:tcW w:type="dxa" w:w="3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Infrastructure &amp; Connectivity</w:t>
            </w:r>
          </w:p>
        </w:tc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Soft Grey (with Navy text)</w:t>
            </w:r>
          </w:p>
        </w:tc>
        <w:tc>
          <w:tcPr>
            <w:tcW w:type="dxa" w:w="2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#D8D8DB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Electronics &amp; Semiconductors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Burgundy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#7A1E2E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3. Typography System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SLR uses a two-family type system: Playfair Display (serif) for all display headings to signal intellectual authority and editorial character; Inter (sans-serif) for all body, navigation, and UI text to ensure readability and digital clarity.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3.1  Font Families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Playfair Display — Google Fonts (free) — weights: 600 SemiBold, 700 Bold · load only these two weights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Inter — Google Fonts (free) — weights: 400 Regular, 500 Medium, 600 SemiBold, 700 Bold · load all four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Fallback stack: Playfair Display → 'Georgia', serif  ·  Inter → 'Helvetica Neue', Arial, sans-serif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3.2  Type Scale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700"/>
        <w:gridCol w:w="2000"/>
      </w:tblGrid>
      <w:tr>
        <w:trPr>
          <w:tblHeader/>
        </w:trPr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7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Desktop Size</w:t>
            </w:r>
          </w:p>
        </w:tc>
        <w:tc>
          <w:tcPr>
            <w:tcW w:type="dxa" w:w="20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Mobile Size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Display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Bold 700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56–72px / 1.1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32–40px / 1.15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H1 — Page Title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Bold 700</w:t>
            </w:r>
          </w:p>
        </w:tc>
        <w:tc>
          <w:tcPr>
            <w:tcW w:type="dxa" w:w="1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40px / 1.2</w:t>
            </w:r>
          </w:p>
        </w:tc>
        <w:tc>
          <w:tcPr>
            <w:tcW w:type="dxa" w:w="2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28px / 1.25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H2 — Section Title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30px / 1.3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22px / 1.3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H3 — Sub-section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20px / 1.4</w:t>
            </w:r>
          </w:p>
        </w:tc>
        <w:tc>
          <w:tcPr>
            <w:tcW w:type="dxa" w:w="2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18px / 1.4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Body Copy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16px / 1.75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16px / 1.7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Lead Paragraph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18px / 1.65</w:t>
            </w:r>
          </w:p>
        </w:tc>
        <w:tc>
          <w:tcPr>
            <w:tcW w:type="dxa" w:w="2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17px / 1.65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Navigation Items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 500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14px / tracked +0.04em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16px (hamburger)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Eyebrow / Label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Bold 700 CAPS</w:t>
            </w:r>
          </w:p>
        </w:tc>
        <w:tc>
          <w:tcPr>
            <w:tcW w:type="dxa" w:w="1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11px / tracked +0.12em</w:t>
            </w:r>
          </w:p>
        </w:tc>
        <w:tc>
          <w:tcPr>
            <w:tcW w:type="dxa" w:w="2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11px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13px / 1.5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CTA Button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1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14px / tracked +0.06em</w:t>
            </w:r>
          </w:p>
        </w:tc>
        <w:tc>
          <w:tcPr>
            <w:tcW w:type="dxa" w:w="2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Pull Quote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SemiBold 600 italic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22–26px / 1.45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18px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3.3  Typographic Rules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Headings in Playfair: always colour Midnight Navy (#0A1F44); never in gold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Eyebrow labels: ALL CAPS, Burnished Gold (#B08D57), letter-spacing 0.12em — used above section titles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Paragraph max-width: 68 characters (approx 640px) for comfortable reading — never full column width on large screens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Pull quotes: Playfair italic, left-bordered in gold, indented — used on About, Area sub-pages, and research landing pages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Numbers in stats blocks: Playfair Display Bold 56–72px, Midnight Navy — large, impactful (MitKat-inspired)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4. Grid, Spacing &amp; Layout</w:t>
      </w:r>
    </w:p>
    <w:p>
      <w:pPr>
        <w:pStyle w:val="Heading2"/>
        <w:spacing w:after="120" w:before="320"/>
      </w:pPr>
      <w:r>
        <w:t xml:space="preserve">4.1  Grid System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Column system: 12 columns, max-content-width 1280px, gutter 24px, outer padding 64px (desktop) / 20px (mobile)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Container max-width: 1280px — centred within viewport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Full-bleed sections (hero, CTA banners): 100vw width, content contained at 1280px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Base unit: 8px — all margins, padding, gaps are multiples of 8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4.2  Spacing Scale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rPr>
          <w:tblHeader/>
        </w:trPr>
        <w:tc>
          <w:tcPr>
            <w:tcW w:type="dxa" w:w="1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0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8px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Micro gaps: icon margins, input padding, badge padding</w:t>
            </w:r>
          </w:p>
        </w:tc>
      </w:tr>
      <w:tr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spacing-2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16px</w:t>
            </w:r>
          </w:p>
        </w:tc>
        <w:tc>
          <w:tcPr>
            <w:tcW w:type="dxa" w:w="6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Small: paragraph spacing, list item gaps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spacing-3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24px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Medium: card internal padding, button padding horizontal</w:t>
            </w:r>
          </w:p>
        </w:tc>
      </w:tr>
      <w:tr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spacing-4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32px</w:t>
            </w:r>
          </w:p>
        </w:tc>
        <w:tc>
          <w:tcPr>
            <w:tcW w:type="dxa" w:w="6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 padding desktop, grid gap on mobile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48px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padding mobile, card stack gaps</w:t>
            </w:r>
          </w:p>
        </w:tc>
      </w:tr>
      <w:tr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spacing-8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64px</w:t>
            </w:r>
          </w:p>
        </w:tc>
        <w:tc>
          <w:tcPr>
            <w:tcW w:type="dxa" w:w="6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padding tablet, element group separation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spacing-10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80px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padding desktop standard</w:t>
            </w:r>
          </w:p>
        </w:tc>
      </w:tr>
      <w:tr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spacing-15</w:t>
            </w:r>
          </w:p>
        </w:tc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120px</w:t>
            </w:r>
          </w:p>
        </w:tc>
        <w:tc>
          <w:tcPr>
            <w:tcW w:type="dxa" w:w="6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 sections, major top/bottom padding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4.3  Responsive Breakpoints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rPr>
          <w:tblHeader/>
        </w:trPr>
        <w:tc>
          <w:tcPr>
            <w:tcW w:type="dxa" w:w="15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57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375px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 column, 16px outer margin, font scales down 10%</w:t>
            </w:r>
          </w:p>
        </w:tc>
      </w:tr>
      <w:tr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 column, 20px outer margin, hamburger nav, stacked CTAs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2-column max, 32px outer margin, condensed nav bar (still horizontal)</w:t>
            </w:r>
          </w:p>
        </w:tc>
      </w:tr>
      <w:tr>
        <w:tc>
          <w:tcPr>
            <w:tcW w:type="dxa" w:w="15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Laptop</w:t>
            </w:r>
          </w:p>
        </w:tc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57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layout with minor compression, full nav, 2–3 column grids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1280px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12-column layout, max-width 1280px, all features fully visible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5. UI Component Library</w:t>
      </w:r>
    </w:p>
    <w:p>
      <w:pPr>
        <w:pStyle w:val="Heading2"/>
        <w:spacing w:after="120" w:before="320"/>
      </w:pPr>
      <w:r>
        <w:t xml:space="preserve">5.1  Navigation Bar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Reference: A&amp;O Shearman mega-menu + MitKat's persistent CTA button. The nav is sticky on scroll. On desktop it carries the logo left, nav items centre, and two action buttons right.</w:t>
      </w:r>
    </w:p>
    <w:p>
      <w:pPr>
        <w:spacing w:after="0" w:before="6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STRUCTURE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Height: 72px desktop / 56px mobile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Background: Midnight Navy (#0A1F44) — always, no scroll transparency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Logo: SLR SVG mark, white, left-aligned, links to homepage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Nav items (desktop): Areas of Focus · Sectors · What We Do · Geographies · Insights — each with dropdown caret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Right side: 'About' (text link, white) · 'Engage the Centre' (gold-bordered button, white text)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MEGA-MENU (HOVER/CLICK ON NAV ITEM — A&amp;O PATTERN)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Full-width dropdown panel: Midnight Navy background, 3-column grid of links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Left column: top-level section description (Playfair italic, white, 18px)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Middle + Right: sub-page links in Inter 14px, white, with gold hover underline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Bottom of dropdown: featured insight card (dark card, gold left border)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Animation: 200ms ease-in fade + 8px downward shift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MOBILE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Hamburger icon right, logo left, 'Engage' button hidden (moved to top of mobile drawer)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Drawer: full-width, Midnight Navy, animated slide-in from right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Accordion items expand on tap to reveal sub-items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5.2  Hero Variants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VARIANT A — FULL-VIEWPORT DARK HERO (HOMEPAGE)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Height: 100vh, background Midnight Navy, subtle animated globe/map pattern (SVG, 8% opacity gold)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Content centred, vertically centred: eyebrow label → headline → sub-headline → 2 CTA buttons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Scroll-cue: animated gold chevron at bottom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Optional: faint photographic overlay (world map, judicial architecture) at 20% opacity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VARIANT B — PAGE HERO (INNER PAGES)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Height: 40vh min (280px), Midnight Navy background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Content left-aligned within container: breadcrumb → page title (Playfair 40px white) → lead paragraph (18px, soft grey)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Right 40% of hero: abstract geometric SVG (gold lines, low opacity)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VARIANT C — INSIGHT ARTICLE HERO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Height: 50vh, full-bleed photographic background, 60% dark gradient overlay (navy → transparent)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Content in bottom-left: category badge → title (Playfair 36px white) → author + date (Inter 13px, soft grey)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5.3  Buttons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rPr>
          <w:tblHeader/>
        </w:trPr>
        <w:tc>
          <w:tcPr>
            <w:tcW w:type="dxa" w:w="1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4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4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24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Navy bg, white text, gold 2px border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 bg, navy text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 CTAs: hero, section closers, forms</w:t>
            </w:r>
          </w:p>
        </w:tc>
      </w:tr>
      <w:tr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Transparent, gold 2px border, gold text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 bg, navy text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Secondary CTAs alongside primary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Ghost / Text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border, navy text, gold underline on hover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 underline, slight opacity shift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In-text links, read more arrows</w:t>
            </w:r>
          </w:p>
        </w:tc>
      </w:tr>
      <w:tr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Nav CTA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 border, white text, in nav bar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Gold bg, navy text</w:t>
            </w:r>
          </w:p>
        </w:tc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Persistent 'Engage the Centre' in nav</w:t>
            </w:r>
          </w:p>
        </w:tc>
      </w:tr>
    </w:tbl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All buttons: border-radius 4px (sharp, institutional, not rounded), padding 12px 24px, letter-spacing 0.06em, height 44px (accessibility minimum touch target). Transition: 180ms ease all.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5.4  Cards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INSIGHT CARD (CFR-INSPIRED)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Dimensions: 360px × auto, white background, 1px Soft Grey border, 4px border-radius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Top: 16:9 image (WebP, lazy-loaded), category badge overlay bottom-left (Midnight Navy pill, white text 11px caps)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Body: eyebrow type label in gold caps → H3 title (Playfair 18px navy) → 2-line excerpt (Inter 14px charcoal) → date + author meta (Inter 13px, mid-grey)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Footer: 'Read →' text link in gold, border-top in Soft Grey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Hover: box-shadow elevate (0 8px 24px rgba(10,31,68,0.12)), gold left border appears (4px, slides in)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SERVICE / OFFERING CARD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White card, gold icon (SVG, 40×40px), title H3 navy, 2-line description charcoal, 'Learn More →' gold link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Featured variant: navy background, white text, gold icon — used for primary offerings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GEOGRAPHY / CORRIDOR CARD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Compact card: region name in Playfair 16px navy, 2-line context in Inter 13px charcoal, 'Explore →' arrow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Background: subtle SVG map icon of region, 6% opacity, Midnight Navy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STATS BLOCK (MITKAT-INSPIRED)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Large Playfair Bold number (56px, navy) + label below (Inter 14px, Burnished Gold caps)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4-column grid on desktop, 2-column on mobile, ivory background, no card borders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5.5  Forms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Input fields: no visible box — only a 2px bottom border in Soft Grey (#D8D8DB)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Focus state: bottom border transitions to Burnished Gold (#B08D57), label floats upward (animated)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Label: Inter 12px, caps, Burnished Gold when active; Mid-Grey when inactive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Error: border + helper text in Burgundy (#7A1E2E)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Dropdowns: custom styled, matching input field style, gold chevron icon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Submit button: full-width Primary variant on mobile; auto-width on desktop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5.6  Content Badges &amp; Tags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Type badges (Research, Intelligence Brief, etc.): navy pill, white 11px Inter caps, 10px padding horizontal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Geography tags: Soft Grey pill, navy text — used on insight cards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Sector tags: sector colour left dot (4px circle) + sector name text — used in sidebars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Featured badge: gold fill, navy text — used on pinned/featured insight cards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6. Site Map &amp; Navigation Architecture</w:t>
      </w:r>
    </w:p>
    <w:p>
      <w:pPr>
        <w:pStyle w:val="Heading2"/>
        <w:spacing w:after="120" w:before="320"/>
      </w:pPr>
      <w:r>
        <w:t xml:space="preserve">6.1  Primary Navigation — Mega-menu Structure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7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Mega-menu Contents (sub-pages + featured)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Direct link, no dropdown</w:t>
            </w:r>
          </w:p>
        </w:tc>
      </w:tr>
      <w:tr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About</w:t>
            </w:r>
          </w:p>
        </w:tc>
        <w:tc>
          <w:tcPr>
            <w:tcW w:type="dxa" w:w="7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About the Centre · Mission &amp; Vision · SLR Ecosystem · [Featured: Centre Profile PDF]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Areas of Focus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01 Global Law &amp; Regulation · 02 Geoeconomics &amp; Strategic Affairs · 03 Global Finance &amp; Investment · 04 Energy &amp; Energy Transitions · 05 Emerging Technologies &amp; Governance · [Featured: latest research in this area]</w:t>
            </w:r>
          </w:p>
        </w:tc>
      </w:tr>
      <w:tr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Sectors</w:t>
            </w:r>
          </w:p>
        </w:tc>
        <w:tc>
          <w:tcPr>
            <w:tcW w:type="dxa" w:w="7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Defence &amp; Homeland Security · Pharmaceuticals &amp; Healthcare · Energy &amp; Climate · Technology &amp; AI · Financial Services · Infrastructure &amp; Connectivity · Electronics &amp; Semiconductors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We Do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Research &amp; Strategic Intelligence · Geopolitical &amp; Regulatory Intelligence · Executive Briefings · Executive Preparation · Closed-Door Roundtables · Policy Engagement · Market Entry Intelligence · Geoeconomic Risk Advisory · Scenario Planning · Bespoke Research · Knowledge Platforms</w:t>
            </w:r>
          </w:p>
        </w:tc>
      </w:tr>
      <w:tr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Geographies</w:t>
            </w:r>
          </w:p>
        </w:tc>
        <w:tc>
          <w:tcPr>
            <w:tcW w:type="dxa" w:w="7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India &amp; South Asia · Indo-Pacific &amp; East Asia · ASEAN &amp; Southeast Asia · Middle East &amp; Gulf · Europe &amp; Eurasia · North America · Africa · Latin America &amp; Caribbean · Strategic Corridors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Publications · Research Reports · Policy Papers · Intelligence Briefs · Outlooks · Working Papers · Strategic Briefs</w:t>
            </w:r>
          </w:p>
        </w:tc>
      </w:tr>
      <w:tr>
        <w:tc>
          <w:tcPr>
            <w:tcW w:type="dxa" w:w="1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Events</w:t>
            </w:r>
          </w:p>
        </w:tc>
        <w:tc>
          <w:tcPr>
            <w:tcW w:type="dxa" w:w="7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Upcoming Events · Roundtables &amp; Dialogues · Conferences · Past Events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Engage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 With Us · Contact the Centre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6.2  URL Structure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  — Homepage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/about  — About the Centre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/areas/[slug]  — Area of Focus sub-pages (e.g. /areas/global-law)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/sectors/[slug]  — Sector sub-pages (e.g. /sectors/defence)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/what-we-do  — Services overview + individual service anchors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/geographies/[slug]  — Geography sub-pages (e.g. /geographies/india-south-asia)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/insights  — Publications index with filters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/insights/[slug]  — Individual insight/article page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/events  — Events listing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/events/[slug]  — Individual event page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/engage  — Contact + enquiry page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7. Page Layout Specifications</w:t>
      </w:r>
    </w:p>
    <w:p>
      <w:pPr>
        <w:pStyle w:val="Heading2"/>
        <w:spacing w:after="120" w:before="320"/>
      </w:pPr>
      <w:r>
        <w:t xml:space="preserve">7.1  Homepage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Design reference: MitKat hero boldness · CFR thematic cluster density · A&amp;O Shearman editorial insight cards</w:t>
      </w:r>
    </w:p>
    <w:p>
      <w:pPr>
        <w:spacing w:after="0" w:before="6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A — NAVIGATION BAR (STICKY)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Navy (#0A1F44). Logo left. Nav items centre. Right: 'About' link + 'Engage the Centre' gold-bordered CTA button. Persistent on all pages.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B — HERO SECTION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100vh height. Midnight Navy background. Subtle world-connectivity SVG (gold nodes, low opacity). Centred content layout.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Eyebrow (gold caps, 11px): 'CENTRE FOR GLOBAL LAW, GEOECONOMICS &amp; EMERGING TECHNOLOGIES'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Headline (Playfair Bold, 64px, white): 'Navigating the Forces Reshaping the World'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Sub-headline (Inter 18px, soft grey): 1-sentence mission statement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Two CTA buttons: 'Explore Our Research' (Primary) · 'Engage the Centre' (Secondary)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Scroll indicator: gold animated chevron, bottom centre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C — THREE-PILLAR STRIP (WHAT WE DO OVERVIEW)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White background. 3-column equal grid. Each pillar: gold SVG icon + bold title (Research / Intelligence / Strategic Advisory) + 3-line description + 'Learn More →' gold link. Bottom border: 1px Soft Grey.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D — AREAS OF FOCUS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Ivory (#F8F7F3) background. Eyebrow label 'AREAS OF FOCUS'. Left: numbered list (01–05) with titles in Playfair 22px navy. Right: on hover/click, expands to show description + 'Explore →'. Inspired by A&amp;O's expertise accordion.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E — STATS / CREDIBILITY BLOCK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Midnight Navy background. White text. 4-column stats grid (MitKat-inspired). Example stats: '8+ Geographies Tracked' · '5 Focus Areas' · '7 Priority Sectors' · '11 Engagement Formats'. Large Playfair Bold numbers.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F — PRIORITY SECTORS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White background. Eyebrow 'PRIORITY SECTORS'. 4-column × 2-row tile grid. Each tile: sector colour left border (4px) + sector icon + title + 1-line description. Hover: navy background, white text, gold arrow.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G — THEMATIC INSIGHT CLUSTERS (CFR-INSPIRED)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Three rotating clusters, e.g. 'India at the Centre of Global Realignment', 'AI Governance &amp; Regulatory Frontiers', 'Energy Security &amp; the New Geopolitics'. Each cluster: 1 lead article (full card left) + 3 compact article links (right column). Eyebrow label in gold, cluster title in Playfair 28px.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H — LATEST FROM INSIGHTS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Ivory background. Eyebrow 'LATEST INSIGHTS'. Horizontal 3-card grid using Insight Card component. Cards: category badge + image + title + date. Right of section: 'View All Insights →' link in gold.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I — INTERACTIVE GEOGRAPHIES STRIP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Midnight Navy background. SVG world map, regions highlighted on hover in Burnished Gold. Hover reveals tooltip: region name + 1-line summary + 'Explore →' link. Below map: 9-region pill navigation (white pills, navy text, gold hover).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J — WHO WE ENGAGE WITH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White background. 3×2 grid of stakeholder cards. Each: gold icon + stakeholder title + 2-line description. Titles: Businesses · Investors · Governments · International Organisations · Industry Associations · Academic Institutions.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K — EVENTS PREVIEW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Ivory background. Eyebrow 'UPCOMING EVENTS'. Horizontal 3-event list (not full cards): event type badge + date column + title + 'Register →' link. Right: 'View All Events →'.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L — ENGAGEMENT CTA BANNER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Full-width Midnight Navy. Centred: headline (Playfair 36px white) + sub-headline (Inter 16px soft grey) + Primary CTA button. Background: repeating geometric SVG pattern (gold, 5% opacity).</w:t>
      </w:r>
    </w:p>
    <w:p>
      <w:pPr>
        <w:spacing w:after="0" w:before="40"/>
      </w:pP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M — FOOTER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Dark navy (#0A1F44 with slight darkening). 4-column link grid. Column 1: SLR logo + tagline 'Let justice be done though the heavens fall' + LinkedIn icon. Columns 2–4: nav links by category. Bottom bar: copyright · Privacy Policy · Terms · Cookie Settings. Gold top rule (1px) separating footer body from bottom bar.</w:t>
      </w:r>
    </w:p>
    <w:p>
      <w:pPr>
        <w:pBdr>
          <w:bottom w:val="single" w:color="D8D8DB" w:sz="4" w:space="2"/>
        </w:pBdr>
        <w:spacing w:after="180" w:before="180"/>
      </w:pPr>
    </w:p>
    <w:p>
      <w:pPr>
        <w:pStyle w:val="Heading2"/>
        <w:spacing w:after="120" w:before="320"/>
      </w:pPr>
      <w:r>
        <w:t xml:space="preserve">7.2  Insights Hub Page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Reference: CFR publications grid + A&amp;O Shearman insight collections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Hero (40vh): navy background, title 'Insights &amp; Publications', lead sentence, filter bar pinned at bottom of hero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Content: left sidebar 25% width (filter controls) + right main grid 75% width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SIDEBAR FILTERS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Type filter: Report / Policy Paper / Intelligence Brief / Outlook / Working Paper / Strategic Brief / Country Study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Geography filter: multi-select checklist by region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Sector filter: multi-select checklist by sector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Area of Focus filter: checkboxes for 5 areas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Date range: dropdown (Last 30 days / Last 6 months / This year / All)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MAIN GRID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Featured article: full-width banner card (photo background, category badge, title, excerpt, CTA)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Below: 3-column card grid, 6 per load, 'Load More' button at bottom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Each card: Insight Card component (see Section 5.4)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Sticky sidebar on desktop: scrolls with page but stays visible</w:t>
      </w:r>
    </w:p>
    <w:p>
      <w:pPr>
        <w:pBdr>
          <w:bottom w:val="single" w:color="D8D8DB" w:sz="4" w:space="2"/>
        </w:pBdr>
        <w:spacing w:after="180" w:before="180"/>
      </w:pPr>
    </w:p>
    <w:p>
      <w:pPr>
        <w:pStyle w:val="Heading2"/>
        <w:spacing w:after="120" w:before="320"/>
      </w:pPr>
      <w:r>
        <w:t xml:space="preserve">7.3  Individual Insight / Article Page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Reference: CFR 'Expert Take' article layout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LAYOUT: 3-COLUMN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Left sidebar (20%): sticky table of contents (auto-generated from H2s), share buttons (LinkedIn, copy link)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Centre article (55%): hero image → article body (max-width 680px) → author card → related insights (3 cards)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Right sidebar (25%): 'Also in this series' links · Newsletter sign-up widget · Related sectors/areas tags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ARTICLE BODY RULES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H2 sections separated by gold horizontal rule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Pull quotes in Playfair italic, gold left border, ivory background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Data callouts: bordered box, navy background, white Playfair number, gold label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PDF download button (if applicable): Primary button with download icon, below hero</w:t>
      </w:r>
    </w:p>
    <w:p>
      <w:pPr>
        <w:pBdr>
          <w:bottom w:val="single" w:color="D8D8DB" w:sz="4" w:space="2"/>
        </w:pBdr>
        <w:spacing w:after="180" w:before="180"/>
      </w:pPr>
    </w:p>
    <w:p>
      <w:pPr>
        <w:pStyle w:val="Heading2"/>
        <w:spacing w:after="120" w:before="320"/>
      </w:pPr>
      <w:r>
        <w:t xml:space="preserve">7.4  Geographies Page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Reference: A&amp;O Shearman global coverage — interactive region map + text cards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Hero (40vh) navy: title 'Geographies &amp; Strategic Corridors' + lead text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Interactive SVG world map: clickable regions highlight in gold on hover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Side panel (desktop right 35%): on region click, slides in with region name, 2-para summary, key corridors list, 3 related insights, 'Explore [Region] →' CTA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Below map: Strategic Corridors section — horizontal scrollable cards, each corridor: name + 2-line description + affected regions as pills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Region sub-page structure: Hero → Key themes → Strategic corridors → Related sectors → Insights feed → CTA</w:t>
      </w:r>
    </w:p>
    <w:p>
      <w:pPr>
        <w:pBdr>
          <w:bottom w:val="single" w:color="D8D8DB" w:sz="4" w:space="2"/>
        </w:pBdr>
        <w:spacing w:after="180" w:before="180"/>
      </w:pPr>
    </w:p>
    <w:p>
      <w:pPr>
        <w:pStyle w:val="Heading2"/>
        <w:spacing w:after="120" w:before="320"/>
      </w:pPr>
      <w:r>
        <w:t xml:space="preserve">7.5  What We Do / Services Page</w:t>
      </w:r>
    </w:p>
    <w:p>
      <w:pPr>
        <w:pBdr>
          <w:left w:val="single" w:color="B08D57" w:sz="6" w:space="6"/>
        </w:pBdr>
        <w:spacing w:after="60" w:before="60"/>
        <w:ind w:left="360"/>
      </w:pPr>
      <w:r>
        <w:rPr>
          <w:i/>
          <w:iCs/>
          <w:color w:val="3B506E"/>
          <w:sz w:val="19"/>
          <w:szCs w:val="19"/>
        </w:rPr>
        <w:t xml:space="preserve">Reference: MitKat's 'Solutions Hub' service taxonomy + A&amp;O advisory page structure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Hero: navy, title 'What We Do', three-pillar intro (Research / Intelligence / Advisory) as bold anchors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Service sections: alternating 2-column layout. Odd: text left, icon/graphic right. Even: icon/graphic left, text right.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Each service: eyebrow label → H2 title → lead paragraph → 3-bullet key deliverables → 'Enquire About This Service →' link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Between service groups: full-width slate blue (#3B506E) divider band with section label in gold caps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Bottom: 'Who We Engage With' 3×2 grid + Engagement CTA banner</w:t>
      </w:r>
    </w:p>
    <w:p>
      <w:pPr>
        <w:pBdr>
          <w:bottom w:val="single" w:color="D8D8DB" w:sz="4" w:space="2"/>
        </w:pBdr>
        <w:spacing w:after="180" w:before="180"/>
      </w:pPr>
    </w:p>
    <w:p>
      <w:pPr>
        <w:pStyle w:val="Heading2"/>
        <w:spacing w:after="120" w:before="320"/>
      </w:pPr>
      <w:r>
        <w:t xml:space="preserve">7.6  Engage / Contact Page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LAYOUT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Hero (30vh): navy, 'Engage the Centre', 1-line description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Two-column: Left 45% — context block (why engage, what to expect, response time, LinkedIn CTA) in Ivory. Right 55% — contact form on White.</w:t>
      </w:r>
    </w:p>
    <w:p>
      <w:pPr>
        <w:spacing w:after="60" w:before="220"/>
      </w:pPr>
      <w:r>
        <w:rPr>
          <w:b/>
          <w:bCs/>
          <w:color w:val="B08D57"/>
          <w:spacing w:val="80"/>
          <w:sz w:val="17"/>
          <w:szCs w:val="17"/>
        </w:rPr>
        <w:t xml:space="preserve">FORM FIELDS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Full Name * · Organisation * · Role/Title · Email * · Country/Region (dropdown) · Nature of Enquiry (dropdown: Research / Advisory / Roundtables / Media / Partnership / Other) · Message (textarea) · Submit button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Below form: 'Subscribe to our insights' inline newsletter sign-up (Inter 14px italic invitation text + email input + Subscribe button)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8. Functional Requirements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00"/>
      </w:tblGrid>
      <w:tr>
        <w:trPr>
          <w:tblHeader/>
        </w:trPr>
        <w:tc>
          <w:tcPr>
            <w:tcW w:type="dxa" w:w="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Sticky Navigation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Fixed on scroll, 72px height desktop. Hamburger drawer on mobile. Active state: gold underline. Background always navy — no scroll-based colour change.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Mega-menu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Triggered on hover (desktop) or tap (mobile drawer). Full-width dropdown, navy background, 3-column link grid, featured insight card. 200ms ease transition.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Headless CMS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Sanity.io (recommended) or Contentful. Structured content types: Insight, Event, Sector, Area, Geography, Team Member. Real-time preview. Tagging and filtering support.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F-04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Filter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Client-side Algolia InstantSearch. Sidebar filters: content type, geography, sector, area, date. URL-reflected filter state for shareability.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Interactive Map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SVG-based world map (react-simple-maps). Regions clickable/hoverable. On click: side panel slides in with region info and related content. Mobile: tap to expand inline panel.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F-06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Newsletter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Inline sign-up form (email + submit). Double opt-in via Brevo/Mailchimp. Appears: footer, Insights hub, sidebar of article pages. GDPR consent checkbox.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Server-side submission (Next.js API route or Resend.io). Email notification to SLR inbox. Honeypot spam field. CSRF protection. Confirmation message on submit.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F-08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Events Module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Event listing with date, type, format (in-person/virtual), location, RSVP link. Past events archived and searchable. CMS-managed.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F-09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PDF Gating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 reports may require email before PDF download. Gate modal: name + email + organisation. Submit → download initiates + subscribe to list.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F-10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Google Analytics 4 + Google Tag Manager. Custom events: CTA clicks, PDF downloads, form submissions, filter usage, map interactions. Hotjar for heatmaps.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F-11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GDPR-compliant cookie banner. Cookieyes or Osano. Categories: Necessary / Analytics / Marketing. Consent persisted 12 months.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F-12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WCAG 2.1 AA. All images have alt text. Keyboard navigation full. Focus indicators visible (gold outline). Skip-to-content link. ARIA roles on interactive components.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F-13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Lighthouse ≥ 90 on all pages. WebP images with lazy loading. Critical CSS inline. CDN (Vercel Edge) for static assets. Core Web Vitals: LCP &lt; 2.5s, CLS &lt; 0.1, FID &lt; 100ms.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F-14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LinkedIn (primary), X/Twitter, copy-link on all insight articles. OG image auto-generated per article (branded template, title overlaid).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F-15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 Search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Global search (Algolia). Result page: tabs for Insights / Events / Pages. Keyboard shortcut Cmd+K to open. Accessible search modal.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8.1  Recommended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SSR + ISR for SEO, fast page transitions, API routes built-in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Utility-first; design tokens as CSS vars map directly to brand palette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CMS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Sanity.io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Structured content, real-time preview, excellent Next.js integration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Algolia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Fast, faceted filtering; InstantSearch React library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react-simple-maps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SVG-based, lightweight, fully customisable colours via brand tokens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/ Newsletter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Brevo (Sendinblue)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GDPR-compliant, double opt-in, affordable; API for form integration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Optimal for Next.js; global Edge Network; zero-config deployment</w:t>
            </w:r>
          </w:p>
        </w:tc>
      </w:tr>
      <w:tr>
        <w:tc>
          <w:tcPr>
            <w:tcW w:type="dxa" w:w="24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GA4 + Hotjar</w:t>
            </w:r>
          </w:p>
        </w:tc>
        <w:tc>
          <w:tcPr>
            <w:tcW w:type="dxa" w:w="3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Standard analytics + heatmaps for UX optimisation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Resend.io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Developer-friendly, React Email templates, reliable deliverability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8" w:space="4"/>
        </w:pBdr>
        <w:spacing w:after="160" w:before="480"/>
      </w:pPr>
      <w:r>
        <w:t xml:space="preserve">9. SEO, Content Standards &amp; Delivery</w:t>
      </w:r>
    </w:p>
    <w:p>
      <w:pPr>
        <w:pStyle w:val="Heading2"/>
        <w:spacing w:after="120" w:before="320"/>
      </w:pPr>
      <w:r>
        <w:t xml:space="preserve">9.1  SEO Metadata — Per Page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Element</w:t>
            </w:r>
          </w:p>
        </w:tc>
        <w:tc>
          <w:tcPr>
            <w:tcW w:type="dxa" w:w="6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Title Tag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Format: '[Page / Article Name] | SLR Centre for Global Law'. Max 60 chars. Unique per page.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Unique, 140–160 chars. Includes primary keyword + CTA phrase ('Explore our research on...').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og:title · og:description · og:image (1200×630px, branded template with title) · og:type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Twitter Card</w:t>
            </w:r>
          </w:p>
        </w:tc>
        <w:tc>
          <w:tcPr>
            <w:tcW w:type="dxa" w:w="6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summary_large_image. Per-article branded image, title, description.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Canonical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pages carry rel=canonical to prevent duplicate content from filter URLs.</w:t>
            </w:r>
          </w:p>
        </w:tc>
      </w:tr>
      <w:tr>
        <w:tc>
          <w:tcPr>
            <w:tcW w:type="dxa" w:w="22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JSON-LD</w:t>
            </w:r>
          </w:p>
        </w:tc>
        <w:tc>
          <w:tcPr>
            <w:tcW w:type="dxa" w:w="6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Organisation schema on homepage. Article schema on insight pages (author, date, publisher). Event schema on event pages.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Sitemap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Auto-generated XML sitemap via next-sitemap. Submitted to Google Search Console on launch.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t xml:space="preserve">9.2  Content Guidelines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Tone: authoritative, analytical, globally-minded — not promotional or journalistic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Headlines: declarative and specific — 'India's Strategic Position in Global Supply Chains' not 'New Research Available'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Body paragraphs: max 4 lines / 80 words per paragraph — readers are time-poor executives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Every insight has: title · category · geography tags · sector tags · area of focus tag · author · date · 150-word summary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All PDFs: branded cover template (navy + gold), table of contents, executive summary page 1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9.3  Image &amp; Media Standards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Hero images: 1920×1080px minimum, WebP format, JPEG fallback. Editorial/architectural/abstract — no stock clichés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Card thumbnails: 800×500px, 16:9 ratio, WebP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OG images: 1200×630px, branded template (navy bg, SLR logo top-left, title in Playfair white)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Icons: SVG, custom set, Burnished Gold fills on navy backgrounds, Navy fills on light backgrounds</w:t>
      </w:r>
    </w:p>
    <w:p>
      <w:pPr>
        <w:pStyle w:val="ListParagraph"/>
        <w:numPr>
          <w:ilvl w:val="0"/>
          <w:numId w:val="1"/>
        </w:numPr>
        <w:spacing w:after="60" w:before="60"/>
        <w:ind w:left="504" w:hanging="259"/>
      </w:pPr>
      <w:r>
        <w:rPr>
          <w:color w:val="222222"/>
          <w:sz w:val="22"/>
          <w:szCs w:val="22"/>
        </w:rPr>
        <w:t xml:space="preserve">All images: mandatory descriptive alt text for WCAG 2.1 AA</w:t>
      </w:r>
    </w:p>
    <w:p>
      <w:pPr>
        <w:spacing w:after="0" w:before="120"/>
      </w:pPr>
    </w:p>
    <w:p>
      <w:pPr>
        <w:pStyle w:val="Heading2"/>
        <w:spacing w:after="120" w:before="320"/>
      </w:pPr>
      <w:r>
        <w:t xml:space="preserve">9.4  Delivery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00"/>
      </w:tblGrid>
      <w:tr>
        <w:trPr>
          <w:tblHeader/>
        </w:trPr>
        <w:tc>
          <w:tcPr>
            <w:tcW w:type="dxa" w:w="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600"/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Discovery &amp; Architecture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sitemap · Low-fidelity wireframes all key pages · CMS content model schema · Design tokens file (CSS variables).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M-2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Figma design system: colour tokens · typography · spacing · all components in all states · icon set.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High-Fidelity Designs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Figma mockups: Homepage · Insights Hub · 1 Area page · 1 Sector page · Article page · Contact. Desktop + mobile for each.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M-4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Review &amp; Remaining Pages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sign-off. Remaining pages designed: About · What We Do · Geographies · Events. Component library finalised.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Development Phase 1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Homepage · About · What We Do · Contact · Navigation. CMS connected. Staging environment live.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M-6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Development Phase 2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hub + article pages · Areas + Sectors · Geographies + map · Events module · Search. Full CMS content entry.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 &amp; Pre-launch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Cross-browser/device testing · WCAG 2.1 AA audit · Lighthouse audit (target ≥90) · SEO review · Content proof. Bug fixes.</w:t>
            </w:r>
          </w:p>
        </w:tc>
      </w:tr>
      <w:tr>
        <w:tc>
          <w:tcPr>
            <w:tcW w:type="dxa" w:w="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M-8</w:t>
            </w:r>
          </w:p>
        </w:tc>
        <w:tc>
          <w:tcPr>
            <w:tcW w:type="dxa" w:w="28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Launch</w:t>
            </w:r>
          </w:p>
        </w:tc>
        <w:tc>
          <w:tcPr>
            <w:tcW w:type="dxa" w:w="5600"/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Production deployment · DNS cutover · GA4 + GTM live · Sitemap submitted · Analytics verification · Redirect mapping.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584" w:bottom="1296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B" w:sz="2" w:space="4"/>
      </w:pBdr>
      <w:spacing w:before="100"/>
      <w:jc w:val="center"/>
    </w:pPr>
    <w:r>
      <w:rPr>
        <w:color w:val="555F6E"/>
        <w:sz w:val="16"/>
        <w:szCs w:val="16"/>
      </w:rPr>
      <w:t xml:space="preserve">SLR Global  ·  Confidential  ·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B" w:sz="2" w:space="4"/>
      </w:pBdr>
      <w:spacing w:after="100"/>
    </w:pPr>
    <w:r>
      <w:rPr>
        <w:i/>
        <w:iCs/>
        <w:color w:val="555F6E"/>
        <w:sz w:val="16"/>
        <w:szCs w:val="16"/>
      </w:rPr>
      <w:t xml:space="preserve">SLR Centre for Global Law, Geoeconomics &amp; Emerging Technologies  ·  Website Design Document  · 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80"/>
    </w:pPr>
    <w:rPr>
      <w:rFonts w:ascii="Calibri" w:cs="Calibri" w:eastAsia="Calibri" w:hAnsi="Calibri"/>
      <w:b/>
      <w:bCs/>
      <w:color w:val="0A1F44"/>
      <w:sz w:val="36"/>
      <w:szCs w:val="36"/>
    </w:rPr>
  </w:style>
  <w:style w:type="paragraph" w:styleId="Heading2">
    <w:name w:val="Heading 2"/>
    <w:pPr>
      <w:spacing w:after="120" w:before="320"/>
    </w:pPr>
    <w:rPr>
      <w:rFonts w:ascii="Calibri" w:cs="Calibri" w:eastAsia="Calibri" w:hAnsi="Calibri"/>
      <w:b/>
      <w:bCs/>
      <w:color w:val="0A1F44"/>
      <w:sz w:val="28"/>
      <w:szCs w:val="28"/>
    </w:rPr>
  </w:style>
  <w:style w:type="paragraph" w:styleId="Heading3">
    <w:name w:val="Heading 3"/>
    <w:pPr>
      <w:spacing w:after="80" w:before="200"/>
    </w:pPr>
    <w:rPr>
      <w:rFonts w:ascii="Calibri" w:cs="Calibri" w:eastAsia="Calibri" w:hAnsi="Calibri"/>
      <w:b/>
      <w:bCs/>
      <w:color w:val="B08D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2026-09-10T05:04:53.450Z</dcterms:created>
  <dcterms:modified xsi:type="dcterms:W3CDTF">2026-09-10T05:04:53.459Z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