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A5D89" w14:textId="46CDA783" w:rsidR="00B939DC" w:rsidRDefault="002E49BA" w:rsidP="002E49BA">
      <w:pPr>
        <w:jc w:val="center"/>
        <w:rPr>
          <w:b/>
          <w:bCs/>
          <w:sz w:val="48"/>
          <w:szCs w:val="48"/>
        </w:rPr>
      </w:pPr>
      <w:r w:rsidRPr="002E49BA">
        <w:rPr>
          <w:b/>
          <w:bCs/>
          <w:sz w:val="48"/>
          <w:szCs w:val="48"/>
        </w:rPr>
        <w:t>Supply Chain &amp; Manufacturing Analytics Platform Cost Reduction, Forecasting &amp; Vendor Performance Optimization Using AI.</w:t>
      </w:r>
    </w:p>
    <w:p w14:paraId="4C3CE3A7" w14:textId="548B2367" w:rsidR="002E49BA" w:rsidRPr="00561267" w:rsidRDefault="00561267" w:rsidP="002E49BA">
      <w:pPr>
        <w:jc w:val="center"/>
        <w:rPr>
          <w:b/>
          <w:bCs/>
          <w:sz w:val="36"/>
          <w:szCs w:val="36"/>
        </w:rPr>
      </w:pPr>
      <w:r w:rsidRPr="00561267">
        <w:rPr>
          <w:b/>
          <w:bCs/>
          <w:sz w:val="36"/>
          <w:szCs w:val="36"/>
        </w:rPr>
        <w:t>Executive Summary</w:t>
      </w:r>
    </w:p>
    <w:p w14:paraId="0D2BDDCC" w14:textId="77777777" w:rsidR="002E49BA" w:rsidRDefault="002E49BA" w:rsidP="002E49BA"/>
    <w:p w14:paraId="32ABF94D" w14:textId="49D99201" w:rsidR="002E49BA" w:rsidRDefault="002E49BA" w:rsidP="002E49BA">
      <w:pPr>
        <w:rPr>
          <w:b/>
          <w:bCs/>
          <w:sz w:val="36"/>
          <w:szCs w:val="36"/>
        </w:rPr>
      </w:pPr>
      <w:r w:rsidRPr="002E49BA">
        <w:rPr>
          <w:b/>
          <w:bCs/>
          <w:sz w:val="36"/>
          <w:szCs w:val="36"/>
        </w:rPr>
        <w:t>Business Insights</w:t>
      </w:r>
    </w:p>
    <w:p w14:paraId="112BC436" w14:textId="6A85AD40" w:rsidR="002E49BA" w:rsidRPr="002E49BA" w:rsidRDefault="002E49BA" w:rsidP="002E49BA">
      <w:r w:rsidRPr="002E49BA">
        <w:t>The forecast layer is the first warning sign. Average MAPE of 107.77 and RMSE of 383.83 suggest the demand model is not accurate enough for planning decisions, while 15 high stockout-risk SKUs and 13 low-coverage SKUs indicate inventory decisions are being made on unstable demand signals. The 573 high-risk orders also show that forecast weakness is translating directly into execution risk.</w:t>
      </w:r>
    </w:p>
    <w:p w14:paraId="5712FE0B" w14:textId="3C950D21" w:rsidR="002E49BA" w:rsidRPr="002E49BA" w:rsidRDefault="002E49BA" w:rsidP="002E49BA">
      <w:r w:rsidRPr="002E49BA">
        <w:t>Logistics are expensive and slow. The dashboard shows 700 shipments costing $1.75M in total, with an average shipment cost of $2.50K and average transit delay of 5.18 days. Air is the costliest mode at about $0.51M, so premium transport is likely being used too often or too late.</w:t>
      </w:r>
    </w:p>
    <w:p w14:paraId="0EA8CF34" w14:textId="1C576EC5" w:rsidR="002E49BA" w:rsidRPr="002E49BA" w:rsidRDefault="002E49BA" w:rsidP="002E49BA">
      <w:r w:rsidRPr="002E49BA">
        <w:t>Production is being held back by avoidable downtime. With 1.17M output units, 2.38K downtime hours, 1,200 downtime events, and 3.63 average delay days, the operation has enough interruption to affect service levels and inventory replenishment. Maintenance, material shortage, labor issues, and machine failure are the dominant causes, which means the fix needs both asset reliability and materials readiness.</w:t>
      </w:r>
    </w:p>
    <w:p w14:paraId="7D21C43F" w14:textId="2A14104C" w:rsidR="002E49BA" w:rsidRPr="002E49BA" w:rsidRDefault="002E49BA" w:rsidP="002E49BA">
      <w:r w:rsidRPr="002E49BA">
        <w:t xml:space="preserve">Supplier performance looks like a structural bottleneck. The average delay probability is 72.52%, on-time delivery is only 27.38%, and there are 573 high-risk orders across just 9 suppliers. S010 is the worst performer at 85.84% delay probability, so supplier segmentation and enforcement should be </w:t>
      </w:r>
      <w:r>
        <w:t>taken into consideration</w:t>
      </w:r>
      <w:r w:rsidRPr="002E49BA">
        <w:t>.</w:t>
      </w:r>
    </w:p>
    <w:p w14:paraId="1372943C" w14:textId="13951461" w:rsidR="002E49BA" w:rsidRDefault="002E49BA" w:rsidP="002E49BA">
      <w:r w:rsidRPr="002E49BA">
        <w:t>Inventory is not failing everywhere, but risk is concentrated. Total stock is 87K with 28.90 coverage days, 14 stockout events, and an 11.67% stockout rate. At the SKU level, stockout probability reaches 45.36%, which means the business is likely to have the wrong stock in the wrong places rather than simply too little stock overall .</w:t>
      </w:r>
    </w:p>
    <w:p w14:paraId="5C246E60" w14:textId="77777777" w:rsidR="002E49BA" w:rsidRDefault="002E49BA" w:rsidP="002E49BA"/>
    <w:p w14:paraId="4E18EFE9" w14:textId="77777777" w:rsidR="002E49BA" w:rsidRPr="002E49BA" w:rsidRDefault="002E49BA" w:rsidP="002E49BA"/>
    <w:p w14:paraId="625DDA88" w14:textId="68A75C8B" w:rsidR="002E49BA" w:rsidRPr="002E49BA" w:rsidRDefault="002E49BA" w:rsidP="002E49BA">
      <w:pPr>
        <w:rPr>
          <w:b/>
          <w:bCs/>
          <w:sz w:val="36"/>
          <w:szCs w:val="36"/>
        </w:rPr>
      </w:pPr>
      <w:r w:rsidRPr="002E49BA">
        <w:rPr>
          <w:b/>
          <w:bCs/>
          <w:sz w:val="36"/>
          <w:szCs w:val="36"/>
        </w:rPr>
        <w:lastRenderedPageBreak/>
        <w:t xml:space="preserve">Business </w:t>
      </w:r>
      <w:r>
        <w:rPr>
          <w:b/>
          <w:bCs/>
          <w:sz w:val="36"/>
          <w:szCs w:val="36"/>
        </w:rPr>
        <w:t>Recommendations</w:t>
      </w:r>
    </w:p>
    <w:p w14:paraId="2F1E6B9E" w14:textId="77963B13" w:rsidR="002E49BA" w:rsidRPr="002E49BA" w:rsidRDefault="002E49BA" w:rsidP="002E49BA">
      <w:pPr>
        <w:numPr>
          <w:ilvl w:val="0"/>
          <w:numId w:val="1"/>
        </w:numPr>
      </w:pPr>
      <w:r w:rsidRPr="002E49BA">
        <w:rPr>
          <w:b/>
          <w:bCs/>
          <w:sz w:val="28"/>
          <w:szCs w:val="28"/>
        </w:rPr>
        <w:t>Supplier rationalization and renegotiation</w:t>
      </w:r>
      <w:r w:rsidRPr="002E49BA">
        <w:br/>
        <w:t>Rationalize the supplier base by ranking suppliers on delay probability, on-time performance, and order risk, then classify them into strategic, watchlist, and exit candidates. The current dashboard shows an average delay probability of 72.52% and on-time delivery of only 27.38%, which is too weak for stable execution. Focus renegotiation on the worst performers such as S010 and the other high-delay suppliers, with stricter SLAs, penalty clauses, minimum service-level commitments, and backup sourcing for critical SKUs. A reasonable business impact target is a 15–25% reduction in delayed orders if low-performing suppliers are either improved or partially replaced.</w:t>
      </w:r>
    </w:p>
    <w:p w14:paraId="3D135933" w14:textId="54A20450" w:rsidR="002E49BA" w:rsidRPr="002E49BA" w:rsidRDefault="002E49BA" w:rsidP="002E49BA">
      <w:pPr>
        <w:numPr>
          <w:ilvl w:val="0"/>
          <w:numId w:val="1"/>
        </w:numPr>
      </w:pPr>
      <w:r w:rsidRPr="002E49BA">
        <w:rPr>
          <w:b/>
          <w:bCs/>
          <w:sz w:val="28"/>
          <w:szCs w:val="28"/>
        </w:rPr>
        <w:t>Inventory optimization through reorder and safety stock policies</w:t>
      </w:r>
      <w:r w:rsidRPr="002E49BA">
        <w:rPr>
          <w:b/>
          <w:bCs/>
          <w:sz w:val="28"/>
          <w:szCs w:val="28"/>
        </w:rPr>
        <w:br/>
      </w:r>
      <w:r w:rsidRPr="002E49BA">
        <w:t>Replace static reorder levels with SKU-wise dynamic policies based on forecast error, stockout probability, lead time risk, and coverage days. Since the dashboard shows 18.18% average stockout probability, 11.67% stockout rate, and only 28.90 coverage days on average, inventory is not evenly positioned across the network. High-risk SKUs such as those with stockout probability above 30% should get higher safety stock buffers, while low-risk SKUs should be reduced to release working capital. This can reduce stockouts by 20–30% and lower excess inventory by 5–10% if policies are tuned by SKU and warehouse.</w:t>
      </w:r>
    </w:p>
    <w:p w14:paraId="2A51DA56" w14:textId="207F746C" w:rsidR="002E49BA" w:rsidRPr="002E49BA" w:rsidRDefault="002E49BA" w:rsidP="002E49BA">
      <w:pPr>
        <w:numPr>
          <w:ilvl w:val="0"/>
          <w:numId w:val="1"/>
        </w:numPr>
      </w:pPr>
      <w:r w:rsidRPr="002E49BA">
        <w:rPr>
          <w:b/>
          <w:bCs/>
          <w:sz w:val="28"/>
          <w:szCs w:val="28"/>
        </w:rPr>
        <w:t>Logistics route and cost optimization</w:t>
      </w:r>
      <w:r w:rsidRPr="002E49BA">
        <w:rPr>
          <w:b/>
          <w:bCs/>
          <w:sz w:val="28"/>
          <w:szCs w:val="28"/>
        </w:rPr>
        <w:br/>
      </w:r>
      <w:r w:rsidRPr="002E49BA">
        <w:t>Review shipping lanes by transport mode, shipment cost, and transit delay, and shift from reactive premium shipping to planned mode selection. The dashboard shows total shipment cost of $1.75M, average shipment cost of $2.50K, average transit delay of 5.18 days, and 433 high-cost shipments, which suggests avoidable freight leakage. Air freight should be restricted to true exceptions, while rail, road, and sea should be optimized using lane-level cost-to-service rules. A realistic impact target is 8–12% logistics cost reduction and a 10–15% improvement in average transit delay through lane rationalization and shipment consolidation.</w:t>
      </w:r>
    </w:p>
    <w:p w14:paraId="2131E2CC" w14:textId="11D12B86" w:rsidR="002E49BA" w:rsidRPr="002E49BA" w:rsidRDefault="002E49BA" w:rsidP="002E49BA">
      <w:pPr>
        <w:numPr>
          <w:ilvl w:val="0"/>
          <w:numId w:val="1"/>
        </w:numPr>
      </w:pPr>
      <w:r w:rsidRPr="002E49BA">
        <w:rPr>
          <w:b/>
          <w:bCs/>
          <w:sz w:val="28"/>
          <w:szCs w:val="28"/>
        </w:rPr>
        <w:t>Forecast-driven production planning</w:t>
      </w:r>
      <w:r w:rsidRPr="002E49BA">
        <w:rPr>
          <w:b/>
          <w:bCs/>
          <w:sz w:val="28"/>
          <w:szCs w:val="28"/>
        </w:rPr>
        <w:br/>
      </w:r>
      <w:r w:rsidRPr="002E49BA">
        <w:t xml:space="preserve">Use demand forecasts directly in production planning and replenishment, especially for SKUs with high RMSE and high risk of stockout. The forecast metrics show average MAPE of 107.77 and RMSE of 383.83, which means the current forecast needs stronger validation and exception handling before it drives production decisions. Production should be planned in smaller, more frequent cycles for unstable SKUs, while stable SKUs can use batch production. This can reduce production mismatch, lower downtime </w:t>
      </w:r>
      <w:r w:rsidRPr="002E49BA">
        <w:lastRenderedPageBreak/>
        <w:t>caused by material shortage, and improve service levels by 5–10 percentage points if forecast exceptions are explicitly managed.</w:t>
      </w:r>
    </w:p>
    <w:p w14:paraId="11D65F83" w14:textId="212E8C82" w:rsidR="002E49BA" w:rsidRPr="002E49BA" w:rsidRDefault="002E49BA" w:rsidP="002E49BA">
      <w:pPr>
        <w:numPr>
          <w:ilvl w:val="0"/>
          <w:numId w:val="1"/>
        </w:numPr>
      </w:pPr>
      <w:r w:rsidRPr="002E49BA">
        <w:rPr>
          <w:b/>
          <w:bCs/>
          <w:sz w:val="28"/>
          <w:szCs w:val="28"/>
        </w:rPr>
        <w:t>Early warning system with quantified impact</w:t>
      </w:r>
      <w:r w:rsidRPr="002E49BA">
        <w:rPr>
          <w:b/>
          <w:bCs/>
          <w:sz w:val="28"/>
          <w:szCs w:val="28"/>
        </w:rPr>
        <w:br/>
      </w:r>
      <w:r w:rsidRPr="002E49BA">
        <w:t>Implement an alerting layer that flags high-risk SKUs, suppliers, shipments, and downtime events before failure occurs. Alerts should trigger when stockout probability crosses a threshold, when supplier delay probability rises above target, when shipment cost exceeds normal range, or when downtime begins to cluster by reason. The dashboard already identifies 15 high stockout-risk SKUs, 573 high-risk orders, 433 high-cost shipments, and 1,200 downtime events, so the early warning system should focus on these exception pools first. A good business outcome would be fewer emergency shipments, faster escalation, and measurable reduction in stockout and delay events within one quarter.</w:t>
      </w:r>
    </w:p>
    <w:p w14:paraId="681AEF4B" w14:textId="3D848D53" w:rsidR="002E49BA" w:rsidRPr="002E49BA" w:rsidRDefault="002E49BA" w:rsidP="002E49BA">
      <w:pPr>
        <w:numPr>
          <w:ilvl w:val="0"/>
          <w:numId w:val="1"/>
        </w:numPr>
      </w:pPr>
      <w:r>
        <w:rPr>
          <w:b/>
          <w:bCs/>
          <w:sz w:val="28"/>
          <w:szCs w:val="28"/>
        </w:rPr>
        <w:t>I</w:t>
      </w:r>
      <w:r w:rsidRPr="002E49BA">
        <w:rPr>
          <w:b/>
          <w:bCs/>
          <w:sz w:val="28"/>
          <w:szCs w:val="28"/>
        </w:rPr>
        <w:t>mplementation priority</w:t>
      </w:r>
      <w:r w:rsidRPr="002E49BA">
        <w:rPr>
          <w:b/>
          <w:bCs/>
          <w:sz w:val="28"/>
          <w:szCs w:val="28"/>
        </w:rPr>
        <w:br/>
      </w:r>
      <w:r w:rsidRPr="002E49BA">
        <w:t>Start with the highest-value controls first: supplier performance, stockout prevention, and early warning alerts. Then connect logistics and production planning to the same risk engine so one issue does not create another downstream. This gives the business a closed-loop operating model instead of separate dashboards. In practical terms, that means a single priority queue for action, owner assignment, and weekly exception review.</w:t>
      </w:r>
    </w:p>
    <w:p w14:paraId="67685EB1" w14:textId="77777777" w:rsidR="002E49BA" w:rsidRPr="002E49BA" w:rsidRDefault="002E49BA" w:rsidP="002E49BA">
      <w:pPr>
        <w:rPr>
          <w:b/>
          <w:bCs/>
          <w:sz w:val="36"/>
          <w:szCs w:val="36"/>
        </w:rPr>
      </w:pPr>
    </w:p>
    <w:sectPr w:rsidR="002E49BA" w:rsidRPr="002E4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30236"/>
    <w:multiLevelType w:val="multilevel"/>
    <w:tmpl w:val="DD50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4886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9BA"/>
    <w:rsid w:val="002274B3"/>
    <w:rsid w:val="002E49BA"/>
    <w:rsid w:val="00394630"/>
    <w:rsid w:val="003B4BAA"/>
    <w:rsid w:val="00561267"/>
    <w:rsid w:val="00842AC0"/>
    <w:rsid w:val="00872252"/>
    <w:rsid w:val="009D1973"/>
    <w:rsid w:val="00B939DC"/>
    <w:rsid w:val="00C5281C"/>
    <w:rsid w:val="00CD3A3D"/>
    <w:rsid w:val="00D84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43EFF"/>
  <w15:chartTrackingRefBased/>
  <w15:docId w15:val="{3246F392-4F75-468C-86BD-84AE55ABC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9BA"/>
  </w:style>
  <w:style w:type="paragraph" w:styleId="Heading1">
    <w:name w:val="heading 1"/>
    <w:basedOn w:val="Normal"/>
    <w:next w:val="Normal"/>
    <w:link w:val="Heading1Char"/>
    <w:uiPriority w:val="9"/>
    <w:qFormat/>
    <w:rsid w:val="002E49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49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49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49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49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4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9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49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49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49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49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4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9BA"/>
    <w:rPr>
      <w:rFonts w:eastAsiaTheme="majorEastAsia" w:cstheme="majorBidi"/>
      <w:color w:val="272727" w:themeColor="text1" w:themeTint="D8"/>
    </w:rPr>
  </w:style>
  <w:style w:type="paragraph" w:styleId="Title">
    <w:name w:val="Title"/>
    <w:basedOn w:val="Normal"/>
    <w:next w:val="Normal"/>
    <w:link w:val="TitleChar"/>
    <w:uiPriority w:val="10"/>
    <w:qFormat/>
    <w:rsid w:val="002E4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9BA"/>
    <w:pPr>
      <w:spacing w:before="160"/>
      <w:jc w:val="center"/>
    </w:pPr>
    <w:rPr>
      <w:i/>
      <w:iCs/>
      <w:color w:val="404040" w:themeColor="text1" w:themeTint="BF"/>
    </w:rPr>
  </w:style>
  <w:style w:type="character" w:customStyle="1" w:styleId="QuoteChar">
    <w:name w:val="Quote Char"/>
    <w:basedOn w:val="DefaultParagraphFont"/>
    <w:link w:val="Quote"/>
    <w:uiPriority w:val="29"/>
    <w:rsid w:val="002E49BA"/>
    <w:rPr>
      <w:i/>
      <w:iCs/>
      <w:color w:val="404040" w:themeColor="text1" w:themeTint="BF"/>
    </w:rPr>
  </w:style>
  <w:style w:type="paragraph" w:styleId="ListParagraph">
    <w:name w:val="List Paragraph"/>
    <w:basedOn w:val="Normal"/>
    <w:uiPriority w:val="34"/>
    <w:qFormat/>
    <w:rsid w:val="002E49BA"/>
    <w:pPr>
      <w:ind w:left="720"/>
      <w:contextualSpacing/>
    </w:pPr>
  </w:style>
  <w:style w:type="character" w:styleId="IntenseEmphasis">
    <w:name w:val="Intense Emphasis"/>
    <w:basedOn w:val="DefaultParagraphFont"/>
    <w:uiPriority w:val="21"/>
    <w:qFormat/>
    <w:rsid w:val="002E49BA"/>
    <w:rPr>
      <w:i/>
      <w:iCs/>
      <w:color w:val="2F5496" w:themeColor="accent1" w:themeShade="BF"/>
    </w:rPr>
  </w:style>
  <w:style w:type="paragraph" w:styleId="IntenseQuote">
    <w:name w:val="Intense Quote"/>
    <w:basedOn w:val="Normal"/>
    <w:next w:val="Normal"/>
    <w:link w:val="IntenseQuoteChar"/>
    <w:uiPriority w:val="30"/>
    <w:qFormat/>
    <w:rsid w:val="002E49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49BA"/>
    <w:rPr>
      <w:i/>
      <w:iCs/>
      <w:color w:val="2F5496" w:themeColor="accent1" w:themeShade="BF"/>
    </w:rPr>
  </w:style>
  <w:style w:type="character" w:styleId="IntenseReference">
    <w:name w:val="Intense Reference"/>
    <w:basedOn w:val="DefaultParagraphFont"/>
    <w:uiPriority w:val="32"/>
    <w:qFormat/>
    <w:rsid w:val="002E49BA"/>
    <w:rPr>
      <w:b/>
      <w:bCs/>
      <w:smallCaps/>
      <w:color w:val="2F5496" w:themeColor="accent1" w:themeShade="BF"/>
      <w:spacing w:val="5"/>
    </w:rPr>
  </w:style>
  <w:style w:type="character" w:styleId="Hyperlink">
    <w:name w:val="Hyperlink"/>
    <w:basedOn w:val="DefaultParagraphFont"/>
    <w:uiPriority w:val="99"/>
    <w:unhideWhenUsed/>
    <w:rsid w:val="002E49BA"/>
    <w:rPr>
      <w:color w:val="0563C1" w:themeColor="hyperlink"/>
      <w:u w:val="single"/>
    </w:rPr>
  </w:style>
  <w:style w:type="character" w:styleId="UnresolvedMention">
    <w:name w:val="Unresolved Mention"/>
    <w:basedOn w:val="DefaultParagraphFont"/>
    <w:uiPriority w:val="99"/>
    <w:semiHidden/>
    <w:unhideWhenUsed/>
    <w:rsid w:val="002E49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874</Words>
  <Characters>4982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Sharma</dc:creator>
  <cp:keywords/>
  <dc:description/>
  <cp:lastModifiedBy>Satyam Singh</cp:lastModifiedBy>
  <cp:revision>4</cp:revision>
  <dcterms:created xsi:type="dcterms:W3CDTF">2026-06-02T04:25:00Z</dcterms:created>
  <dcterms:modified xsi:type="dcterms:W3CDTF">2026-06-02T04:26:00Z</dcterms:modified>
</cp:coreProperties>
</file>