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/>
          <w:b/>
          <w:color w:val="4F46E5"/>
          <w:sz w:val="48"/>
        </w:rPr>
        <w:t>HackBridge — System Documentation &amp; Manual</w:t>
      </w:r>
    </w:p>
    <w:p>
      <w:pPr>
        <w:spacing w:after="280"/>
      </w:pPr>
      <w:r>
        <w:rPr>
          <w:rFonts w:ascii="Calibri" w:hAnsi="Calibri"/>
          <w:color w:val="64748B"/>
          <w:sz w:val="22"/>
        </w:rPr>
        <w:t>Enterprise Multi-Tenant Hackathon Lifecycle &amp; Direct Recruitment Platform</w:t>
        <w:br/>
        <w:t>Pilot Tenant: Maharaja Institute of Technology Thandavapura (MITT) | Version 2.0</w:t>
      </w:r>
    </w:p>
    <w:p>
      <w:pPr>
        <w:spacing w:after="240"/>
      </w:pPr>
      <w:r>
        <w:rPr>
          <w:color w:val="E2E8F0"/>
        </w:rPr>
        <w:t>――――――――――――――――――――――――――――――――――――――――――――――――――――――――――</w:t>
      </w:r>
    </w:p>
    <w:p>
      <w:pPr>
        <w:keepNext/>
        <w:spacing w:before="280" w:after="120"/>
      </w:pPr>
      <w:r>
        <w:rPr>
          <w:rFonts w:ascii="Calibri" w:hAnsi="Calibri"/>
          <w:b/>
          <w:color w:val="4F46E5"/>
          <w:sz w:val="32"/>
        </w:rPr>
        <w:t>1. Executive Summary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1"/>
        </w:rPr>
        <w:t>HackBridge is a purpose-built, multi-stakeholder hackathon lifecycle and recruitment SaaS platform designed to solve operational fragmentation in university-level innovation challenges. Pilot deployed for Maharaja Institute of Technology Thandavapura (MITT), HackBridge bridges collegiate talent, academic governance, and corporate tech recruitment within a single secure, white-labeled system.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College Administrators:</w:t>
      </w:r>
      <w:r>
        <w:rPr>
          <w:rFonts w:ascii="Calibri" w:hAnsi="Calibri"/>
          <w:color w:val="334155"/>
          <w:sz w:val="20"/>
        </w:rPr>
        <w:t xml:space="preserve"> Institutional oversight of hackathon stages, custom rubrics, AI triage, and audit trails.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Student Innovators:</w:t>
      </w:r>
      <w:r>
        <w:rPr>
          <w:rFonts w:ascii="Calibri" w:hAnsi="Calibri"/>
          <w:color w:val="334155"/>
          <w:sz w:val="20"/>
        </w:rPr>
        <w:t xml:space="preserve"> Team formation, invite codes, problem statement intake, deliverables submission, and verified talent profiles.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Evaluators &amp; Judges:</w:t>
      </w:r>
      <w:r>
        <w:rPr>
          <w:rFonts w:ascii="Calibri" w:hAnsi="Calibri"/>
          <w:color w:val="334155"/>
          <w:sz w:val="20"/>
        </w:rPr>
        <w:t xml:space="preserve"> Double-blind scoring interface with real-time multi-criteria rubric sliders, weighted scoring, and COI recusal.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Company Recruiters:</w:t>
      </w:r>
      <w:r>
        <w:rPr>
          <w:rFonts w:ascii="Calibri" w:hAnsi="Calibri"/>
          <w:color w:val="334155"/>
          <w:sz w:val="20"/>
        </w:rPr>
        <w:t xml:space="preserve"> Industrial challenge authoring, team tracking, talent pool scouting, and 1-click hiring outreach.</w:t>
      </w:r>
    </w:p>
    <w:p>
      <w:pPr>
        <w:keepNext/>
        <w:spacing w:before="280" w:after="120"/>
      </w:pPr>
      <w:r>
        <w:rPr>
          <w:rFonts w:ascii="Calibri" w:hAnsi="Calibri"/>
          <w:b/>
          <w:color w:val="4F46E5"/>
          <w:sz w:val="32"/>
        </w:rPr>
        <w:t>2. System Architecture &amp; Technical Specifications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1"/>
        </w:rPr>
        <w:t>HackBridge leverages a decoupled cloud architecture combining a high-performance React 18 single-page application (SPA) with a Supabase PostgreSQL backend, fortified by server-side Row-Level Security (RLS) policies and GoTrue authentication.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4F46E5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20"/>
            <w:shd w:fill="4F46E5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520"/>
            <w:shd w:fill="4F46E5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520"/>
            <w:shd w:fill="4F46E5"/>
          </w:tcPr>
          <w:p>
            <w:r>
              <w:rPr>
                <w:b/>
                <w:color w:val="FFFFFF"/>
                <w:sz w:val="19"/>
              </w:rPr>
              <w:t>Key Functional Purpose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Frontend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React + Vite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18.3 / 5.4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Component-driven SPA with sub-second HMR and tree-shaken production bundle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Language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TypeScript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5.5.3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Strict static typing, null safety, and database schema interface parity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Styling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Tailwind CSS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3.4.1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Responsive design system with institutional CSS custom property theming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Backend Database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PostgreSQL 15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Supabase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Multi-tenant relational database with 14 applied idempotent migrations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Access Control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PostgreSQL RLS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Native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Declarative row-level tenant and role isolation policies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Auth Engine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Supabase GoTrue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Native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JWT token lifecycle, role claims, and fail-closed session guards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Object Storage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Supabase Storage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Native S3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5 buckets for banners, specs, deliverables, decks, and student CVs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Deployment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Docker + Nginx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Multi-stage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color w:val="334155"/>
                <w:sz w:val="18"/>
              </w:rPr>
              <w:t>Alpine-based containerization with SPA HTML5 fallback proxy routing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4F46E5"/>
          <w:sz w:val="32"/>
        </w:rPr>
        <w:t>3. Multi-Tenancy &amp; Security Hardening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1"/>
        </w:rPr>
        <w:t>Tenant isolation is strictly maintained at both the application gateway and database layer. Every tenant possesses a record in public.tenants with domain bindings and brand assets.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Server-Side Tenant Resolution:</w:t>
      </w:r>
      <w:r>
        <w:rPr>
          <w:rFonts w:ascii="Calibri" w:hAnsi="Calibri"/>
          <w:color w:val="334155"/>
          <w:sz w:val="20"/>
        </w:rPr>
        <w:t xml:space="preserve"> Client input can never supply or modify tenant_id; resolution is derived server-side via email domain or admin binding.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Hierarchical RBAC:</w:t>
      </w:r>
      <w:r>
        <w:rPr>
          <w:rFonts w:ascii="Calibri" w:hAnsi="Calibri"/>
          <w:color w:val="334155"/>
          <w:sz w:val="20"/>
        </w:rPr>
        <w:t xml:space="preserve"> Enforces 7 hierarchical roles: super_admin, college_admin, committee_member, evaluator, company_rep, mentor, student.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Field Protection Trigger:</w:t>
      </w:r>
      <w:r>
        <w:rPr>
          <w:rFonts w:ascii="Calibri" w:hAnsi="Calibri"/>
          <w:color w:val="334155"/>
          <w:sz w:val="20"/>
        </w:rPr>
        <w:t xml:space="preserve"> Prevents any user from modifying their own role, tenant_id, or active status.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Fail-Closed Protection:</w:t>
      </w:r>
      <w:r>
        <w:rPr>
          <w:rFonts w:ascii="Calibri" w:hAnsi="Calibri"/>
          <w:color w:val="334155"/>
          <w:sz w:val="20"/>
        </w:rPr>
        <w:t xml:space="preserve"> In production, any missing Supabase configuration immediately halts workspace rendering.</w:t>
      </w:r>
    </w:p>
    <w:p>
      <w:pPr>
        <w:keepNext/>
        <w:spacing w:before="280" w:after="120"/>
      </w:pPr>
      <w:r>
        <w:rPr>
          <w:rFonts w:ascii="Calibri" w:hAnsi="Calibri"/>
          <w:b/>
          <w:color w:val="4F46E5"/>
          <w:sz w:val="32"/>
        </w:rPr>
        <w:t>4. 12-Phase Complete Specification Parity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1"/>
        </w:rPr>
        <w:t>HackBridge delivers 100% specification parity across all 12 institutional phases: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1 &amp; 1.5: Multi-Tenant Core &amp; Security</w:t>
      </w:r>
      <w:r>
        <w:rPr>
          <w:rFonts w:ascii="Calibri" w:hAnsi="Calibri"/>
          <w:color w:val="334155"/>
          <w:sz w:val="20"/>
        </w:rPr>
        <w:t xml:space="preserve"> Schema tenant isolation, GoTrue authentication, role whitelisting, and field protection triggers.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2A &amp; 2B: Hackathon Lifecycle Engine</w:t>
      </w:r>
      <w:r>
        <w:rPr>
          <w:rFonts w:ascii="Calibri" w:hAnsi="Calibri"/>
          <w:color w:val="334155"/>
          <w:sz w:val="20"/>
        </w:rPr>
        <w:t xml:space="preserve"> 7 database-enforced lifecycle states (draft to archived), prize pool tiers, and configurable rubrics.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2C: Corporate Partner Directory</w:t>
      </w:r>
      <w:r>
        <w:rPr>
          <w:rFonts w:ascii="Calibri" w:hAnsi="Calibri"/>
          <w:color w:val="334155"/>
          <w:sz w:val="20"/>
        </w:rPr>
        <w:t xml:space="preserve"> Company profile registry, industry domain classification, sponsor tier tracking, and verification desk.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3A &amp; 3B: Problem Statement Intake &amp; Review</w:t>
      </w:r>
      <w:r>
        <w:rPr>
          <w:rFonts w:ascii="Calibri" w:hAnsi="Calibri"/>
          <w:color w:val="334155"/>
          <w:sz w:val="20"/>
        </w:rPr>
        <w:t xml:space="preserve"> Industrial challenge authoring, review workflow, dataset attachments, and student challenge publication.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4: Team Formation &amp; Capacity Enforcer</w:t>
      </w:r>
      <w:r>
        <w:rPr>
          <w:rFonts w:ascii="Calibri" w:hAnsi="Calibri"/>
          <w:color w:val="334155"/>
          <w:sz w:val="20"/>
        </w:rPr>
        <w:t xml:space="preserve"> Team creation, unique invite codes (e.g. MITT-9X4K), capacity limits (2-4), and challenge locking.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5: Multi-Format Submission Engine</w:t>
      </w:r>
      <w:r>
        <w:rPr>
          <w:rFonts w:ascii="Calibri" w:hAnsi="Calibri"/>
          <w:color w:val="334155"/>
          <w:sz w:val="20"/>
        </w:rPr>
        <w:t xml:space="preserve"> Project deliverables intake (GitHub repo, live demo, video, presentation deck, architecture abstract).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6: Automated AI Pre-Screening Pipeline</w:t>
      </w:r>
      <w:r>
        <w:rPr>
          <w:rFonts w:ascii="Calibri" w:hAnsi="Calibri"/>
          <w:color w:val="334155"/>
          <w:sz w:val="20"/>
        </w:rPr>
        <w:t xml:space="preserve"> Heuristic triage engine computing relevance, completeness, and innovation scores (9.6/10) with flags.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7: Double-Blind Rubric Scoring Workspace</w:t>
      </w:r>
      <w:r>
        <w:rPr>
          <w:rFonts w:ascii="Calibri" w:hAnsi="Calibri"/>
          <w:color w:val="334155"/>
          <w:sz w:val="20"/>
        </w:rPr>
        <w:t xml:space="preserve"> Masked team dossiers, 4-criterion dynamic sliders, real-time weighted scores, and COI recusal.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8: Championship Dynamic Leaderboard</w:t>
      </w:r>
      <w:r>
        <w:rPr>
          <w:rFonts w:ascii="Calibri" w:hAnsi="Calibri"/>
          <w:color w:val="334155"/>
          <w:sz w:val="20"/>
        </w:rPr>
        <w:t xml:space="preserve"> Live podium rankings (Gold, Silver, Bronze), evaluator consensus metrics, and public ceremony view.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9: Verified Student Talent Portfolios</w:t>
      </w:r>
      <w:r>
        <w:rPr>
          <w:rFonts w:ascii="Calibri" w:hAnsi="Calibri"/>
          <w:color w:val="334155"/>
          <w:sz w:val="20"/>
        </w:rPr>
        <w:t xml:space="preserve"> Verified credentials, CGPA, hackathon award badges, interactive skills radar, and public portfolio URLs.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10: Recruiter Scouting &amp; Direct Hiring</w:t>
      </w:r>
      <w:r>
        <w:rPr>
          <w:rFonts w:ascii="Calibri" w:hAnsi="Calibri"/>
          <w:color w:val="334155"/>
          <w:sz w:val="20"/>
        </w:rPr>
        <w:t xml:space="preserve"> Searchable student talent pool with filters (skills, CGPA) and 1-click Express Hiring Interest offers.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11: Compliance Audit Logs &amp; Notifications</w:t>
      </w:r>
      <w:r>
        <w:rPr>
          <w:rFonts w:ascii="Calibri" w:hAnsi="Calibri"/>
          <w:color w:val="334155"/>
          <w:sz w:val="20"/>
        </w:rPr>
        <w:t xml:space="preserve"> Tamper-evident institutional audit trail (actor, action, IP) and real-time in-app notification center.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Phase 12: Production Infrastructure &amp; Storage</w:t>
      </w:r>
      <w:r>
        <w:rPr>
          <w:rFonts w:ascii="Calibri" w:hAnsi="Calibri"/>
          <w:color w:val="334155"/>
          <w:sz w:val="20"/>
        </w:rPr>
        <w:t xml:space="preserve"> Supabase Storage buckets, Docker multi-stage build, Nginx Alpine proxy, and Redis/BullMQ queue design.</w:t>
      </w:r>
    </w:p>
    <w:p>
      <w:pPr>
        <w:keepNext/>
        <w:spacing w:before="280" w:after="120"/>
      </w:pPr>
      <w:r>
        <w:rPr>
          <w:rFonts w:ascii="Calibri" w:hAnsi="Calibri"/>
          <w:b/>
          <w:color w:val="4F46E5"/>
          <w:sz w:val="32"/>
        </w:rPr>
        <w:t>5. Comprehensive Stakeholder User Manual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6"/>
        </w:rPr>
        <w:t>5.1 College Administrator Guide (/admin)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Hackathon Orchestration:</w:t>
      </w:r>
      <w:r>
        <w:rPr>
          <w:rFonts w:ascii="Calibri" w:hAnsi="Calibri"/>
          <w:color w:val="334155"/>
          <w:sz w:val="20"/>
        </w:rPr>
        <w:t xml:space="preserve"> Create new hackathons, configure dates, rules, team bounds, and multi-criteria rubrics.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Corporate Partner Approval:</w:t>
      </w:r>
      <w:r>
        <w:rPr>
          <w:rFonts w:ascii="Calibri" w:hAnsi="Calibri"/>
          <w:color w:val="334155"/>
          <w:sz w:val="20"/>
        </w:rPr>
        <w:t xml:space="preserve"> Verify company credentials and approve sponsorship participation.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Problem Statement Review:</w:t>
      </w:r>
      <w:r>
        <w:rPr>
          <w:rFonts w:ascii="Calibri" w:hAnsi="Calibri"/>
          <w:color w:val="334155"/>
          <w:sz w:val="20"/>
        </w:rPr>
        <w:t xml:space="preserve"> Review, approve, or request revisions on industrial problem statements.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AI Pre-Screening Console:</w:t>
      </w:r>
      <w:r>
        <w:rPr>
          <w:rFonts w:ascii="Calibri" w:hAnsi="Calibri"/>
          <w:color w:val="334155"/>
          <w:sz w:val="20"/>
        </w:rPr>
        <w:t xml:space="preserve"> Inspect automated submission scores, repository health, and trigger batch triage.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Judging Deliberation &amp; Results:</w:t>
      </w:r>
      <w:r>
        <w:rPr>
          <w:rFonts w:ascii="Calibri" w:hAnsi="Calibri"/>
          <w:color w:val="334155"/>
          <w:sz w:val="20"/>
        </w:rPr>
        <w:t xml:space="preserve"> Review score distributions, resolve variance anomalies, and confirm prize awards.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Compliance Audit Trail:</w:t>
      </w:r>
      <w:r>
        <w:rPr>
          <w:rFonts w:ascii="Calibri" w:hAnsi="Calibri"/>
          <w:color w:val="334155"/>
          <w:sz w:val="20"/>
        </w:rPr>
        <w:t xml:space="preserve"> Access immutable audit logs for NAAC/NBA academic accreditation compliance.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6"/>
        </w:rPr>
        <w:t>5.2 Student Innovator Guide (/student)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Team Workspace:</w:t>
      </w:r>
      <w:r>
        <w:rPr>
          <w:rFonts w:ascii="Calibri" w:hAnsi="Calibri"/>
          <w:color w:val="334155"/>
          <w:sz w:val="20"/>
        </w:rPr>
        <w:t xml:space="preserve"> View registered team ('NeuralByte Innovations'), copy invite code ('MITT-9X4K'), and manage member roles.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Problem Selection:</w:t>
      </w:r>
      <w:r>
        <w:rPr>
          <w:rFonts w:ascii="Calibri" w:hAnsi="Calibri"/>
          <w:color w:val="334155"/>
          <w:sz w:val="20"/>
        </w:rPr>
        <w:t xml:space="preserve"> Browse published challenges sponsored by Bosch, Zerodha, Philips, Infosys, and AgriTech.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Deliverables Submission:</w:t>
      </w:r>
      <w:r>
        <w:rPr>
          <w:rFonts w:ascii="Calibri" w:hAnsi="Calibri"/>
          <w:color w:val="334155"/>
          <w:sz w:val="20"/>
        </w:rPr>
        <w:t xml:space="preserve"> Submit repo, live demo, video walkthrough, pitch deck, and inspect AI 9.6/10 readiness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Talent Portfolio:</w:t>
      </w:r>
      <w:r>
        <w:rPr>
          <w:rFonts w:ascii="Calibri" w:hAnsi="Calibri"/>
          <w:color w:val="334155"/>
          <w:sz w:val="20"/>
        </w:rPr>
        <w:t xml:space="preserve"> Showcase verified 9.4 CGPA, Grand Champion badge, skills radar, and download verified resume.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Career Opportunities:</w:t>
      </w:r>
      <w:r>
        <w:rPr>
          <w:rFonts w:ascii="Calibri" w:hAnsi="Calibri"/>
          <w:color w:val="334155"/>
          <w:sz w:val="20"/>
        </w:rPr>
        <w:t xml:space="preserve"> Review corporate job and internship offers (e.g. Bosch ₹12-15 LPA CTC, Zerodha ₹60k/mo).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6"/>
        </w:rPr>
        <w:t>5.3 Evaluator / Industry Judge Guide (/evaluator)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Assigned Submissions Queue:</w:t>
      </w:r>
      <w:r>
        <w:rPr>
          <w:rFonts w:ascii="Calibri" w:hAnsi="Calibri"/>
          <w:color w:val="334155"/>
          <w:sz w:val="20"/>
        </w:rPr>
        <w:t xml:space="preserve"> View assigned submissions with status badges (Completed, Pending, Recused) and filter tabs.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Scoring Workspace:</w:t>
      </w:r>
      <w:r>
        <w:rPr>
          <w:rFonts w:ascii="Calibri" w:hAnsi="Calibri"/>
          <w:color w:val="334155"/>
          <w:sz w:val="20"/>
        </w:rPr>
        <w:t xml:space="preserve"> Double-blind masked dossier (left) with direct links to repo, demo, and slides.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Dynamic Rubric Sliders:</w:t>
      </w:r>
      <w:r>
        <w:rPr>
          <w:rFonts w:ascii="Calibri" w:hAnsi="Calibri"/>
          <w:color w:val="334155"/>
          <w:sz w:val="20"/>
        </w:rPr>
        <w:t xml:space="preserve"> Adjust 4-criterion sliders (Innovation, Complexity, Feasibility, Presentation) with live weighted score.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Review Entry Switcher:</w:t>
      </w:r>
      <w:r>
        <w:rPr>
          <w:rFonts w:ascii="Calibri" w:hAnsi="Calibri"/>
          <w:color w:val="334155"/>
          <w:sz w:val="20"/>
        </w:rPr>
        <w:t xml:space="preserve"> Seamlessly toggle between assigned projects right inside the scoring workspace.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COI Declaration:</w:t>
      </w:r>
      <w:r>
        <w:rPr>
          <w:rFonts w:ascii="Calibri" w:hAnsi="Calibri"/>
          <w:color w:val="334155"/>
          <w:sz w:val="20"/>
        </w:rPr>
        <w:t xml:space="preserve"> One-click recusal protocol to declare conflict of interest and re-route submissions.</w:t>
      </w:r>
    </w:p>
    <w:p>
      <w:pPr>
        <w:keepNext/>
        <w:spacing w:before="200" w:after="80"/>
      </w:pPr>
      <w:r>
        <w:rPr>
          <w:rFonts w:ascii="Calibri" w:hAnsi="Calibri"/>
          <w:b/>
          <w:color w:val="1E293B"/>
          <w:sz w:val="26"/>
        </w:rPr>
        <w:t>5.4 Corporate Recruiter Guide (/company)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Challenge Authoring:</w:t>
      </w:r>
      <w:r>
        <w:rPr>
          <w:rFonts w:ascii="Calibri" w:hAnsi="Calibri"/>
          <w:color w:val="334155"/>
          <w:sz w:val="20"/>
        </w:rPr>
        <w:t xml:space="preserve"> Submit technical challenges with target domains, bounty prizes, and dataset specs.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Talent Pool Scouting:</w:t>
      </w:r>
      <w:r>
        <w:rPr>
          <w:rFonts w:ascii="Calibri" w:hAnsi="Calibri"/>
          <w:color w:val="334155"/>
          <w:sz w:val="20"/>
        </w:rPr>
        <w:t xml:space="preserve"> Search high-performing students by technical skill tags, CGPA, and hackathon distinctions.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1-Click Hiring Outreach:</w:t>
      </w:r>
      <w:r>
        <w:rPr>
          <w:rFonts w:ascii="Calibri" w:hAnsi="Calibri"/>
          <w:color w:val="334155"/>
          <w:sz w:val="20"/>
        </w:rPr>
        <w:t xml:space="preserve"> Dispatch job/internship offers with compensation packages directly to students.</w:t>
      </w:r>
    </w:p>
    <w:p>
      <w:pPr>
        <w:keepNext/>
        <w:spacing w:before="280" w:after="120"/>
      </w:pPr>
      <w:r>
        <w:rPr>
          <w:rFonts w:ascii="Calibri" w:hAnsi="Calibri"/>
          <w:b/>
          <w:color w:val="4F46E5"/>
          <w:sz w:val="32"/>
        </w:rPr>
        <w:t>6. Demonstration Dataset (MITT NIH 2026)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1"/>
        </w:rPr>
        <w:t>The platform includes a cohesive, realistic dataset centered on the MITT National Innovation Hackathon 2026 allowing comprehensive live panel demonstrations without empty states.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fill="4F46E5"/>
          </w:tcPr>
          <w:p>
            <w:r>
              <w:rPr>
                <w:b/>
                <w:color w:val="FFFFFF"/>
                <w:sz w:val="19"/>
              </w:rPr>
              <w:t>Team Name</w:t>
            </w:r>
          </w:p>
        </w:tc>
        <w:tc>
          <w:tcPr>
            <w:tcW w:type="dxa" w:w="2016"/>
            <w:shd w:fill="4F46E5"/>
          </w:tcPr>
          <w:p>
            <w:r>
              <w:rPr>
                <w:b/>
                <w:color w:val="FFFFFF"/>
                <w:sz w:val="19"/>
              </w:rPr>
              <w:t>Invite Code</w:t>
            </w:r>
          </w:p>
        </w:tc>
        <w:tc>
          <w:tcPr>
            <w:tcW w:type="dxa" w:w="2016"/>
            <w:shd w:fill="4F46E5"/>
          </w:tcPr>
          <w:p>
            <w:r>
              <w:rPr>
                <w:b/>
                <w:color w:val="FFFFFF"/>
                <w:sz w:val="19"/>
              </w:rPr>
              <w:t>Problem Statement</w:t>
            </w:r>
          </w:p>
        </w:tc>
        <w:tc>
          <w:tcPr>
            <w:tcW w:type="dxa" w:w="2016"/>
            <w:shd w:fill="4F46E5"/>
          </w:tcPr>
          <w:p>
            <w:r>
              <w:rPr>
                <w:b/>
                <w:color w:val="FFFFFF"/>
                <w:sz w:val="19"/>
              </w:rPr>
              <w:t>AI Score</w:t>
            </w:r>
          </w:p>
        </w:tc>
        <w:tc>
          <w:tcPr>
            <w:tcW w:type="dxa" w:w="2016"/>
            <w:shd w:fill="4F46E5"/>
          </w:tcPr>
          <w:p>
            <w:r>
              <w:rPr>
                <w:b/>
                <w:color w:val="FFFFFF"/>
                <w:sz w:val="19"/>
              </w:rPr>
              <w:t>Championship Rank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NeuralByte Innovations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MITT-9X4K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Bosch Autonomous Traffic Sync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9.6 / 10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1st Place (Gold — 95.5)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QuantEdge AI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MITT-7B2Y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Zerodha Graph Mempool Interceptor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9.4 / 10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2nd Place (Silver — 93.0)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AgriSense IoT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MITT-5K9M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Karnataka AgriTech Soil LoRa Mesh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9.2 / 10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3rd Place (Bronze — 91.5)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HealthPulse Edge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MITT-3W8L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Philips Rural PHC AI Diagnostics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8.8 / 10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4th Place (88.0)</w:t>
            </w:r>
          </w:p>
        </w:tc>
      </w:tr>
      <w:tr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CyberShield Zero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MITT-2P4N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Infosys eBPF Ransomware Interceptor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8.7 / 10</w:t>
            </w:r>
          </w:p>
        </w:tc>
        <w:tc>
          <w:tcPr>
            <w:tcW w:type="dxa" w:w="2016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color w:val="334155"/>
                <w:sz w:val="18"/>
              </w:rPr>
              <w:t>5th Place (86.5)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Calibri" w:hAnsi="Calibri"/>
          <w:b/>
          <w:color w:val="4F46E5"/>
          <w:sz w:val="32"/>
        </w:rPr>
        <w:t>7. Deployment, Docker &amp; Operations Guide</w:t>
      </w:r>
    </w:p>
    <w:p>
      <w:pPr>
        <w:spacing w:after="80" w:line="276" w:lineRule="auto"/>
      </w:pPr>
      <w:r>
        <w:rPr>
          <w:rFonts w:ascii="Calibri" w:hAnsi="Calibri"/>
          <w:color w:val="334155"/>
          <w:sz w:val="21"/>
        </w:rPr>
        <w:t>HackBridge supports local development execution as well as containerized cloud deployment: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Local Development:</w:t>
      </w:r>
      <w:r>
        <w:rPr>
          <w:rFonts w:ascii="Calibri" w:hAnsi="Calibri"/>
          <w:color w:val="334155"/>
          <w:sz w:val="20"/>
        </w:rPr>
        <w:t xml:space="preserve"> npm install &amp;&amp; npm run dev (accessible at http://localhost:5173/)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Production Compilation:</w:t>
      </w:r>
      <w:r>
        <w:rPr>
          <w:rFonts w:ascii="Calibri" w:hAnsi="Calibri"/>
          <w:color w:val="334155"/>
          <w:sz w:val="20"/>
        </w:rPr>
        <w:t xml:space="preserve"> npm run build (verifies strict TypeScript compilation and builds minified bundle in dist/)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1E293B"/>
          <w:sz w:val="20"/>
        </w:rPr>
        <w:t>Docker Deployment:</w:t>
      </w:r>
      <w:r>
        <w:rPr>
          <w:rFonts w:ascii="Calibri" w:hAnsi="Calibri"/>
          <w:color w:val="334155"/>
          <w:sz w:val="20"/>
        </w:rPr>
        <w:t xml:space="preserve"> docker-compose up --build -d (launches Alpine Nginx container serving the optimized SPA on port 80)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