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8C" w:rsidRDefault="005A638C" w:rsidP="005A638C">
      <w:pPr>
        <w:rPr>
          <w:b/>
          <w:bCs/>
        </w:rPr>
      </w:pPr>
      <w:r>
        <w:rPr>
          <w:b/>
          <w:bCs/>
        </w:rPr>
        <w:t>Class activity-1                                                                                    Name: Satyatma Chincholi</w:t>
      </w:r>
    </w:p>
    <w:p w:rsidR="005A638C" w:rsidRDefault="005A638C" w:rsidP="005A638C">
      <w:pPr>
        <w:rPr>
          <w:b/>
          <w:bCs/>
        </w:rPr>
      </w:pPr>
      <w:r>
        <w:rPr>
          <w:b/>
          <w:bCs/>
        </w:rPr>
        <w:t xml:space="preserve">                                                                                                               USN: 1RVU23CSE414</w:t>
      </w:r>
    </w:p>
    <w:p w:rsidR="005A638C" w:rsidRPr="005A638C" w:rsidRDefault="005A638C" w:rsidP="005A638C">
      <w:pPr>
        <w:rPr>
          <w:b/>
          <w:bCs/>
        </w:rPr>
      </w:pPr>
      <w:r w:rsidRPr="005A638C">
        <w:rPr>
          <w:b/>
          <w:bCs/>
        </w:rPr>
        <w:t>The Convergence of Generative AI, Genomics, and Personalized Medicine: A Paradigm Shift in Biotechnology</w:t>
      </w:r>
    </w:p>
    <w:p w:rsidR="005A638C" w:rsidRPr="005A638C" w:rsidRDefault="005A638C" w:rsidP="005A638C">
      <w:r w:rsidRPr="005A638C">
        <w:t>The intersection of Generative Artificial Intelligence (GenAI) and the life sciences is redefining the boundaries of biological research and clinical practice. Traditionally, biology has been a descriptive and observational field. However, the advent of Large Language Models (LLMs), Diffusion Models, and Graph Neural Networks (GNNs) has transitioned the discipline into a "generative" era. By treating biological sequences—DNA, RNA, and proteins—as complex languages or geometric manifolds, GenAI is enabling the design of novel therapeutics and the decoding of genomic complexities at an unprecedented scale.</w:t>
      </w:r>
    </w:p>
    <w:p w:rsidR="005A638C" w:rsidRPr="005A638C" w:rsidRDefault="005A638C" w:rsidP="005A638C">
      <w:r w:rsidRPr="005A638C">
        <w:pict>
          <v:rect id="_x0000_i1067" style="width:0;height:1.5pt" o:hralign="center" o:hrstd="t" o:hrnoshade="t" o:hr="t" fillcolor="gray" stroked="f"/>
        </w:pict>
      </w:r>
    </w:p>
    <w:p w:rsidR="005A638C" w:rsidRPr="005A638C" w:rsidRDefault="005A638C" w:rsidP="005A638C">
      <w:pPr>
        <w:rPr>
          <w:b/>
          <w:bCs/>
        </w:rPr>
      </w:pPr>
      <w:r w:rsidRPr="005A638C">
        <w:rPr>
          <w:b/>
          <w:bCs/>
        </w:rPr>
        <w:t>1. Genomics: Decoding the Language of Life</w:t>
      </w:r>
    </w:p>
    <w:p w:rsidR="005A638C" w:rsidRPr="005A638C" w:rsidRDefault="005A638C" w:rsidP="005A638C">
      <w:r w:rsidRPr="005A638C">
        <w:t>Genomics involves the study of the entirety of an organism's genes. The primary challenge is the sheer volume and complexity of the data; the human genome contains approximately 3 billion base pairs. GenAI models, particularly those based on the Transformer architecture, are uniquely suited to this challenge.</w:t>
      </w:r>
    </w:p>
    <w:p w:rsidR="005A638C" w:rsidRPr="005A638C" w:rsidRDefault="005A638C" w:rsidP="005A638C">
      <w:pPr>
        <w:numPr>
          <w:ilvl w:val="0"/>
          <w:numId w:val="1"/>
        </w:numPr>
      </w:pPr>
      <w:r w:rsidRPr="005A638C">
        <w:rPr>
          <w:b/>
          <w:bCs/>
        </w:rPr>
        <w:t>Genomic Language Models (GLMs):</w:t>
      </w:r>
      <w:r w:rsidRPr="005A638C">
        <w:t xml:space="preserve"> Similar to how GPT-4 understands human syntax, GLMs like DNABERT or </w:t>
      </w:r>
      <w:proofErr w:type="spellStart"/>
      <w:r w:rsidRPr="005A638C">
        <w:t>Enformer</w:t>
      </w:r>
      <w:proofErr w:type="spellEnd"/>
      <w:r w:rsidRPr="005A638C">
        <w:t xml:space="preserve"> are trained on vast genomic sequences. These models learn the "grammar" of the genome, identifying regulatory motifs, splice sites, and enhancers that were previously difficult to characterize.</w:t>
      </w:r>
    </w:p>
    <w:p w:rsidR="005A638C" w:rsidRPr="005A638C" w:rsidRDefault="005A638C" w:rsidP="005A638C">
      <w:pPr>
        <w:numPr>
          <w:ilvl w:val="0"/>
          <w:numId w:val="1"/>
        </w:numPr>
      </w:pPr>
      <w:r w:rsidRPr="005A638C">
        <w:rPr>
          <w:b/>
          <w:bCs/>
        </w:rPr>
        <w:t>Synthetic Data and Privacy:</w:t>
      </w:r>
      <w:r w:rsidRPr="005A638C">
        <w:t xml:space="preserve"> One of the greatest hurdles in genomics is data privacy. Generative Adversarial Networks (GANs) and Variational Autoencoders (VAEs) can generate high-fidelity synthetic genomes. These datasets mirror the statistical properties of real human populations without exposing sensitive individual identities, facilitating open-source research and collaboration.</w:t>
      </w:r>
    </w:p>
    <w:p w:rsidR="005A638C" w:rsidRPr="005A638C" w:rsidRDefault="005A638C" w:rsidP="005A638C">
      <w:pPr>
        <w:numPr>
          <w:ilvl w:val="0"/>
          <w:numId w:val="1"/>
        </w:numPr>
      </w:pPr>
      <w:r w:rsidRPr="005A638C">
        <w:rPr>
          <w:b/>
          <w:bCs/>
        </w:rPr>
        <w:t>Variant Interpretation and Functional Genomics:</w:t>
      </w:r>
      <w:r w:rsidRPr="005A638C">
        <w:t xml:space="preserve"> GenAI can predict the functional impact of Single Nucleotide Polymorphisms (SNPs). By </w:t>
      </w:r>
      <w:proofErr w:type="spellStart"/>
      <w:r w:rsidRPr="005A638C">
        <w:t>modeling</w:t>
      </w:r>
      <w:proofErr w:type="spellEnd"/>
      <w:r w:rsidRPr="005A638C">
        <w:t xml:space="preserve"> the latent distribution of "healthy" sequences, models can identify deleterious mutations by calculating the probability $P(x)$ of a variant occurring within a functional sequence. This is critical for diagnosing rare genetic diseases where clinical data is sparse.</w:t>
      </w:r>
    </w:p>
    <w:p w:rsidR="005A638C" w:rsidRPr="005A638C" w:rsidRDefault="005A638C" w:rsidP="005A638C">
      <w:r w:rsidRPr="005A638C">
        <w:pict>
          <v:rect id="_x0000_i1068" style="width:0;height:1.5pt" o:hralign="center" o:hrstd="t" o:hrnoshade="t" o:hr="t" fillcolor="gray" stroked="f"/>
        </w:pict>
      </w:r>
    </w:p>
    <w:p w:rsidR="005A638C" w:rsidRPr="005A638C" w:rsidRDefault="005A638C" w:rsidP="005A638C">
      <w:pPr>
        <w:rPr>
          <w:b/>
          <w:bCs/>
        </w:rPr>
      </w:pPr>
      <w:r w:rsidRPr="005A638C">
        <w:rPr>
          <w:b/>
          <w:bCs/>
        </w:rPr>
        <w:t>2. De Novo Drug Discovery: Beyond Chemical Libraries</w:t>
      </w:r>
    </w:p>
    <w:p w:rsidR="005A638C" w:rsidRPr="005A638C" w:rsidRDefault="005A638C" w:rsidP="005A638C">
      <w:r w:rsidRPr="005A638C">
        <w:t xml:space="preserve">The traditional drug discovery pipeline is often described by "Eroom’s Law"—the observation that drug development becomes slower and more expensive over time despite technological advances. GenAI is reversing this trend by shifting from high-throughput screening of existing libraries to the </w:t>
      </w:r>
      <w:r w:rsidRPr="005A638C">
        <w:rPr>
          <w:i/>
          <w:iCs/>
        </w:rPr>
        <w:t>de novo</w:t>
      </w:r>
      <w:r w:rsidRPr="005A638C">
        <w:t xml:space="preserve"> design of molecules.</w:t>
      </w:r>
    </w:p>
    <w:p w:rsidR="005A638C" w:rsidRPr="005A638C" w:rsidRDefault="005A638C" w:rsidP="005A638C">
      <w:pPr>
        <w:numPr>
          <w:ilvl w:val="0"/>
          <w:numId w:val="2"/>
        </w:numPr>
      </w:pPr>
      <w:r w:rsidRPr="005A638C">
        <w:rPr>
          <w:b/>
          <w:bCs/>
        </w:rPr>
        <w:t>Molecular Design in Latent Space:</w:t>
      </w:r>
      <w:r w:rsidRPr="005A638C">
        <w:t xml:space="preserve"> Instead of searching through the estimated $10</w:t>
      </w:r>
      <w:proofErr w:type="gramStart"/>
      <w:r w:rsidRPr="005A638C">
        <w:t>^{60}$</w:t>
      </w:r>
      <w:proofErr w:type="gramEnd"/>
      <w:r w:rsidRPr="005A638C">
        <w:t xml:space="preserve"> drug-like molecules, GenAI models navigate a compressed "latent space." By sampling from this space, researchers can generate SMILES (Simplified Molecular Input Line Entry System) </w:t>
      </w:r>
      <w:r w:rsidRPr="005A638C">
        <w:lastRenderedPageBreak/>
        <w:t>strings for molecules that are optimized for specific properties, such as high bioavailability and low toxicity.</w:t>
      </w:r>
    </w:p>
    <w:p w:rsidR="005A638C" w:rsidRPr="005A638C" w:rsidRDefault="005A638C" w:rsidP="005A638C">
      <w:pPr>
        <w:numPr>
          <w:ilvl w:val="0"/>
          <w:numId w:val="2"/>
        </w:numPr>
      </w:pPr>
      <w:r w:rsidRPr="005A638C">
        <w:rPr>
          <w:b/>
          <w:bCs/>
        </w:rPr>
        <w:t>Protein Folding and Computational Proteomics:</w:t>
      </w:r>
      <w:r w:rsidRPr="005A638C">
        <w:t xml:space="preserve"> Building on the foundations of AlphaFold, generative diffusion models are now being used to design proteins that do not exist in nature. These "programmable" proteins can be engineered to bind specifically to viral spikes or </w:t>
      </w:r>
      <w:proofErr w:type="spellStart"/>
      <w:r w:rsidRPr="005A638C">
        <w:t>tumor</w:t>
      </w:r>
      <w:proofErr w:type="spellEnd"/>
      <w:r w:rsidRPr="005A638C">
        <w:t xml:space="preserve"> receptors, acting as highly targeted biological machines.</w:t>
      </w:r>
    </w:p>
    <w:p w:rsidR="005A638C" w:rsidRPr="005A638C" w:rsidRDefault="005A638C" w:rsidP="005A638C">
      <w:pPr>
        <w:numPr>
          <w:ilvl w:val="0"/>
          <w:numId w:val="2"/>
        </w:numPr>
      </w:pPr>
      <w:r w:rsidRPr="005A638C">
        <w:rPr>
          <w:b/>
          <w:bCs/>
        </w:rPr>
        <w:t>Predicting ADMET Properties:</w:t>
      </w:r>
      <w:r w:rsidRPr="005A638C">
        <w:t xml:space="preserve"> Generative models can simulate how a drug candidate will behave in the human body—Absorption, Distribution, Metabolism, Excretion, and Toxicity (ADMET). By predicting these outcomes in the early "in silico" stage, the failure rate in expensive Phase II and III clinical trials can be drastically reduced.</w:t>
      </w:r>
    </w:p>
    <w:p w:rsidR="005A638C" w:rsidRPr="005A638C" w:rsidRDefault="005A638C" w:rsidP="005A638C">
      <w:r w:rsidRPr="005A638C">
        <w:pict>
          <v:rect id="_x0000_i1069" style="width:0;height:1.5pt" o:hralign="center" o:hrstd="t" o:hrnoshade="t" o:hr="t" fillcolor="gray" stroked="f"/>
        </w:pict>
      </w:r>
    </w:p>
    <w:p w:rsidR="005A638C" w:rsidRPr="005A638C" w:rsidRDefault="005A638C" w:rsidP="005A638C">
      <w:pPr>
        <w:rPr>
          <w:b/>
          <w:bCs/>
        </w:rPr>
      </w:pPr>
      <w:r w:rsidRPr="005A638C">
        <w:rPr>
          <w:b/>
          <w:bCs/>
        </w:rPr>
        <w:t>3. Personalized Medicine: The "N-of-1" Clinical Model</w:t>
      </w:r>
    </w:p>
    <w:p w:rsidR="005A638C" w:rsidRPr="005A638C" w:rsidRDefault="005A638C" w:rsidP="005A638C">
      <w:r w:rsidRPr="005A638C">
        <w:t>Personalized medicine seeks to move away from the "one-size-fits-all" approach to healthcare. GenAI facilitates this by integrating multimodal data—genomic, proteomic, clinical, and lifestyle—into a unified predictive framework.</w:t>
      </w:r>
    </w:p>
    <w:p w:rsidR="005A638C" w:rsidRPr="005A638C" w:rsidRDefault="005A638C" w:rsidP="005A638C">
      <w:pPr>
        <w:numPr>
          <w:ilvl w:val="0"/>
          <w:numId w:val="3"/>
        </w:numPr>
      </w:pPr>
      <w:r w:rsidRPr="005A638C">
        <w:rPr>
          <w:b/>
          <w:bCs/>
        </w:rPr>
        <w:t>Precision Oncology:</w:t>
      </w:r>
      <w:r w:rsidRPr="005A638C">
        <w:t xml:space="preserve"> Cancer is a disease of the genome. GenAI models </w:t>
      </w:r>
      <w:proofErr w:type="spellStart"/>
      <w:r w:rsidRPr="005A638C">
        <w:t>analyze</w:t>
      </w:r>
      <w:proofErr w:type="spellEnd"/>
      <w:r w:rsidRPr="005A638C">
        <w:t xml:space="preserve"> the specific mutations within a patient's </w:t>
      </w:r>
      <w:proofErr w:type="spellStart"/>
      <w:r w:rsidRPr="005A638C">
        <w:t>tumor</w:t>
      </w:r>
      <w:proofErr w:type="spellEnd"/>
      <w:r w:rsidRPr="005A638C">
        <w:t xml:space="preserve"> to suggest "synthetic lethality" pairs—combinations of drugs where the </w:t>
      </w:r>
      <w:proofErr w:type="spellStart"/>
      <w:r w:rsidRPr="005A638C">
        <w:t>tumor’s</w:t>
      </w:r>
      <w:proofErr w:type="spellEnd"/>
      <w:r w:rsidRPr="005A638C">
        <w:t xml:space="preserve"> genetic vulnerability makes the treatment effective, while sparing healthy cells.</w:t>
      </w:r>
    </w:p>
    <w:p w:rsidR="005A638C" w:rsidRPr="005A638C" w:rsidRDefault="005A638C" w:rsidP="005A638C">
      <w:pPr>
        <w:numPr>
          <w:ilvl w:val="0"/>
          <w:numId w:val="3"/>
        </w:numPr>
      </w:pPr>
      <w:r w:rsidRPr="005A638C">
        <w:rPr>
          <w:b/>
          <w:bCs/>
        </w:rPr>
        <w:t>Digital Twins and Treatment Simulation:</w:t>
      </w:r>
      <w:r w:rsidRPr="005A638C">
        <w:t xml:space="preserve"> A "Digital Twin" is a generative computational model of a patient. These models allow clinicians to simulate different therapeutic interventions in a virtual environment. For instance, a cardiologist could use a generative model of a patient’s heart to predict the hemodynamic response to a new medication before the first dose is ever administered.</w:t>
      </w:r>
    </w:p>
    <w:p w:rsidR="005A638C" w:rsidRPr="005A638C" w:rsidRDefault="005A638C" w:rsidP="005A638C">
      <w:pPr>
        <w:numPr>
          <w:ilvl w:val="0"/>
          <w:numId w:val="3"/>
        </w:numPr>
      </w:pPr>
      <w:r w:rsidRPr="005A638C">
        <w:rPr>
          <w:b/>
          <w:bCs/>
        </w:rPr>
        <w:t>Transcriptomics and Single-Cell Analysis:</w:t>
      </w:r>
      <w:r w:rsidRPr="005A638C">
        <w:t xml:space="preserve"> GenAI is revolutionizing single-cell RNA sequencing (</w:t>
      </w:r>
      <w:proofErr w:type="spellStart"/>
      <w:r w:rsidRPr="005A638C">
        <w:t>scRNA-seq</w:t>
      </w:r>
      <w:proofErr w:type="spellEnd"/>
      <w:r w:rsidRPr="005A638C">
        <w:t>). By "imputing" missing data in sparse single-cell datasets, generative models allow researchers to see a high-resolution map of how individual cells respond to treatments, leading to more refined personalized therapies for autoimmune and neurodegenerative diseases.</w:t>
      </w:r>
    </w:p>
    <w:p w:rsidR="005A638C" w:rsidRPr="005A638C" w:rsidRDefault="005A638C" w:rsidP="005A638C">
      <w:r w:rsidRPr="005A638C">
        <w:pict>
          <v:rect id="_x0000_i1070" style="width:0;height:1.5pt" o:hralign="center" o:hrstd="t" o:hrnoshade="t" o:hr="t" fillcolor="gray" stroked="f"/>
        </w:pict>
      </w:r>
    </w:p>
    <w:p w:rsidR="005A638C" w:rsidRPr="005A638C" w:rsidRDefault="005A638C" w:rsidP="005A638C">
      <w:pPr>
        <w:rPr>
          <w:b/>
          <w:bCs/>
        </w:rPr>
      </w:pPr>
      <w:r w:rsidRPr="005A638C">
        <w:rPr>
          <w:b/>
          <w:bCs/>
        </w:rPr>
        <w:t>4. Technical Architectures in Bio-AI</w:t>
      </w:r>
    </w:p>
    <w:p w:rsidR="005A638C" w:rsidRPr="005A638C" w:rsidRDefault="005A638C" w:rsidP="005A638C">
      <w:r w:rsidRPr="005A638C">
        <w:t>The success of GenAI in this domain is driven by specific mathematical and architectural innovations.</w:t>
      </w:r>
    </w:p>
    <w:p w:rsidR="005A638C" w:rsidRPr="005A638C" w:rsidRDefault="005A638C" w:rsidP="005A638C">
      <w:pPr>
        <w:numPr>
          <w:ilvl w:val="0"/>
          <w:numId w:val="4"/>
        </w:numPr>
      </w:pPr>
      <w:r w:rsidRPr="005A638C">
        <w:rPr>
          <w:b/>
          <w:bCs/>
        </w:rPr>
        <w:t>Diffusion Models:</w:t>
      </w:r>
      <w:r w:rsidRPr="005A638C">
        <w:t xml:space="preserve"> Used primarily for generating 3D protein structures and molecular docking configurations. They work by adding "noise" to a structure and learning the reverse process to "denoise" a random distribution into a biologically viable molecule.</w:t>
      </w:r>
    </w:p>
    <w:p w:rsidR="005A638C" w:rsidRPr="005A638C" w:rsidRDefault="005A638C" w:rsidP="005A638C">
      <w:pPr>
        <w:numPr>
          <w:ilvl w:val="0"/>
          <w:numId w:val="4"/>
        </w:numPr>
      </w:pPr>
      <w:r w:rsidRPr="005A638C">
        <w:rPr>
          <w:b/>
          <w:bCs/>
        </w:rPr>
        <w:t>Graph Neural Networks (GNNs):</w:t>
      </w:r>
      <w:r w:rsidRPr="005A638C">
        <w:t xml:space="preserve"> Since molecules are essentially graphs (atoms as nodes, bonds as edges), GNNs are used to predict the chemical properties of new compounds.</w:t>
      </w:r>
    </w:p>
    <w:p w:rsidR="005A638C" w:rsidRPr="005A638C" w:rsidRDefault="005A638C" w:rsidP="005A638C">
      <w:pPr>
        <w:numPr>
          <w:ilvl w:val="0"/>
          <w:numId w:val="4"/>
        </w:numPr>
      </w:pPr>
      <w:r w:rsidRPr="005A638C">
        <w:rPr>
          <w:b/>
          <w:bCs/>
        </w:rPr>
        <w:t>Cross-Modal Transformers:</w:t>
      </w:r>
      <w:r w:rsidRPr="005A638C">
        <w:t xml:space="preserve"> These models can link different types of data, such as connecting a text-based clinical report with a 2D pathology image and a 1D genomic sequence, providing a holistic view of patient health.</w:t>
      </w:r>
    </w:p>
    <w:p w:rsidR="005A638C" w:rsidRPr="005A638C" w:rsidRDefault="005A638C" w:rsidP="005A638C">
      <w:r w:rsidRPr="005A638C">
        <w:lastRenderedPageBreak/>
        <w:pict>
          <v:rect id="_x0000_i1071" style="width:0;height:1.5pt" o:hralign="center" o:hrstd="t" o:hrnoshade="t" o:hr="t" fillcolor="gray" stroked="f"/>
        </w:pict>
      </w:r>
    </w:p>
    <w:p w:rsidR="005A638C" w:rsidRPr="005A638C" w:rsidRDefault="005A638C" w:rsidP="005A638C">
      <w:pPr>
        <w:rPr>
          <w:b/>
          <w:bCs/>
        </w:rPr>
      </w:pPr>
      <w:r w:rsidRPr="005A638C">
        <w:rPr>
          <w:b/>
          <w:bCs/>
        </w:rPr>
        <w:t>5. Ethical Considerations and Future Directions</w:t>
      </w:r>
    </w:p>
    <w:p w:rsidR="005A638C" w:rsidRPr="005A638C" w:rsidRDefault="005A638C" w:rsidP="005A638C">
      <w:r w:rsidRPr="005A638C">
        <w:t>While the potential is vast, the integration of GenAI into medicine brings significant challenges:</w:t>
      </w:r>
    </w:p>
    <w:p w:rsidR="005A638C" w:rsidRPr="005A638C" w:rsidRDefault="005A638C" w:rsidP="005A638C">
      <w:pPr>
        <w:numPr>
          <w:ilvl w:val="0"/>
          <w:numId w:val="5"/>
        </w:numPr>
      </w:pPr>
      <w:r w:rsidRPr="005A638C">
        <w:rPr>
          <w:b/>
          <w:bCs/>
        </w:rPr>
        <w:t>Interpretability (The "Black Box" Problem):</w:t>
      </w:r>
      <w:r w:rsidRPr="005A638C">
        <w:t xml:space="preserve"> In clinical settings, it is not enough for an AI to be right; clinicians must understand </w:t>
      </w:r>
      <w:r w:rsidRPr="005A638C">
        <w:rPr>
          <w:i/>
          <w:iCs/>
        </w:rPr>
        <w:t>why</w:t>
      </w:r>
      <w:r w:rsidRPr="005A638C">
        <w:t xml:space="preserve"> it made a specific recommendation. Research into Explainable AI (XAI) is essential to ensure that generative insights are grounded in biological reality.</w:t>
      </w:r>
    </w:p>
    <w:p w:rsidR="005A638C" w:rsidRPr="005A638C" w:rsidRDefault="005A638C" w:rsidP="005A638C">
      <w:pPr>
        <w:numPr>
          <w:ilvl w:val="0"/>
          <w:numId w:val="5"/>
        </w:numPr>
      </w:pPr>
      <w:r w:rsidRPr="005A638C">
        <w:rPr>
          <w:b/>
          <w:bCs/>
        </w:rPr>
        <w:t>Data Bias and Equity:</w:t>
      </w:r>
      <w:r w:rsidRPr="005A638C">
        <w:t xml:space="preserve"> If the training data for these models is biased toward specific ancestral populations (e.g., individuals of European descent), the resulting personalized medicine will not be effective for a global population. Ensuring diverse and representative genomic datasets is a moral and scientific imperative.</w:t>
      </w:r>
    </w:p>
    <w:p w:rsidR="005A638C" w:rsidRPr="005A638C" w:rsidRDefault="005A638C" w:rsidP="005A638C">
      <w:pPr>
        <w:numPr>
          <w:ilvl w:val="0"/>
          <w:numId w:val="5"/>
        </w:numPr>
      </w:pPr>
      <w:r w:rsidRPr="005A638C">
        <w:rPr>
          <w:b/>
          <w:bCs/>
        </w:rPr>
        <w:t>Regulatory Frameworks:</w:t>
      </w:r>
      <w:r w:rsidRPr="005A638C">
        <w:t xml:space="preserve"> Agencies like the FDA are currently developing new frameworks to evaluate "software as a medical device" where the underlying model might continue to learn and evolve post-deployment.</w:t>
      </w:r>
    </w:p>
    <w:p w:rsidR="005A638C" w:rsidRPr="005A638C" w:rsidRDefault="005A638C" w:rsidP="005A638C">
      <w:r w:rsidRPr="005A638C">
        <w:pict>
          <v:rect id="_x0000_i1072" style="width:0;height:1.5pt" o:hralign="center" o:hrstd="t" o:hrnoshade="t" o:hr="t" fillcolor="gray" stroked="f"/>
        </w:pict>
      </w:r>
    </w:p>
    <w:p w:rsidR="005A638C" w:rsidRPr="005A638C" w:rsidRDefault="005A638C" w:rsidP="005A638C">
      <w:pPr>
        <w:rPr>
          <w:b/>
          <w:bCs/>
        </w:rPr>
      </w:pPr>
      <w:r w:rsidRPr="005A638C">
        <w:rPr>
          <w:b/>
          <w:bCs/>
        </w:rPr>
        <w:t>Conclusion</w:t>
      </w:r>
    </w:p>
    <w:p w:rsidR="005A638C" w:rsidRPr="005A638C" w:rsidRDefault="005A638C" w:rsidP="005A638C">
      <w:r w:rsidRPr="005A638C">
        <w:t>Generative AI is no longer a peripheral tool in biotechnology; it is becoming the central engine of discovery. By mastering the languages of genomics and molecular biology, GenAI is shortening the distance between biological questions and clinical answers. The future of medicine lies in this synergy—a world where treatments are not just discovered, but are intelligently designed for the unique genetic blueprint of every individual.</w:t>
      </w:r>
    </w:p>
    <w:p w:rsidR="005A638C" w:rsidRPr="005A638C" w:rsidRDefault="005A638C" w:rsidP="005A638C">
      <w:r w:rsidRPr="005A638C">
        <w:pict>
          <v:rect id="_x0000_i1073" style="width:0;height:1.5pt" o:hralign="center" o:hrstd="t" o:hrnoshade="t" o:hr="t" fillcolor="gray" stroked="f"/>
        </w:pict>
      </w:r>
    </w:p>
    <w:p w:rsidR="007E6AB7" w:rsidRDefault="007E6AB7">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Default="005A638C">
      <w:pPr>
        <w:rPr>
          <w:b/>
          <w:bCs/>
        </w:rPr>
      </w:pPr>
    </w:p>
    <w:p w:rsidR="005A638C" w:rsidRPr="005A638C" w:rsidRDefault="005A638C" w:rsidP="005A638C">
      <w:pPr>
        <w:rPr>
          <w:b/>
          <w:bCs/>
        </w:rPr>
      </w:pPr>
      <w:r w:rsidRPr="005A638C">
        <w:rPr>
          <w:b/>
          <w:bCs/>
        </w:rPr>
        <w:lastRenderedPageBreak/>
        <w:t xml:space="preserve">The Catalyst of Modern AI: </w:t>
      </w:r>
      <w:proofErr w:type="spellStart"/>
      <w:r w:rsidRPr="005A638C">
        <w:rPr>
          <w:b/>
          <w:bCs/>
        </w:rPr>
        <w:t>AlexNet</w:t>
      </w:r>
      <w:proofErr w:type="spellEnd"/>
      <w:r w:rsidRPr="005A638C">
        <w:rPr>
          <w:b/>
          <w:bCs/>
        </w:rPr>
        <w:t xml:space="preserve"> and the ImageNet Challenge</w:t>
      </w:r>
    </w:p>
    <w:p w:rsidR="005A638C" w:rsidRPr="005A638C" w:rsidRDefault="005A638C" w:rsidP="005A638C">
      <w:r w:rsidRPr="005A638C">
        <w:t xml:space="preserve">The year 2012 is widely regarded as a watershed moment in the history of Artificial Intelligence. While the theoretical foundations of neural networks had been laid decades earlier, they remained largely peripheral in the computer vision community, which </w:t>
      </w:r>
      <w:proofErr w:type="spellStart"/>
      <w:r w:rsidRPr="005A638C">
        <w:t>favored</w:t>
      </w:r>
      <w:proofErr w:type="spellEnd"/>
      <w:r w:rsidRPr="005A638C">
        <w:t xml:space="preserve"> hand-engineered feature extraction methods. This status quo was shattered during the </w:t>
      </w:r>
      <w:r w:rsidRPr="005A638C">
        <w:rPr>
          <w:b/>
          <w:bCs/>
        </w:rPr>
        <w:t>ImageNet Large Scale Visual Recognition Challenge (ILSVRC) 2012</w:t>
      </w:r>
      <w:r w:rsidRPr="005A638C">
        <w:t xml:space="preserve">, when a deep convolutional neural network (CNN) named </w:t>
      </w:r>
      <w:proofErr w:type="spellStart"/>
      <w:r w:rsidRPr="005A638C">
        <w:rPr>
          <w:b/>
          <w:bCs/>
        </w:rPr>
        <w:t>AlexNet</w:t>
      </w:r>
      <w:proofErr w:type="spellEnd"/>
      <w:r w:rsidRPr="005A638C">
        <w:t xml:space="preserve"> achieved a margin of victory so significant that it ignited the "Deep Learning Revolution."</w:t>
      </w:r>
    </w:p>
    <w:p w:rsidR="005A638C" w:rsidRPr="005A638C" w:rsidRDefault="005A638C" w:rsidP="005A638C">
      <w:r w:rsidRPr="005A638C">
        <w:pict>
          <v:rect id="_x0000_i1117" style="width:0;height:1.5pt" o:hralign="center" o:hrstd="t" o:hrnoshade="t" o:hr="t" fillcolor="gray" stroked="f"/>
        </w:pict>
      </w:r>
    </w:p>
    <w:p w:rsidR="005A638C" w:rsidRPr="005A638C" w:rsidRDefault="005A638C" w:rsidP="005A638C">
      <w:pPr>
        <w:rPr>
          <w:b/>
          <w:bCs/>
        </w:rPr>
      </w:pPr>
      <w:r w:rsidRPr="005A638C">
        <w:rPr>
          <w:b/>
          <w:bCs/>
        </w:rPr>
        <w:t>1. The Proving Ground: ImageNet and ILSVRC</w:t>
      </w:r>
    </w:p>
    <w:p w:rsidR="005A638C" w:rsidRPr="005A638C" w:rsidRDefault="005A638C" w:rsidP="005A638C">
      <w:r w:rsidRPr="005A638C">
        <w:t xml:space="preserve">Before understanding </w:t>
      </w:r>
      <w:proofErr w:type="spellStart"/>
      <w:r w:rsidRPr="005A638C">
        <w:t>AlexNet</w:t>
      </w:r>
      <w:proofErr w:type="spellEnd"/>
      <w:r w:rsidRPr="005A638C">
        <w:t xml:space="preserve">, one must understand the environment that made it possible: </w:t>
      </w:r>
      <w:r w:rsidRPr="005A638C">
        <w:rPr>
          <w:b/>
          <w:bCs/>
        </w:rPr>
        <w:t>ImageNet</w:t>
      </w:r>
      <w:r w:rsidRPr="005A638C">
        <w:t>. Conceived by Dr. Fei-Fei Li and her team, ImageNet was a massive project to map out the entire world of objects. By 2010, the database contained over 14 million images across 20,000 categories, hand-</w:t>
      </w:r>
      <w:proofErr w:type="spellStart"/>
      <w:r w:rsidRPr="005A638C">
        <w:t>labeled</w:t>
      </w:r>
      <w:proofErr w:type="spellEnd"/>
      <w:r w:rsidRPr="005A638C">
        <w:t xml:space="preserve"> through crowdsourcing (Amazon Mechanical Turk).</w:t>
      </w:r>
    </w:p>
    <w:p w:rsidR="005A638C" w:rsidRPr="005A638C" w:rsidRDefault="005A638C" w:rsidP="005A638C">
      <w:r w:rsidRPr="005A638C">
        <w:t xml:space="preserve">The </w:t>
      </w:r>
      <w:r w:rsidRPr="005A638C">
        <w:rPr>
          <w:b/>
          <w:bCs/>
        </w:rPr>
        <w:t>ILSVRC</w:t>
      </w:r>
      <w:r w:rsidRPr="005A638C">
        <w:t xml:space="preserve"> was an annual competition using a subset of this data—roughly 1.2 million images across 1,000 distinct classes. Prior to 2012, the best-performing models relied on classical computer vision pipelines:</w:t>
      </w:r>
    </w:p>
    <w:p w:rsidR="005A638C" w:rsidRPr="005A638C" w:rsidRDefault="005A638C" w:rsidP="005A638C">
      <w:pPr>
        <w:numPr>
          <w:ilvl w:val="0"/>
          <w:numId w:val="6"/>
        </w:numPr>
      </w:pPr>
      <w:r w:rsidRPr="005A638C">
        <w:rPr>
          <w:b/>
          <w:bCs/>
        </w:rPr>
        <w:t>Feature Extraction:</w:t>
      </w:r>
      <w:r w:rsidRPr="005A638C">
        <w:t xml:space="preserve"> Manual methods like SIFT (Scale-Invariant Feature Transform) or HOG (Histogram of Oriented Gradients).</w:t>
      </w:r>
    </w:p>
    <w:p w:rsidR="005A638C" w:rsidRPr="005A638C" w:rsidRDefault="005A638C" w:rsidP="005A638C">
      <w:pPr>
        <w:numPr>
          <w:ilvl w:val="0"/>
          <w:numId w:val="6"/>
        </w:numPr>
      </w:pPr>
      <w:r w:rsidRPr="005A638C">
        <w:rPr>
          <w:b/>
          <w:bCs/>
        </w:rPr>
        <w:t>Classification:</w:t>
      </w:r>
      <w:r w:rsidRPr="005A638C">
        <w:t xml:space="preserve"> Support Vector Machines (SVMs) or shallow classifiers.</w:t>
      </w:r>
    </w:p>
    <w:p w:rsidR="005A638C" w:rsidRPr="005A638C" w:rsidRDefault="005A638C" w:rsidP="005A638C">
      <w:r w:rsidRPr="005A638C">
        <w:t xml:space="preserve">In 2011, the top-5 error rate (the probability that the correct label is not among the model's top five guesses) was approximately </w:t>
      </w:r>
      <w:r w:rsidRPr="005A638C">
        <w:rPr>
          <w:b/>
          <w:bCs/>
        </w:rPr>
        <w:t>25.7%</w:t>
      </w:r>
      <w:r w:rsidRPr="005A638C">
        <w:t>. The field was seeing incremental improvements of 1-2% per year.</w:t>
      </w:r>
    </w:p>
    <w:p w:rsidR="005A638C" w:rsidRPr="005A638C" w:rsidRDefault="005A638C" w:rsidP="005A638C">
      <w:r w:rsidRPr="005A638C">
        <w:pict>
          <v:rect id="_x0000_i1118" style="width:0;height:1.5pt" o:hralign="center" o:hrstd="t" o:hrnoshade="t" o:hr="t" fillcolor="gray" stroked="f"/>
        </w:pict>
      </w:r>
    </w:p>
    <w:p w:rsidR="005A638C" w:rsidRPr="005A638C" w:rsidRDefault="005A638C" w:rsidP="005A638C">
      <w:pPr>
        <w:rPr>
          <w:b/>
          <w:bCs/>
        </w:rPr>
      </w:pPr>
      <w:r w:rsidRPr="005A638C">
        <w:rPr>
          <w:b/>
          <w:bCs/>
        </w:rPr>
        <w:t xml:space="preserve">2. </w:t>
      </w:r>
      <w:proofErr w:type="spellStart"/>
      <w:r w:rsidRPr="005A638C">
        <w:rPr>
          <w:b/>
          <w:bCs/>
        </w:rPr>
        <w:t>AlexNet</w:t>
      </w:r>
      <w:proofErr w:type="spellEnd"/>
      <w:r w:rsidRPr="005A638C">
        <w:rPr>
          <w:b/>
          <w:bCs/>
        </w:rPr>
        <w:t>: Architecture and Breakthrough</w:t>
      </w:r>
    </w:p>
    <w:p w:rsidR="005A638C" w:rsidRPr="005A638C" w:rsidRDefault="005A638C" w:rsidP="005A638C">
      <w:r w:rsidRPr="005A638C">
        <w:t xml:space="preserve">Developed by </w:t>
      </w:r>
      <w:r w:rsidRPr="005A638C">
        <w:rPr>
          <w:b/>
          <w:bCs/>
        </w:rPr>
        <w:t>Alex Krizhevsky, Ilya Sutskever, and Geoffrey Hinton</w:t>
      </w:r>
      <w:r w:rsidRPr="005A638C">
        <w:t xml:space="preserve"> at the University of Toronto, </w:t>
      </w:r>
      <w:proofErr w:type="spellStart"/>
      <w:r w:rsidRPr="005A638C">
        <w:t>AlexNet</w:t>
      </w:r>
      <w:proofErr w:type="spellEnd"/>
      <w:r w:rsidRPr="005A638C">
        <w:t xml:space="preserve"> was a radical departure from the prevailing wisdom. It was a deep CNN consisting of </w:t>
      </w:r>
      <w:r w:rsidRPr="005A638C">
        <w:rPr>
          <w:b/>
          <w:bCs/>
        </w:rPr>
        <w:t>eight layers</w:t>
      </w:r>
      <w:r w:rsidRPr="005A638C">
        <w:t>: five convolutional layers followed by three fully connected layers.</w:t>
      </w:r>
    </w:p>
    <w:p w:rsidR="005A638C" w:rsidRPr="005A638C" w:rsidRDefault="005A638C" w:rsidP="005A638C">
      <w:pPr>
        <w:rPr>
          <w:b/>
          <w:bCs/>
        </w:rPr>
      </w:pPr>
      <w:r w:rsidRPr="005A638C">
        <w:rPr>
          <w:b/>
          <w:bCs/>
        </w:rPr>
        <w:t>Architectural Breakdown</w:t>
      </w:r>
    </w:p>
    <w:p w:rsidR="005A638C" w:rsidRPr="005A638C" w:rsidRDefault="005A638C" w:rsidP="005A638C">
      <w:pPr>
        <w:numPr>
          <w:ilvl w:val="0"/>
          <w:numId w:val="7"/>
        </w:numPr>
      </w:pPr>
      <w:r w:rsidRPr="005A638C">
        <w:rPr>
          <w:b/>
          <w:bCs/>
        </w:rPr>
        <w:t>Input Layer:</w:t>
      </w:r>
      <w:r w:rsidRPr="005A638C">
        <w:t xml:space="preserve"> 224×224×3 RGB images (often </w:t>
      </w:r>
      <w:proofErr w:type="spellStart"/>
      <w:r w:rsidRPr="005A638C">
        <w:t>preprocessed</w:t>
      </w:r>
      <w:proofErr w:type="spellEnd"/>
      <w:r w:rsidRPr="005A638C">
        <w:t xml:space="preserve"> to 227×227).</w:t>
      </w:r>
    </w:p>
    <w:p w:rsidR="005A638C" w:rsidRPr="005A638C" w:rsidRDefault="005A638C" w:rsidP="005A638C">
      <w:pPr>
        <w:numPr>
          <w:ilvl w:val="0"/>
          <w:numId w:val="7"/>
        </w:numPr>
      </w:pPr>
      <w:r w:rsidRPr="005A638C">
        <w:rPr>
          <w:b/>
          <w:bCs/>
        </w:rPr>
        <w:t>Convolutional Layers:</w:t>
      </w:r>
      <w:r w:rsidRPr="005A638C">
        <w:t xml:space="preserve"> These layers used filters of varying sizes (11×11 in the first layer, 5×5 and 3×3 in subsequent layers) to extract hierarchical features—moving from simple edges to complex object parts.</w:t>
      </w:r>
    </w:p>
    <w:p w:rsidR="005A638C" w:rsidRPr="005A638C" w:rsidRDefault="005A638C" w:rsidP="005A638C">
      <w:pPr>
        <w:numPr>
          <w:ilvl w:val="0"/>
          <w:numId w:val="7"/>
        </w:numPr>
      </w:pPr>
      <w:r w:rsidRPr="005A638C">
        <w:rPr>
          <w:b/>
          <w:bCs/>
        </w:rPr>
        <w:t>Fully Connected Layers:</w:t>
      </w:r>
      <w:r w:rsidRPr="005A638C">
        <w:t xml:space="preserve"> These layers integrated the spatial features to perform final classification.</w:t>
      </w:r>
    </w:p>
    <w:p w:rsidR="005A638C" w:rsidRPr="005A638C" w:rsidRDefault="005A638C" w:rsidP="005A638C">
      <w:pPr>
        <w:numPr>
          <w:ilvl w:val="0"/>
          <w:numId w:val="7"/>
        </w:numPr>
      </w:pPr>
      <w:proofErr w:type="spellStart"/>
      <w:r w:rsidRPr="005A638C">
        <w:rPr>
          <w:b/>
          <w:bCs/>
        </w:rPr>
        <w:t>Softmax</w:t>
      </w:r>
      <w:proofErr w:type="spellEnd"/>
      <w:r w:rsidRPr="005A638C">
        <w:rPr>
          <w:b/>
          <w:bCs/>
        </w:rPr>
        <w:t xml:space="preserve"> Output:</w:t>
      </w:r>
      <w:r w:rsidRPr="005A638C">
        <w:t xml:space="preserve"> A 1,000-unit layer representing the probability distribution over the ImageNet classes.</w:t>
      </w:r>
    </w:p>
    <w:p w:rsidR="005A638C" w:rsidRPr="005A638C" w:rsidRDefault="005A638C" w:rsidP="005A638C">
      <w:r w:rsidRPr="005A638C">
        <w:t xml:space="preserve">In the 2012 competition, </w:t>
      </w:r>
      <w:proofErr w:type="spellStart"/>
      <w:r w:rsidRPr="005A638C">
        <w:t>AlexNet</w:t>
      </w:r>
      <w:proofErr w:type="spellEnd"/>
      <w:r w:rsidRPr="005A638C">
        <w:t xml:space="preserve"> achieved a top-5 error rate of </w:t>
      </w:r>
      <w:r w:rsidRPr="005A638C">
        <w:rPr>
          <w:b/>
          <w:bCs/>
        </w:rPr>
        <w:t>15.3%</w:t>
      </w:r>
      <w:r w:rsidRPr="005A638C">
        <w:t xml:space="preserve">, outperforming the runner-up (26.2%) by a staggering </w:t>
      </w:r>
      <w:r w:rsidRPr="005A638C">
        <w:rPr>
          <w:b/>
          <w:bCs/>
        </w:rPr>
        <w:t>10.9%</w:t>
      </w:r>
      <w:r w:rsidRPr="005A638C">
        <w:t>. This was not an incremental improvement; it was a total disruption of the field.</w:t>
      </w:r>
    </w:p>
    <w:p w:rsidR="005A638C" w:rsidRPr="005A638C" w:rsidRDefault="005A638C" w:rsidP="005A638C">
      <w:r w:rsidRPr="005A638C">
        <w:lastRenderedPageBreak/>
        <w:pict>
          <v:rect id="_x0000_i1119" style="width:0;height:1.5pt" o:hralign="center" o:hrstd="t" o:hrnoshade="t" o:hr="t" fillcolor="gray" stroked="f"/>
        </w:pict>
      </w:r>
    </w:p>
    <w:p w:rsidR="005A638C" w:rsidRPr="005A638C" w:rsidRDefault="005A638C" w:rsidP="005A638C">
      <w:pPr>
        <w:rPr>
          <w:b/>
          <w:bCs/>
        </w:rPr>
      </w:pPr>
      <w:r w:rsidRPr="005A638C">
        <w:rPr>
          <w:b/>
          <w:bCs/>
        </w:rPr>
        <w:t>3. Core Technical Innovations</w:t>
      </w:r>
    </w:p>
    <w:p w:rsidR="005A638C" w:rsidRPr="005A638C" w:rsidRDefault="005A638C" w:rsidP="005A638C">
      <w:proofErr w:type="spellStart"/>
      <w:r w:rsidRPr="005A638C">
        <w:t>AlexNet’s</w:t>
      </w:r>
      <w:proofErr w:type="spellEnd"/>
      <w:r w:rsidRPr="005A638C">
        <w:t xml:space="preserve"> success was not just a matter of "going deeper." It introduced several key innovations that have since become standard in deep learning.</w:t>
      </w:r>
    </w:p>
    <w:p w:rsidR="005A638C" w:rsidRPr="005A638C" w:rsidRDefault="005A638C" w:rsidP="005A638C">
      <w:pPr>
        <w:rPr>
          <w:b/>
          <w:bCs/>
        </w:rPr>
      </w:pPr>
      <w:r w:rsidRPr="005A638C">
        <w:rPr>
          <w:b/>
          <w:bCs/>
        </w:rPr>
        <w:t xml:space="preserve">A. </w:t>
      </w:r>
      <w:proofErr w:type="spellStart"/>
      <w:r w:rsidRPr="005A638C">
        <w:rPr>
          <w:b/>
          <w:bCs/>
        </w:rPr>
        <w:t>ReLU</w:t>
      </w:r>
      <w:proofErr w:type="spellEnd"/>
      <w:r w:rsidRPr="005A638C">
        <w:rPr>
          <w:b/>
          <w:bCs/>
        </w:rPr>
        <w:t xml:space="preserve"> Activation Function</w:t>
      </w:r>
    </w:p>
    <w:p w:rsidR="005A638C" w:rsidRPr="005A638C" w:rsidRDefault="005A638C" w:rsidP="005A638C">
      <w:r w:rsidRPr="005A638C">
        <w:t xml:space="preserve">Before </w:t>
      </w:r>
      <w:proofErr w:type="spellStart"/>
      <w:r w:rsidRPr="005A638C">
        <w:t>AlexNet</w:t>
      </w:r>
      <w:proofErr w:type="spellEnd"/>
      <w:r w:rsidRPr="005A638C">
        <w:t xml:space="preserve">, the standard activation functions were the sigmoid and hyperbolic tangent (tanh) functions. These functions "saturate" at high or low values, leading to the </w:t>
      </w:r>
      <w:r w:rsidRPr="005A638C">
        <w:rPr>
          <w:b/>
          <w:bCs/>
        </w:rPr>
        <w:t>vanishing gradient problem</w:t>
      </w:r>
      <w:r w:rsidRPr="005A638C">
        <w:t>, which makes training deep networks nearly impossible.</w:t>
      </w:r>
    </w:p>
    <w:p w:rsidR="005A638C" w:rsidRPr="005A638C" w:rsidRDefault="005A638C" w:rsidP="005A638C">
      <w:proofErr w:type="spellStart"/>
      <w:r w:rsidRPr="005A638C">
        <w:t>AlexNet</w:t>
      </w:r>
      <w:proofErr w:type="spellEnd"/>
      <w:r w:rsidRPr="005A638C">
        <w:t xml:space="preserve"> popularized the </w:t>
      </w:r>
      <w:r w:rsidRPr="005A638C">
        <w:rPr>
          <w:b/>
          <w:bCs/>
        </w:rPr>
        <w:t>Rectified Linear Unit (</w:t>
      </w:r>
      <w:proofErr w:type="spellStart"/>
      <w:r w:rsidRPr="005A638C">
        <w:rPr>
          <w:b/>
          <w:bCs/>
        </w:rPr>
        <w:t>ReLU</w:t>
      </w:r>
      <w:proofErr w:type="spellEnd"/>
      <w:r w:rsidRPr="005A638C">
        <w:rPr>
          <w:b/>
          <w:bCs/>
        </w:rPr>
        <w:t>)</w:t>
      </w:r>
      <w:r w:rsidRPr="005A638C">
        <w:t>, defined as:</w:t>
      </w:r>
    </w:p>
    <w:p w:rsidR="005A638C" w:rsidRPr="005A638C" w:rsidRDefault="005A638C" w:rsidP="005A638C">
      <w:r w:rsidRPr="005A638C">
        <w:t>$$f(x) = \</w:t>
      </w:r>
      <w:proofErr w:type="gramStart"/>
      <w:r w:rsidRPr="005A638C">
        <w:t>max(</w:t>
      </w:r>
      <w:proofErr w:type="gramEnd"/>
      <w:r w:rsidRPr="005A638C">
        <w:t xml:space="preserve">0, </w:t>
      </w:r>
      <w:proofErr w:type="gramStart"/>
      <w:r w:rsidRPr="005A638C">
        <w:t>x)$</w:t>
      </w:r>
      <w:proofErr w:type="gramEnd"/>
      <w:r w:rsidRPr="005A638C">
        <w:t>$</w:t>
      </w:r>
    </w:p>
    <w:p w:rsidR="005A638C" w:rsidRPr="005A638C" w:rsidRDefault="005A638C" w:rsidP="005A638C">
      <w:proofErr w:type="spellStart"/>
      <w:r w:rsidRPr="005A638C">
        <w:t>ReLU</w:t>
      </w:r>
      <w:proofErr w:type="spellEnd"/>
      <w:r w:rsidRPr="005A638C">
        <w:t xml:space="preserve"> enabled the network to learn much faster because it does not saturate in the positive domain. The authors found that a CNN with </w:t>
      </w:r>
      <w:proofErr w:type="spellStart"/>
      <w:r w:rsidRPr="005A638C">
        <w:t>ReLUs</w:t>
      </w:r>
      <w:proofErr w:type="spellEnd"/>
      <w:r w:rsidRPr="005A638C">
        <w:t xml:space="preserve"> reached a 25% training error rate six times faster than one using tanh.</w:t>
      </w:r>
    </w:p>
    <w:p w:rsidR="005A638C" w:rsidRPr="005A638C" w:rsidRDefault="005A638C" w:rsidP="005A638C">
      <w:pPr>
        <w:rPr>
          <w:b/>
          <w:bCs/>
        </w:rPr>
      </w:pPr>
      <w:r w:rsidRPr="005A638C">
        <w:rPr>
          <w:b/>
          <w:bCs/>
        </w:rPr>
        <w:t>B. Dropout Regularization</w:t>
      </w:r>
    </w:p>
    <w:p w:rsidR="005A638C" w:rsidRPr="005A638C" w:rsidRDefault="005A638C" w:rsidP="005A638C">
      <w:r w:rsidRPr="005A638C">
        <w:t xml:space="preserve">With roughly 60 million parameters and only 1.2 million images, </w:t>
      </w:r>
      <w:proofErr w:type="spellStart"/>
      <w:r w:rsidRPr="005A638C">
        <w:t>AlexNet</w:t>
      </w:r>
      <w:proofErr w:type="spellEnd"/>
      <w:r w:rsidRPr="005A638C">
        <w:t xml:space="preserve"> was highly prone to </w:t>
      </w:r>
      <w:r w:rsidRPr="005A638C">
        <w:rPr>
          <w:b/>
          <w:bCs/>
        </w:rPr>
        <w:t>overfitting</w:t>
      </w:r>
      <w:r w:rsidRPr="005A638C">
        <w:t xml:space="preserve"> (memorizing the training data rather than generalizing). To combat this, the authors used </w:t>
      </w:r>
      <w:r w:rsidRPr="005A638C">
        <w:rPr>
          <w:b/>
          <w:bCs/>
        </w:rPr>
        <w:t>Dropout</w:t>
      </w:r>
      <w:r w:rsidRPr="005A638C">
        <w:t>.</w:t>
      </w:r>
    </w:p>
    <w:p w:rsidR="005A638C" w:rsidRPr="005A638C" w:rsidRDefault="005A638C" w:rsidP="005A638C">
      <w:r w:rsidRPr="005A638C">
        <w:t>During training, each neuron in the fully connected layers had a 50% probability of being "dropped" (set to zero). This forced the network to learn redundant, robust features because it could not rely on the presence of any single neuron.</w:t>
      </w:r>
    </w:p>
    <w:p w:rsidR="005A638C" w:rsidRPr="005A638C" w:rsidRDefault="005A638C" w:rsidP="005A638C">
      <w:pPr>
        <w:rPr>
          <w:b/>
          <w:bCs/>
        </w:rPr>
      </w:pPr>
      <w:r w:rsidRPr="005A638C">
        <w:rPr>
          <w:b/>
          <w:bCs/>
        </w:rPr>
        <w:t>C. GPU Parallelization</w:t>
      </w:r>
    </w:p>
    <w:p w:rsidR="005A638C" w:rsidRPr="005A638C" w:rsidRDefault="005A638C" w:rsidP="005A638C">
      <w:r w:rsidRPr="005A638C">
        <w:t xml:space="preserve">One of the most significant contributions of the </w:t>
      </w:r>
      <w:proofErr w:type="spellStart"/>
      <w:r w:rsidRPr="005A638C">
        <w:t>AlexNet</w:t>
      </w:r>
      <w:proofErr w:type="spellEnd"/>
      <w:r w:rsidRPr="005A638C">
        <w:t xml:space="preserve"> paper was the practical use of </w:t>
      </w:r>
      <w:r w:rsidRPr="005A638C">
        <w:rPr>
          <w:b/>
          <w:bCs/>
        </w:rPr>
        <w:t>GPUs (Graphics Processing Units)</w:t>
      </w:r>
      <w:r w:rsidRPr="005A638C">
        <w:t xml:space="preserve"> for training. At the time, CPUs were too slow to handle the billions of operations required for a deep network. </w:t>
      </w:r>
      <w:proofErr w:type="spellStart"/>
      <w:r w:rsidRPr="005A638C">
        <w:t>Krizhevsky</w:t>
      </w:r>
      <w:proofErr w:type="spellEnd"/>
      <w:r w:rsidRPr="005A638C">
        <w:t xml:space="preserve"> wrote specialized CUDA code to train the model across two </w:t>
      </w:r>
      <w:r w:rsidRPr="005A638C">
        <w:rPr>
          <w:b/>
          <w:bCs/>
        </w:rPr>
        <w:t>NVIDIA GTX 580 GPUs</w:t>
      </w:r>
      <w:r w:rsidRPr="005A638C">
        <w:t>, each with only 3GB of memory. This proved that high-performance hardware was the engine of modern AI.</w:t>
      </w:r>
    </w:p>
    <w:p w:rsidR="005A638C" w:rsidRPr="005A638C" w:rsidRDefault="005A638C" w:rsidP="005A638C">
      <w:pPr>
        <w:rPr>
          <w:b/>
          <w:bCs/>
        </w:rPr>
      </w:pPr>
      <w:r w:rsidRPr="005A638C">
        <w:rPr>
          <w:b/>
          <w:bCs/>
        </w:rPr>
        <w:t>D. Data Augmentation</w:t>
      </w:r>
    </w:p>
    <w:p w:rsidR="005A638C" w:rsidRPr="005A638C" w:rsidRDefault="005A638C" w:rsidP="005A638C">
      <w:r w:rsidRPr="005A638C">
        <w:t xml:space="preserve">To further reduce overfitting, the team used label-preserving transformations. They extracted random 224×224 patches and their horizontal reflections from the 256×256 images. They also performed "PCA </w:t>
      </w:r>
      <w:proofErr w:type="spellStart"/>
      <w:r w:rsidRPr="005A638C">
        <w:t>Color</w:t>
      </w:r>
      <w:proofErr w:type="spellEnd"/>
      <w:r w:rsidRPr="005A638C">
        <w:t xml:space="preserve"> Augmentation" to alter the intensity of the RGB channels, making the model robust to changes in lighting and </w:t>
      </w:r>
      <w:proofErr w:type="spellStart"/>
      <w:r w:rsidRPr="005A638C">
        <w:t>color</w:t>
      </w:r>
      <w:proofErr w:type="spellEnd"/>
      <w:r w:rsidRPr="005A638C">
        <w:t>.</w:t>
      </w:r>
    </w:p>
    <w:p w:rsidR="005A638C" w:rsidRPr="005A638C" w:rsidRDefault="005A638C" w:rsidP="005A638C">
      <w:r w:rsidRPr="005A638C">
        <w:pict>
          <v:rect id="_x0000_i1120" style="width:0;height:1.5pt" o:hralign="center" o:hrstd="t" o:hrnoshade="t" o:hr="t" fillcolor="gray" stroked="f"/>
        </w:pict>
      </w:r>
    </w:p>
    <w:p w:rsidR="005A638C" w:rsidRPr="005A638C" w:rsidRDefault="005A638C" w:rsidP="005A638C">
      <w:pPr>
        <w:rPr>
          <w:b/>
          <w:bCs/>
        </w:rPr>
      </w:pPr>
      <w:r w:rsidRPr="005A638C">
        <w:rPr>
          <w:b/>
          <w:bCs/>
        </w:rPr>
        <w:t>4. The Impact: Shifting the Paradigm</w:t>
      </w:r>
    </w:p>
    <w:p w:rsidR="005A638C" w:rsidRPr="005A638C" w:rsidRDefault="005A638C" w:rsidP="005A638C">
      <w:r w:rsidRPr="005A638C">
        <w:t xml:space="preserve">The legacy of </w:t>
      </w:r>
      <w:proofErr w:type="spellStart"/>
      <w:r w:rsidRPr="005A638C">
        <w:t>AlexNet</w:t>
      </w:r>
      <w:proofErr w:type="spellEnd"/>
      <w:r w:rsidRPr="005A638C">
        <w:t xml:space="preserve"> can be summarized through four major shifts in the AI landscape:</w:t>
      </w:r>
    </w:p>
    <w:p w:rsidR="005A638C" w:rsidRPr="005A638C" w:rsidRDefault="005A638C" w:rsidP="005A638C">
      <w:pPr>
        <w:rPr>
          <w:b/>
          <w:bCs/>
        </w:rPr>
      </w:pPr>
      <w:r w:rsidRPr="005A638C">
        <w:rPr>
          <w:b/>
          <w:bCs/>
        </w:rPr>
        <w:t>I. From Hand-Crafted to Learned Features</w:t>
      </w:r>
    </w:p>
    <w:p w:rsidR="005A638C" w:rsidRPr="005A638C" w:rsidRDefault="005A638C" w:rsidP="005A638C">
      <w:r w:rsidRPr="005A638C">
        <w:t xml:space="preserve">Before 2012, computer vision researchers spent decades "engineering" features like edges and textures. </w:t>
      </w:r>
      <w:proofErr w:type="spellStart"/>
      <w:r w:rsidRPr="005A638C">
        <w:t>AlexNet</w:t>
      </w:r>
      <w:proofErr w:type="spellEnd"/>
      <w:r w:rsidRPr="005A638C">
        <w:t xml:space="preserve"> proved that a model could </w:t>
      </w:r>
      <w:r w:rsidRPr="005A638C">
        <w:rPr>
          <w:b/>
          <w:bCs/>
        </w:rPr>
        <w:t>learn</w:t>
      </w:r>
      <w:r w:rsidRPr="005A638C">
        <w:t xml:space="preserve"> these features automatically from raw pixels. The </w:t>
      </w:r>
      <w:r w:rsidRPr="005A638C">
        <w:lastRenderedPageBreak/>
        <w:t xml:space="preserve">lower layers of </w:t>
      </w:r>
      <w:proofErr w:type="spellStart"/>
      <w:r w:rsidRPr="005A638C">
        <w:t>AlexNet</w:t>
      </w:r>
      <w:proofErr w:type="spellEnd"/>
      <w:r w:rsidRPr="005A638C">
        <w:t xml:space="preserve"> were found to have learned edge detectors and </w:t>
      </w:r>
      <w:proofErr w:type="spellStart"/>
      <w:r w:rsidRPr="005A638C">
        <w:t>color</w:t>
      </w:r>
      <w:proofErr w:type="spellEnd"/>
      <w:r w:rsidRPr="005A638C">
        <w:t xml:space="preserve"> blobs, while the deeper layers learned complex shapes and object parts. This ended the era of manual feature engineering.</w:t>
      </w:r>
    </w:p>
    <w:p w:rsidR="005A638C" w:rsidRPr="005A638C" w:rsidRDefault="005A638C" w:rsidP="005A638C">
      <w:pPr>
        <w:rPr>
          <w:b/>
          <w:bCs/>
        </w:rPr>
      </w:pPr>
      <w:r w:rsidRPr="005A638C">
        <w:rPr>
          <w:b/>
          <w:bCs/>
        </w:rPr>
        <w:t>II. The Hardware-Software Synergy</w:t>
      </w:r>
    </w:p>
    <w:p w:rsidR="005A638C" w:rsidRPr="005A638C" w:rsidRDefault="005A638C" w:rsidP="005A638C">
      <w:proofErr w:type="spellStart"/>
      <w:r w:rsidRPr="005A638C">
        <w:t>AlexNet</w:t>
      </w:r>
      <w:proofErr w:type="spellEnd"/>
      <w:r w:rsidRPr="005A638C">
        <w:t xml:space="preserve"> transformed the relationship between AI research and hardware. It demonstrated that progress in AI was inextricably linked to progress in parallel computing. This directly led to the massive growth of NVIDIA and the development of specialized AI hardware like Tensor Processing Units (TPUs).</w:t>
      </w:r>
    </w:p>
    <w:p w:rsidR="005A638C" w:rsidRPr="005A638C" w:rsidRDefault="005A638C" w:rsidP="005A638C">
      <w:pPr>
        <w:rPr>
          <w:b/>
          <w:bCs/>
        </w:rPr>
      </w:pPr>
      <w:r w:rsidRPr="005A638C">
        <w:rPr>
          <w:b/>
          <w:bCs/>
        </w:rPr>
        <w:t>III. The Rise of Deeper Architectures</w:t>
      </w:r>
    </w:p>
    <w:p w:rsidR="005A638C" w:rsidRPr="005A638C" w:rsidRDefault="005A638C" w:rsidP="005A638C">
      <w:proofErr w:type="spellStart"/>
      <w:r w:rsidRPr="005A638C">
        <w:t>AlexNet’s</w:t>
      </w:r>
      <w:proofErr w:type="spellEnd"/>
      <w:r w:rsidRPr="005A638C">
        <w:t xml:space="preserve"> success proved that "depth matters." This sparked a race toward deeper and more efficient architectures:</w:t>
      </w:r>
    </w:p>
    <w:p w:rsidR="005A638C" w:rsidRPr="005A638C" w:rsidRDefault="005A638C" w:rsidP="005A638C">
      <w:pPr>
        <w:numPr>
          <w:ilvl w:val="0"/>
          <w:numId w:val="8"/>
        </w:numPr>
      </w:pPr>
      <w:proofErr w:type="spellStart"/>
      <w:r w:rsidRPr="005A638C">
        <w:rPr>
          <w:b/>
          <w:bCs/>
        </w:rPr>
        <w:t>VGGNet</w:t>
      </w:r>
      <w:proofErr w:type="spellEnd"/>
      <w:r w:rsidRPr="005A638C">
        <w:rPr>
          <w:b/>
          <w:bCs/>
        </w:rPr>
        <w:t xml:space="preserve"> (2014):</w:t>
      </w:r>
      <w:r w:rsidRPr="005A638C">
        <w:t xml:space="preserve"> Increased depth to 16–19 layers using smaller (3×3) filters.</w:t>
      </w:r>
    </w:p>
    <w:p w:rsidR="005A638C" w:rsidRPr="005A638C" w:rsidRDefault="005A638C" w:rsidP="005A638C">
      <w:pPr>
        <w:numPr>
          <w:ilvl w:val="0"/>
          <w:numId w:val="8"/>
        </w:numPr>
      </w:pPr>
      <w:proofErr w:type="spellStart"/>
      <w:r w:rsidRPr="005A638C">
        <w:rPr>
          <w:b/>
          <w:bCs/>
        </w:rPr>
        <w:t>GoogLeNet</w:t>
      </w:r>
      <w:proofErr w:type="spellEnd"/>
      <w:r w:rsidRPr="005A638C">
        <w:rPr>
          <w:b/>
          <w:bCs/>
        </w:rPr>
        <w:t xml:space="preserve"> (2014):</w:t>
      </w:r>
      <w:r w:rsidRPr="005A638C">
        <w:t xml:space="preserve"> Introduced "Inception modules" to optimize computational cost.</w:t>
      </w:r>
    </w:p>
    <w:p w:rsidR="005A638C" w:rsidRPr="005A638C" w:rsidRDefault="005A638C" w:rsidP="005A638C">
      <w:pPr>
        <w:numPr>
          <w:ilvl w:val="0"/>
          <w:numId w:val="8"/>
        </w:numPr>
      </w:pPr>
      <w:proofErr w:type="spellStart"/>
      <w:r w:rsidRPr="005A638C">
        <w:rPr>
          <w:b/>
          <w:bCs/>
        </w:rPr>
        <w:t>ResNet</w:t>
      </w:r>
      <w:proofErr w:type="spellEnd"/>
      <w:r w:rsidRPr="005A638C">
        <w:rPr>
          <w:b/>
          <w:bCs/>
        </w:rPr>
        <w:t xml:space="preserve"> (2015):</w:t>
      </w:r>
      <w:r w:rsidRPr="005A638C">
        <w:t xml:space="preserve"> Utilized "skip connections" to train networks with over 100 layers.</w:t>
      </w:r>
    </w:p>
    <w:p w:rsidR="005A638C" w:rsidRPr="005A638C" w:rsidRDefault="005A638C" w:rsidP="005A638C">
      <w:pPr>
        <w:rPr>
          <w:b/>
          <w:bCs/>
        </w:rPr>
      </w:pPr>
      <w:r w:rsidRPr="005A638C">
        <w:rPr>
          <w:b/>
          <w:bCs/>
        </w:rPr>
        <w:t>IV. Expansion Beyond Vision</w:t>
      </w:r>
    </w:p>
    <w:p w:rsidR="005A638C" w:rsidRPr="005A638C" w:rsidRDefault="005A638C" w:rsidP="005A638C">
      <w:r w:rsidRPr="005A638C">
        <w:t xml:space="preserve">The principles established by </w:t>
      </w:r>
      <w:proofErr w:type="spellStart"/>
      <w:r w:rsidRPr="005A638C">
        <w:t>AlexNet</w:t>
      </w:r>
      <w:proofErr w:type="spellEnd"/>
      <w:r w:rsidRPr="005A638C">
        <w:t>—</w:t>
      </w:r>
      <w:proofErr w:type="spellStart"/>
      <w:r w:rsidRPr="005A638C">
        <w:t>ReLU</w:t>
      </w:r>
      <w:proofErr w:type="spellEnd"/>
      <w:r w:rsidRPr="005A638C">
        <w:t xml:space="preserve">, dropout, and GPU training—were quickly adapted for other domains. The same architectures were applied to </w:t>
      </w:r>
      <w:r w:rsidRPr="005A638C">
        <w:rPr>
          <w:b/>
          <w:bCs/>
        </w:rPr>
        <w:t>Natural Language Processing (NLP)</w:t>
      </w:r>
      <w:r w:rsidRPr="005A638C">
        <w:t xml:space="preserve">, speech recognition, and even reinforcement learning (e.g., AlphaGo). </w:t>
      </w:r>
      <w:proofErr w:type="spellStart"/>
      <w:r w:rsidRPr="005A638C">
        <w:t>AlexNet</w:t>
      </w:r>
      <w:proofErr w:type="spellEnd"/>
      <w:r w:rsidRPr="005A638C">
        <w:t xml:space="preserve"> was the catalyst that made Deep Learning the dominant approach across all of Artificial Intelligence.</w:t>
      </w:r>
    </w:p>
    <w:p w:rsidR="005A638C" w:rsidRPr="005A638C" w:rsidRDefault="005A638C" w:rsidP="005A638C">
      <w:r w:rsidRPr="005A638C">
        <w:pict>
          <v:rect id="_x0000_i1121" style="width:0;height:1.5pt" o:hralign="center" o:hrstd="t" o:hrnoshade="t" o:hr="t" fillcolor="gray" stroked="f"/>
        </w:pict>
      </w:r>
    </w:p>
    <w:p w:rsidR="005A638C" w:rsidRPr="005A638C" w:rsidRDefault="005A638C" w:rsidP="005A638C">
      <w:pPr>
        <w:rPr>
          <w:b/>
          <w:bCs/>
        </w:rPr>
      </w:pPr>
      <w:r w:rsidRPr="005A638C">
        <w:rPr>
          <w:b/>
          <w:bCs/>
        </w:rPr>
        <w:t>5. Conclusion</w:t>
      </w:r>
    </w:p>
    <w:p w:rsidR="005A638C" w:rsidRPr="005A638C" w:rsidRDefault="005A638C" w:rsidP="005A638C">
      <w:proofErr w:type="spellStart"/>
      <w:r w:rsidRPr="005A638C">
        <w:t>AlexNet</w:t>
      </w:r>
      <w:proofErr w:type="spellEnd"/>
      <w:r w:rsidRPr="005A638C">
        <w:t xml:space="preserve"> was more than just a winning entry in a competition; it was the proof of concept the world needed to believe in neural networks again. By combining the massive scale of the ImageNet dataset with the parallel processing power of GPUs and innovative regularization techniques, Krizhevsky, </w:t>
      </w:r>
      <w:proofErr w:type="spellStart"/>
      <w:r w:rsidRPr="005A638C">
        <w:t>Sutskever</w:t>
      </w:r>
      <w:proofErr w:type="spellEnd"/>
      <w:r w:rsidRPr="005A638C">
        <w:t>, and Hinton unlocked a new era of technology. Today, every facial recognition system, autonomous vehicle, and generative AI model can trace its lineage back to those eight layers that dominated the ImageNet challenge in 2012.</w:t>
      </w:r>
    </w:p>
    <w:p w:rsidR="005A638C" w:rsidRDefault="005A638C"/>
    <w:p w:rsidR="005A638C" w:rsidRDefault="005A638C"/>
    <w:p w:rsidR="005A638C" w:rsidRDefault="005A638C"/>
    <w:p w:rsidR="005A638C" w:rsidRDefault="005A638C"/>
    <w:p w:rsidR="005A638C" w:rsidRDefault="005A638C"/>
    <w:p w:rsidR="005A638C" w:rsidRDefault="005A638C"/>
    <w:p w:rsidR="005A638C" w:rsidRDefault="005A638C"/>
    <w:p w:rsidR="005A638C" w:rsidRDefault="005A638C"/>
    <w:p w:rsidR="005A638C" w:rsidRDefault="005A638C"/>
    <w:p w:rsidR="005A638C" w:rsidRDefault="005A638C"/>
    <w:p w:rsidR="005A638C" w:rsidRDefault="005A638C">
      <w:r>
        <w:lastRenderedPageBreak/>
        <w:t xml:space="preserve">Calculating the number of parameters in </w:t>
      </w:r>
      <w:proofErr w:type="spellStart"/>
      <w:r>
        <w:t>ALexNet</w:t>
      </w:r>
      <w:proofErr w:type="spellEnd"/>
    </w:p>
    <w:p w:rsidR="005A638C" w:rsidRDefault="005A638C">
      <w:r>
        <w:t>Python snippet</w:t>
      </w:r>
    </w:p>
    <w:p w:rsidR="005A638C" w:rsidRDefault="005A638C">
      <w:r w:rsidRPr="005A638C">
        <w:drawing>
          <wp:inline distT="0" distB="0" distL="0" distR="0" wp14:anchorId="25E467EB" wp14:editId="4F485C63">
            <wp:extent cx="5496692" cy="4496427"/>
            <wp:effectExtent l="0" t="0" r="8890" b="0"/>
            <wp:docPr id="4467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35549" name=""/>
                    <pic:cNvPicPr/>
                  </pic:nvPicPr>
                  <pic:blipFill>
                    <a:blip r:embed="rId6"/>
                    <a:stretch>
                      <a:fillRect/>
                    </a:stretch>
                  </pic:blipFill>
                  <pic:spPr>
                    <a:xfrm>
                      <a:off x="0" y="0"/>
                      <a:ext cx="5496692" cy="4496427"/>
                    </a:xfrm>
                    <a:prstGeom prst="rect">
                      <a:avLst/>
                    </a:prstGeom>
                  </pic:spPr>
                </pic:pic>
              </a:graphicData>
            </a:graphic>
          </wp:inline>
        </w:drawing>
      </w:r>
    </w:p>
    <w:p w:rsidR="005A638C" w:rsidRDefault="005A638C"/>
    <w:p w:rsidR="005A638C" w:rsidRDefault="005A638C">
      <w:r>
        <w:t>Output</w:t>
      </w:r>
    </w:p>
    <w:p w:rsidR="005A638C" w:rsidRDefault="005A638C">
      <w:r w:rsidRPr="005A638C">
        <w:drawing>
          <wp:inline distT="0" distB="0" distL="0" distR="0" wp14:anchorId="35F9E337" wp14:editId="6E25F524">
            <wp:extent cx="3825026" cy="2828925"/>
            <wp:effectExtent l="0" t="0" r="4445" b="0"/>
            <wp:docPr id="42146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67456" name=""/>
                    <pic:cNvPicPr/>
                  </pic:nvPicPr>
                  <pic:blipFill>
                    <a:blip r:embed="rId7"/>
                    <a:stretch>
                      <a:fillRect/>
                    </a:stretch>
                  </pic:blipFill>
                  <pic:spPr>
                    <a:xfrm>
                      <a:off x="0" y="0"/>
                      <a:ext cx="3835638" cy="2836774"/>
                    </a:xfrm>
                    <a:prstGeom prst="rect">
                      <a:avLst/>
                    </a:prstGeom>
                  </pic:spPr>
                </pic:pic>
              </a:graphicData>
            </a:graphic>
          </wp:inline>
        </w:drawing>
      </w:r>
    </w:p>
    <w:sectPr w:rsidR="005A6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A7D32"/>
    <w:multiLevelType w:val="multilevel"/>
    <w:tmpl w:val="5D3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52040"/>
    <w:multiLevelType w:val="multilevel"/>
    <w:tmpl w:val="E12CE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AC2D9F"/>
    <w:multiLevelType w:val="multilevel"/>
    <w:tmpl w:val="AB6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9E4140"/>
    <w:multiLevelType w:val="multilevel"/>
    <w:tmpl w:val="DC74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B27B77"/>
    <w:multiLevelType w:val="multilevel"/>
    <w:tmpl w:val="90B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D4FEE"/>
    <w:multiLevelType w:val="multilevel"/>
    <w:tmpl w:val="2ECC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E0273"/>
    <w:multiLevelType w:val="multilevel"/>
    <w:tmpl w:val="4032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E14B97"/>
    <w:multiLevelType w:val="multilevel"/>
    <w:tmpl w:val="5FEC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123554">
    <w:abstractNumId w:val="5"/>
  </w:num>
  <w:num w:numId="2" w16cid:durableId="2041975730">
    <w:abstractNumId w:val="2"/>
  </w:num>
  <w:num w:numId="3" w16cid:durableId="1887981429">
    <w:abstractNumId w:val="4"/>
  </w:num>
  <w:num w:numId="4" w16cid:durableId="2026200947">
    <w:abstractNumId w:val="6"/>
  </w:num>
  <w:num w:numId="5" w16cid:durableId="1073308708">
    <w:abstractNumId w:val="0"/>
  </w:num>
  <w:num w:numId="6" w16cid:durableId="123088599">
    <w:abstractNumId w:val="7"/>
  </w:num>
  <w:num w:numId="7" w16cid:durableId="2042126707">
    <w:abstractNumId w:val="1"/>
  </w:num>
  <w:num w:numId="8" w16cid:durableId="1711303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8C"/>
    <w:rsid w:val="005A638C"/>
    <w:rsid w:val="00673CD2"/>
    <w:rsid w:val="007E6AB7"/>
    <w:rsid w:val="00CE0BE1"/>
    <w:rsid w:val="00E53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5219"/>
  <w15:chartTrackingRefBased/>
  <w15:docId w15:val="{874189F1-B204-4E5B-B039-C6E906FF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6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6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6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6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6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6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6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6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6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6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38C"/>
    <w:rPr>
      <w:rFonts w:eastAsiaTheme="majorEastAsia" w:cstheme="majorBidi"/>
      <w:color w:val="272727" w:themeColor="text1" w:themeTint="D8"/>
    </w:rPr>
  </w:style>
  <w:style w:type="paragraph" w:styleId="Title">
    <w:name w:val="Title"/>
    <w:basedOn w:val="Normal"/>
    <w:next w:val="Normal"/>
    <w:link w:val="TitleChar"/>
    <w:uiPriority w:val="10"/>
    <w:qFormat/>
    <w:rsid w:val="005A6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38C"/>
    <w:pPr>
      <w:spacing w:before="160"/>
      <w:jc w:val="center"/>
    </w:pPr>
    <w:rPr>
      <w:i/>
      <w:iCs/>
      <w:color w:val="404040" w:themeColor="text1" w:themeTint="BF"/>
    </w:rPr>
  </w:style>
  <w:style w:type="character" w:customStyle="1" w:styleId="QuoteChar">
    <w:name w:val="Quote Char"/>
    <w:basedOn w:val="DefaultParagraphFont"/>
    <w:link w:val="Quote"/>
    <w:uiPriority w:val="29"/>
    <w:rsid w:val="005A638C"/>
    <w:rPr>
      <w:i/>
      <w:iCs/>
      <w:color w:val="404040" w:themeColor="text1" w:themeTint="BF"/>
    </w:rPr>
  </w:style>
  <w:style w:type="paragraph" w:styleId="ListParagraph">
    <w:name w:val="List Paragraph"/>
    <w:basedOn w:val="Normal"/>
    <w:uiPriority w:val="34"/>
    <w:qFormat/>
    <w:rsid w:val="005A638C"/>
    <w:pPr>
      <w:ind w:left="720"/>
      <w:contextualSpacing/>
    </w:pPr>
  </w:style>
  <w:style w:type="character" w:styleId="IntenseEmphasis">
    <w:name w:val="Intense Emphasis"/>
    <w:basedOn w:val="DefaultParagraphFont"/>
    <w:uiPriority w:val="21"/>
    <w:qFormat/>
    <w:rsid w:val="005A638C"/>
    <w:rPr>
      <w:i/>
      <w:iCs/>
      <w:color w:val="2F5496" w:themeColor="accent1" w:themeShade="BF"/>
    </w:rPr>
  </w:style>
  <w:style w:type="paragraph" w:styleId="IntenseQuote">
    <w:name w:val="Intense Quote"/>
    <w:basedOn w:val="Normal"/>
    <w:next w:val="Normal"/>
    <w:link w:val="IntenseQuoteChar"/>
    <w:uiPriority w:val="30"/>
    <w:qFormat/>
    <w:rsid w:val="005A6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638C"/>
    <w:rPr>
      <w:i/>
      <w:iCs/>
      <w:color w:val="2F5496" w:themeColor="accent1" w:themeShade="BF"/>
    </w:rPr>
  </w:style>
  <w:style w:type="character" w:styleId="IntenseReference">
    <w:name w:val="Intense Reference"/>
    <w:basedOn w:val="DefaultParagraphFont"/>
    <w:uiPriority w:val="32"/>
    <w:qFormat/>
    <w:rsid w:val="005A63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35006F-4634-4C59-B37D-EAF0D429D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2148</Words>
  <Characters>12246</Characters>
  <Application>Microsoft Office Word</Application>
  <DocSecurity>0</DocSecurity>
  <Lines>102</Lines>
  <Paragraphs>28</Paragraphs>
  <ScaleCrop>false</ScaleCrop>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chincholi</dc:creator>
  <cp:keywords/>
  <dc:description/>
  <cp:lastModifiedBy>satya chincholi</cp:lastModifiedBy>
  <cp:revision>1</cp:revision>
  <cp:lastPrinted>2026-01-30T05:35:00Z</cp:lastPrinted>
  <dcterms:created xsi:type="dcterms:W3CDTF">2026-01-30T05:28:00Z</dcterms:created>
  <dcterms:modified xsi:type="dcterms:W3CDTF">2026-01-30T05:49:00Z</dcterms:modified>
</cp:coreProperties>
</file>