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SHAREHOLDER RESOLUTION</w:t>
      </w:r>
    </w:p>
    <w:p>
      <w:r>
        <w:t>RESOLVED that the company updates its beneficial ownership (UBO) register in accordance with ADGM Beneficial Ownership Regulations 2018. The following individuals are confirmed as beneficial owners holding more than 25%: 1. John Smith - 60% ownership. PASSED by special resolution with 100% shareholder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