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C16486">
      <w:pPr>
        <w:spacing w:before="400" w:beforeLines="100" w:after="200" w:afterLines="50" w:line="400" w:lineRule="exact"/>
        <w:rPr>
          <w:rFonts w:ascii="黑体" w:eastAsia="黑体"/>
          <w:b/>
          <w:bCs/>
          <w:sz w:val="44"/>
          <w:szCs w:val="44"/>
        </w:rPr>
      </w:pPr>
      <w:r>
        <w:rPr>
          <w:rFonts w:hint="eastAsia" w:ascii="黑体" w:eastAsia="黑体"/>
          <w:b/>
          <w:bCs/>
          <w:sz w:val="44"/>
          <w:szCs w:val="44"/>
        </w:rPr>
        <w:t>《</w:t>
      </w:r>
      <w:r>
        <w:rPr>
          <w:rFonts w:hint="eastAsia" w:ascii="Times New Roman" w:hAnsi="Times New Roman"/>
          <w:b/>
          <w:bCs/>
          <w:sz w:val="44"/>
          <w:szCs w:val="44"/>
        </w:rPr>
        <w:t>统计学习与数据科学课程设计</w:t>
      </w:r>
      <w:r>
        <w:rPr>
          <w:rFonts w:hint="eastAsia" w:ascii="黑体" w:eastAsia="黑体"/>
          <w:b/>
          <w:bCs/>
          <w:sz w:val="44"/>
          <w:szCs w:val="44"/>
        </w:rPr>
        <w:t>》课程论文</w:t>
      </w:r>
    </w:p>
    <w:p w14:paraId="6A3A571F">
      <w:pPr>
        <w:adjustRightInd w:val="0"/>
        <w:snapToGrid w:val="0"/>
        <w:spacing w:before="200" w:beforeLines="50" w:after="400" w:afterLines="100" w:line="400" w:lineRule="exact"/>
        <w:jc w:val="center"/>
        <w:rPr>
          <w:rFonts w:eastAsia="仿宋_GB2312"/>
          <w:b/>
          <w:bCs/>
          <w:sz w:val="32"/>
          <w:szCs w:val="32"/>
        </w:rPr>
      </w:pPr>
      <w:r>
        <w:rPr>
          <w:rFonts w:eastAsia="仿宋_GB2312"/>
          <w:b/>
          <w:bCs/>
          <w:sz w:val="32"/>
          <w:szCs w:val="32"/>
        </w:rPr>
        <w:t>(20</w:t>
      </w:r>
      <w:r>
        <w:rPr>
          <w:rFonts w:hint="eastAsia" w:eastAsia="仿宋_GB2312"/>
          <w:b/>
          <w:bCs/>
          <w:sz w:val="32"/>
          <w:szCs w:val="32"/>
        </w:rPr>
        <w:t>25</w:t>
      </w:r>
      <w:r>
        <w:rPr>
          <w:rFonts w:eastAsia="仿宋_GB2312"/>
          <w:b/>
          <w:bCs/>
          <w:sz w:val="32"/>
          <w:szCs w:val="32"/>
        </w:rPr>
        <w:t>-20</w:t>
      </w:r>
      <w:r>
        <w:rPr>
          <w:rFonts w:hint="eastAsia" w:eastAsia="仿宋_GB2312"/>
          <w:b/>
          <w:bCs/>
          <w:sz w:val="32"/>
          <w:szCs w:val="32"/>
        </w:rPr>
        <w:t>26</w:t>
      </w:r>
      <w:r>
        <w:rPr>
          <w:rFonts w:eastAsia="仿宋_GB2312"/>
          <w:b/>
          <w:bCs/>
          <w:sz w:val="32"/>
          <w:szCs w:val="32"/>
        </w:rPr>
        <w:t>学年</w:t>
      </w:r>
      <w:r>
        <w:rPr>
          <w:rFonts w:hint="eastAsia" w:eastAsia="仿宋_GB2312"/>
          <w:b/>
          <w:bCs/>
          <w:sz w:val="32"/>
          <w:szCs w:val="32"/>
        </w:rPr>
        <w:t>第 2 学期</w:t>
      </w:r>
      <w:r>
        <w:rPr>
          <w:rFonts w:eastAsia="仿宋_GB2312"/>
          <w:b/>
          <w:bCs/>
          <w:sz w:val="32"/>
          <w:szCs w:val="32"/>
        </w:rPr>
        <w:t>)</w:t>
      </w:r>
    </w:p>
    <w:p w14:paraId="5B2D366C">
      <w:pPr>
        <w:tabs>
          <w:tab w:val="left" w:pos="6583"/>
        </w:tabs>
        <w:spacing w:before="200" w:beforeLines="50" w:after="200" w:afterLines="50" w:line="400" w:lineRule="exact"/>
        <w:jc w:val="center"/>
        <w:rPr>
          <w:rFonts w:ascii="黑体" w:eastAsia="黑体"/>
          <w:b/>
          <w:sz w:val="36"/>
          <w:szCs w:val="36"/>
        </w:rPr>
      </w:pPr>
    </w:p>
    <w:p w14:paraId="708DB83B">
      <w:pPr>
        <w:tabs>
          <w:tab w:val="left" w:pos="6583"/>
        </w:tabs>
        <w:spacing w:before="200" w:beforeLines="50" w:after="200" w:afterLines="50" w:line="400" w:lineRule="exact"/>
        <w:jc w:val="center"/>
        <w:rPr>
          <w:rFonts w:ascii="黑体" w:eastAsia="黑体"/>
          <w:b/>
          <w:sz w:val="36"/>
          <w:szCs w:val="36"/>
        </w:rPr>
      </w:pPr>
      <w:r>
        <w:rPr>
          <w:rFonts w:hint="eastAsia" w:ascii="黑体" w:eastAsia="黑体"/>
          <w:b/>
          <w:sz w:val="36"/>
          <w:szCs w:val="36"/>
        </w:rPr>
        <w:t xml:space="preserve">论文题目： </w:t>
      </w:r>
      <w:r>
        <w:rPr>
          <w:rFonts w:ascii="Times New Roman" w:hAnsi="Times New Roman" w:eastAsia="黑体"/>
          <w:b/>
          <w:sz w:val="36"/>
          <w:szCs w:val="36"/>
        </w:rPr>
        <w:t>Enzyme Kinetic Parameter Prediction Based on Statistical Learning and Multimodal Representation Learning</w:t>
      </w:r>
    </w:p>
    <w:p w14:paraId="07E197F6">
      <w:pPr>
        <w:adjustRightInd w:val="0"/>
        <w:snapToGrid w:val="0"/>
        <w:spacing w:before="200" w:beforeLines="50" w:after="200" w:afterLines="50" w:line="400" w:lineRule="exact"/>
        <w:jc w:val="center"/>
        <w:rPr>
          <w:rFonts w:ascii="仿宋_GB2312" w:eastAsia="仿宋_GB2312"/>
          <w:b/>
          <w:bCs/>
          <w:sz w:val="32"/>
          <w:szCs w:val="32"/>
        </w:rPr>
      </w:pPr>
      <w:r>
        <w:rPr>
          <w:rFonts w:hint="eastAsia" w:ascii="仿宋_GB2312" w:eastAsia="仿宋_GB2312"/>
          <w:b/>
          <w:bCs/>
          <w:sz w:val="32"/>
          <w:szCs w:val="32"/>
        </w:rPr>
        <w:t>学生姓名： 莫翊彰</w:t>
      </w:r>
    </w:p>
    <w:p w14:paraId="748F7AD3">
      <w:pPr>
        <w:adjustRightInd w:val="0"/>
        <w:snapToGrid w:val="0"/>
        <w:spacing w:before="200" w:beforeLines="50" w:after="200" w:afterLines="50" w:line="400" w:lineRule="exact"/>
        <w:jc w:val="center"/>
        <w:rPr>
          <w:rFonts w:ascii="仿宋_GB2312" w:eastAsia="仿宋_GB2312"/>
          <w:b/>
          <w:bCs/>
          <w:sz w:val="32"/>
          <w:szCs w:val="32"/>
        </w:rPr>
      </w:pPr>
    </w:p>
    <w:p w14:paraId="3F67F547">
      <w:pPr>
        <w:adjustRightInd w:val="0"/>
        <w:snapToGrid w:val="0"/>
        <w:spacing w:line="400" w:lineRule="exact"/>
        <w:rPr>
          <w:b/>
          <w:bCs/>
          <w:sz w:val="24"/>
        </w:rPr>
      </w:pPr>
      <w:r>
        <w:rPr>
          <w:rFonts w:hint="eastAsia"/>
          <w:b/>
          <w:bCs/>
          <w:sz w:val="24"/>
        </w:rPr>
        <w:t xml:space="preserve">提交日期：  2026  年  </w:t>
      </w:r>
      <w:r>
        <w:rPr>
          <w:rFonts w:hint="eastAsia"/>
          <w:b/>
          <w:bCs/>
          <w:sz w:val="24"/>
          <w:lang w:val="en-US" w:eastAsia="zh-CN"/>
        </w:rPr>
        <w:t>5</w:t>
      </w:r>
      <w:r>
        <w:rPr>
          <w:rFonts w:hint="eastAsia"/>
          <w:b/>
          <w:bCs/>
          <w:sz w:val="24"/>
        </w:rPr>
        <w:t xml:space="preserve"> 月  </w:t>
      </w:r>
      <w:r>
        <w:rPr>
          <w:rFonts w:hint="eastAsia"/>
          <w:b/>
          <w:bCs/>
          <w:sz w:val="24"/>
          <w:lang w:val="en-US" w:eastAsia="zh-CN"/>
        </w:rPr>
        <w:t>20</w:t>
      </w:r>
      <w:r>
        <w:rPr>
          <w:rFonts w:hint="eastAsia"/>
          <w:b/>
          <w:bCs/>
          <w:sz w:val="24"/>
        </w:rPr>
        <w:t xml:space="preserve"> </w:t>
      </w:r>
      <w:r>
        <w:rPr>
          <w:rFonts w:hint="eastAsia"/>
          <w:b/>
          <w:bCs/>
          <w:color w:val="FF0000"/>
          <w:sz w:val="24"/>
        </w:rPr>
        <w:t xml:space="preserve"> </w:t>
      </w:r>
      <w:r>
        <w:rPr>
          <w:rFonts w:hint="eastAsia"/>
          <w:b/>
          <w:bCs/>
          <w:sz w:val="24"/>
        </w:rPr>
        <w:t>日             学生签名：  莫翊彰</w:t>
      </w:r>
    </w:p>
    <w:tbl>
      <w:tblPr>
        <w:tblStyle w:val="10"/>
        <w:tblW w:w="90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3"/>
        <w:gridCol w:w="2729"/>
        <w:gridCol w:w="1418"/>
        <w:gridCol w:w="3554"/>
      </w:tblGrid>
      <w:tr w14:paraId="7223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12396BC1">
            <w:pPr>
              <w:adjustRightInd w:val="0"/>
              <w:snapToGrid w:val="0"/>
              <w:spacing w:line="400" w:lineRule="exact"/>
              <w:jc w:val="center"/>
              <w:rPr>
                <w:b/>
                <w:bCs/>
                <w:sz w:val="24"/>
              </w:rPr>
            </w:pPr>
            <w:r>
              <w:rPr>
                <w:rFonts w:hint="eastAsia"/>
                <w:b/>
                <w:bCs/>
                <w:sz w:val="24"/>
              </w:rPr>
              <w:t>学    号</w:t>
            </w:r>
          </w:p>
        </w:tc>
        <w:tc>
          <w:tcPr>
            <w:tcW w:w="2729" w:type="dxa"/>
            <w:tcBorders>
              <w:top w:val="single" w:color="auto" w:sz="4" w:space="0"/>
              <w:left w:val="single" w:color="auto" w:sz="4" w:space="0"/>
              <w:bottom w:val="single" w:color="auto" w:sz="4" w:space="0"/>
              <w:right w:val="single" w:color="auto" w:sz="4" w:space="0"/>
            </w:tcBorders>
            <w:vAlign w:val="center"/>
          </w:tcPr>
          <w:p w14:paraId="3FE77F1D">
            <w:pPr>
              <w:adjustRightInd w:val="0"/>
              <w:snapToGrid w:val="0"/>
              <w:spacing w:line="400" w:lineRule="exact"/>
              <w:rPr>
                <w:b/>
                <w:bCs/>
                <w:sz w:val="24"/>
              </w:rPr>
            </w:pPr>
            <w:r>
              <w:rPr>
                <w:rFonts w:hint="eastAsia"/>
                <w:b/>
                <w:bCs/>
                <w:sz w:val="24"/>
              </w:rPr>
              <w:t>202330332241</w:t>
            </w:r>
          </w:p>
        </w:tc>
        <w:tc>
          <w:tcPr>
            <w:tcW w:w="1418" w:type="dxa"/>
            <w:tcBorders>
              <w:top w:val="single" w:color="auto" w:sz="4" w:space="0"/>
              <w:left w:val="single" w:color="auto" w:sz="4" w:space="0"/>
              <w:bottom w:val="single" w:color="auto" w:sz="4" w:space="0"/>
              <w:right w:val="single" w:color="auto" w:sz="4" w:space="0"/>
            </w:tcBorders>
            <w:vAlign w:val="center"/>
          </w:tcPr>
          <w:p w14:paraId="2F0457A0">
            <w:pPr>
              <w:adjustRightInd w:val="0"/>
              <w:snapToGrid w:val="0"/>
              <w:spacing w:line="400" w:lineRule="exact"/>
              <w:ind w:right="-106" w:rightChars="-47"/>
              <w:jc w:val="center"/>
              <w:rPr>
                <w:b/>
                <w:bCs/>
                <w:sz w:val="24"/>
              </w:rPr>
            </w:pPr>
            <w:r>
              <w:rPr>
                <w:rFonts w:hint="eastAsia"/>
                <w:b/>
                <w:bCs/>
                <w:sz w:val="24"/>
              </w:rPr>
              <w:t>座位编号</w:t>
            </w:r>
          </w:p>
        </w:tc>
        <w:tc>
          <w:tcPr>
            <w:tcW w:w="3554" w:type="dxa"/>
            <w:tcBorders>
              <w:top w:val="single" w:color="auto" w:sz="4" w:space="0"/>
              <w:left w:val="single" w:color="auto" w:sz="4" w:space="0"/>
              <w:bottom w:val="single" w:color="auto" w:sz="4" w:space="0"/>
              <w:right w:val="single" w:color="auto" w:sz="4" w:space="0"/>
            </w:tcBorders>
            <w:vAlign w:val="center"/>
          </w:tcPr>
          <w:p w14:paraId="54A251AB">
            <w:pPr>
              <w:adjustRightInd w:val="0"/>
              <w:snapToGrid w:val="0"/>
              <w:spacing w:line="400" w:lineRule="exact"/>
              <w:rPr>
                <w:b/>
                <w:bCs/>
                <w:sz w:val="24"/>
              </w:rPr>
            </w:pPr>
          </w:p>
        </w:tc>
      </w:tr>
      <w:tr w14:paraId="6E12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65074C8E">
            <w:pPr>
              <w:adjustRightInd w:val="0"/>
              <w:snapToGrid w:val="0"/>
              <w:spacing w:line="400" w:lineRule="exact"/>
              <w:jc w:val="center"/>
              <w:rPr>
                <w:b/>
                <w:bCs/>
                <w:sz w:val="24"/>
              </w:rPr>
            </w:pPr>
            <w:r>
              <w:rPr>
                <w:rFonts w:hint="eastAsia"/>
                <w:b/>
                <w:bCs/>
                <w:sz w:val="24"/>
              </w:rPr>
              <w:t>学    院</w:t>
            </w:r>
          </w:p>
        </w:tc>
        <w:tc>
          <w:tcPr>
            <w:tcW w:w="2729" w:type="dxa"/>
            <w:tcBorders>
              <w:top w:val="single" w:color="auto" w:sz="4" w:space="0"/>
              <w:left w:val="single" w:color="auto" w:sz="4" w:space="0"/>
              <w:bottom w:val="single" w:color="auto" w:sz="4" w:space="0"/>
              <w:right w:val="single" w:color="auto" w:sz="4" w:space="0"/>
            </w:tcBorders>
            <w:vAlign w:val="center"/>
          </w:tcPr>
          <w:p w14:paraId="6410DF4A">
            <w:pPr>
              <w:adjustRightInd w:val="0"/>
              <w:snapToGrid w:val="0"/>
              <w:spacing w:line="400" w:lineRule="exact"/>
              <w:rPr>
                <w:b/>
                <w:bCs/>
                <w:sz w:val="24"/>
              </w:rPr>
            </w:pPr>
            <w:r>
              <w:rPr>
                <w:rFonts w:hint="eastAsia"/>
                <w:b/>
                <w:bCs/>
                <w:sz w:val="24"/>
              </w:rPr>
              <w:t>数学学院</w:t>
            </w:r>
          </w:p>
        </w:tc>
        <w:tc>
          <w:tcPr>
            <w:tcW w:w="1418" w:type="dxa"/>
            <w:tcBorders>
              <w:top w:val="single" w:color="auto" w:sz="4" w:space="0"/>
              <w:left w:val="single" w:color="auto" w:sz="4" w:space="0"/>
              <w:bottom w:val="single" w:color="auto" w:sz="4" w:space="0"/>
              <w:right w:val="single" w:color="auto" w:sz="4" w:space="0"/>
            </w:tcBorders>
            <w:vAlign w:val="center"/>
          </w:tcPr>
          <w:p w14:paraId="765315D0">
            <w:pPr>
              <w:adjustRightInd w:val="0"/>
              <w:snapToGrid w:val="0"/>
              <w:spacing w:line="400" w:lineRule="exact"/>
              <w:ind w:right="-106" w:rightChars="-47"/>
              <w:jc w:val="center"/>
              <w:rPr>
                <w:b/>
                <w:bCs/>
                <w:sz w:val="24"/>
              </w:rPr>
            </w:pPr>
            <w:r>
              <w:rPr>
                <w:rFonts w:hint="eastAsia"/>
                <w:b/>
                <w:bCs/>
                <w:sz w:val="24"/>
              </w:rPr>
              <w:t>专业班级</w:t>
            </w:r>
          </w:p>
        </w:tc>
        <w:tc>
          <w:tcPr>
            <w:tcW w:w="3554" w:type="dxa"/>
            <w:tcBorders>
              <w:top w:val="single" w:color="auto" w:sz="4" w:space="0"/>
              <w:left w:val="single" w:color="auto" w:sz="4" w:space="0"/>
              <w:bottom w:val="single" w:color="auto" w:sz="4" w:space="0"/>
              <w:right w:val="single" w:color="auto" w:sz="4" w:space="0"/>
            </w:tcBorders>
            <w:vAlign w:val="center"/>
          </w:tcPr>
          <w:p w14:paraId="6C78B709">
            <w:pPr>
              <w:adjustRightInd w:val="0"/>
              <w:snapToGrid w:val="0"/>
              <w:spacing w:line="400" w:lineRule="exact"/>
              <w:rPr>
                <w:b/>
                <w:bCs/>
                <w:sz w:val="24"/>
              </w:rPr>
            </w:pPr>
            <w:r>
              <w:rPr>
                <w:rFonts w:hint="eastAsia"/>
                <w:b/>
                <w:bCs/>
                <w:sz w:val="24"/>
              </w:rPr>
              <w:t>24统计学</w:t>
            </w:r>
          </w:p>
        </w:tc>
      </w:tr>
      <w:tr w14:paraId="60A4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393" w:type="dxa"/>
            <w:tcBorders>
              <w:top w:val="single" w:color="auto" w:sz="4" w:space="0"/>
              <w:left w:val="single" w:color="auto" w:sz="4" w:space="0"/>
              <w:bottom w:val="single" w:color="auto" w:sz="4" w:space="0"/>
              <w:right w:val="single" w:color="auto" w:sz="4" w:space="0"/>
            </w:tcBorders>
            <w:vAlign w:val="center"/>
          </w:tcPr>
          <w:p w14:paraId="5E54F26B">
            <w:pPr>
              <w:adjustRightInd w:val="0"/>
              <w:snapToGrid w:val="0"/>
              <w:spacing w:line="400" w:lineRule="exact"/>
              <w:jc w:val="center"/>
              <w:rPr>
                <w:b/>
                <w:bCs/>
                <w:sz w:val="24"/>
              </w:rPr>
            </w:pPr>
            <w:r>
              <w:rPr>
                <w:rFonts w:hint="eastAsia"/>
                <w:b/>
                <w:bCs/>
                <w:sz w:val="24"/>
              </w:rPr>
              <w:t>课程名称</w:t>
            </w:r>
          </w:p>
        </w:tc>
        <w:tc>
          <w:tcPr>
            <w:tcW w:w="2729" w:type="dxa"/>
            <w:tcBorders>
              <w:top w:val="single" w:color="auto" w:sz="4" w:space="0"/>
              <w:left w:val="single" w:color="auto" w:sz="4" w:space="0"/>
              <w:bottom w:val="single" w:color="auto" w:sz="4" w:space="0"/>
              <w:right w:val="single" w:color="auto" w:sz="4" w:space="0"/>
            </w:tcBorders>
            <w:vAlign w:val="center"/>
          </w:tcPr>
          <w:p w14:paraId="7BE4CA75">
            <w:pPr>
              <w:adjustRightInd w:val="0"/>
              <w:snapToGrid w:val="0"/>
              <w:spacing w:line="400" w:lineRule="exact"/>
              <w:ind w:firstLine="768" w:firstLineChars="300"/>
              <w:rPr>
                <w:rFonts w:ascii="Times New Roman" w:hAnsi="Times New Roman"/>
                <w:b/>
                <w:bCs/>
                <w:sz w:val="24"/>
              </w:rPr>
            </w:pPr>
            <w:r>
              <w:rPr>
                <w:rFonts w:hint="eastAsia" w:ascii="Times New Roman" w:hAnsi="Times New Roman"/>
                <w:b/>
                <w:bCs/>
                <w:sz w:val="24"/>
              </w:rPr>
              <w:t>统计学习与数据科学课程设计</w:t>
            </w:r>
          </w:p>
        </w:tc>
        <w:tc>
          <w:tcPr>
            <w:tcW w:w="1418" w:type="dxa"/>
            <w:tcBorders>
              <w:top w:val="single" w:color="auto" w:sz="4" w:space="0"/>
              <w:left w:val="single" w:color="auto" w:sz="4" w:space="0"/>
              <w:bottom w:val="single" w:color="auto" w:sz="4" w:space="0"/>
              <w:right w:val="single" w:color="auto" w:sz="4" w:space="0"/>
            </w:tcBorders>
            <w:vAlign w:val="center"/>
          </w:tcPr>
          <w:p w14:paraId="1337F7AC">
            <w:pPr>
              <w:adjustRightInd w:val="0"/>
              <w:snapToGrid w:val="0"/>
              <w:spacing w:line="400" w:lineRule="exact"/>
              <w:ind w:right="-106" w:rightChars="-47"/>
              <w:jc w:val="center"/>
              <w:rPr>
                <w:b/>
                <w:bCs/>
                <w:sz w:val="24"/>
              </w:rPr>
            </w:pPr>
            <w:r>
              <w:rPr>
                <w:rFonts w:hint="eastAsia"/>
                <w:b/>
                <w:bCs/>
                <w:sz w:val="24"/>
              </w:rPr>
              <w:t>任课教师</w:t>
            </w:r>
          </w:p>
        </w:tc>
        <w:tc>
          <w:tcPr>
            <w:tcW w:w="3554" w:type="dxa"/>
            <w:tcBorders>
              <w:top w:val="single" w:color="auto" w:sz="4" w:space="0"/>
              <w:left w:val="single" w:color="auto" w:sz="4" w:space="0"/>
              <w:bottom w:val="single" w:color="auto" w:sz="4" w:space="0"/>
              <w:right w:val="single" w:color="auto" w:sz="4" w:space="0"/>
            </w:tcBorders>
            <w:vAlign w:val="center"/>
          </w:tcPr>
          <w:p w14:paraId="65253D0D">
            <w:pPr>
              <w:adjustRightInd w:val="0"/>
              <w:snapToGrid w:val="0"/>
              <w:spacing w:line="400" w:lineRule="exact"/>
              <w:rPr>
                <w:b/>
                <w:bCs/>
                <w:sz w:val="24"/>
              </w:rPr>
            </w:pPr>
            <w:r>
              <w:rPr>
                <w:rFonts w:hint="eastAsia"/>
                <w:b/>
                <w:bCs/>
                <w:sz w:val="24"/>
              </w:rPr>
              <w:t>夏立</w:t>
            </w:r>
          </w:p>
        </w:tc>
      </w:tr>
      <w:tr w14:paraId="0A9EF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3" w:hRule="atLeast"/>
          <w:jc w:val="center"/>
        </w:trPr>
        <w:tc>
          <w:tcPr>
            <w:tcW w:w="9094" w:type="dxa"/>
            <w:gridSpan w:val="4"/>
            <w:tcBorders>
              <w:bottom w:val="single" w:color="auto" w:sz="4" w:space="0"/>
            </w:tcBorders>
          </w:tcPr>
          <w:p w14:paraId="0F636C38">
            <w:pPr>
              <w:spacing w:line="400" w:lineRule="exact"/>
              <w:rPr>
                <w:b/>
                <w:bCs/>
                <w:sz w:val="24"/>
              </w:rPr>
            </w:pPr>
            <w:r>
              <w:rPr>
                <w:rFonts w:hint="eastAsia"/>
                <w:b/>
                <w:bCs/>
                <w:sz w:val="24"/>
              </w:rPr>
              <w:t>教师评语：</w:t>
            </w:r>
          </w:p>
          <w:p w14:paraId="743B4A4D">
            <w:pPr>
              <w:spacing w:line="400" w:lineRule="exact"/>
              <w:ind w:firstLine="512" w:firstLineChars="200"/>
              <w:rPr>
                <w:b/>
                <w:bCs/>
                <w:sz w:val="24"/>
              </w:rPr>
            </w:pPr>
          </w:p>
          <w:p w14:paraId="219E6163">
            <w:pPr>
              <w:spacing w:line="400" w:lineRule="exact"/>
              <w:ind w:firstLine="512" w:firstLineChars="200"/>
              <w:rPr>
                <w:b/>
                <w:bCs/>
                <w:sz w:val="24"/>
              </w:rPr>
            </w:pPr>
          </w:p>
          <w:p w14:paraId="540ADEB7">
            <w:pPr>
              <w:spacing w:line="400" w:lineRule="exact"/>
              <w:ind w:firstLine="512" w:firstLineChars="200"/>
              <w:rPr>
                <w:b/>
                <w:bCs/>
                <w:sz w:val="24"/>
              </w:rPr>
            </w:pPr>
          </w:p>
          <w:p w14:paraId="400F04D2">
            <w:pPr>
              <w:spacing w:line="400" w:lineRule="exact"/>
              <w:ind w:firstLine="512" w:firstLineChars="200"/>
              <w:rPr>
                <w:b/>
                <w:bCs/>
                <w:sz w:val="24"/>
              </w:rPr>
            </w:pPr>
          </w:p>
          <w:p w14:paraId="1B38CD2D">
            <w:pPr>
              <w:spacing w:line="400" w:lineRule="exact"/>
              <w:ind w:firstLine="512" w:firstLineChars="200"/>
              <w:rPr>
                <w:b/>
                <w:bCs/>
                <w:sz w:val="24"/>
              </w:rPr>
            </w:pPr>
          </w:p>
          <w:p w14:paraId="6D23E580">
            <w:pPr>
              <w:spacing w:line="400" w:lineRule="exact"/>
              <w:ind w:firstLine="512" w:firstLineChars="200"/>
              <w:rPr>
                <w:b/>
                <w:bCs/>
                <w:sz w:val="24"/>
              </w:rPr>
            </w:pPr>
          </w:p>
          <w:p w14:paraId="15285B82">
            <w:pPr>
              <w:spacing w:line="400" w:lineRule="exact"/>
              <w:ind w:firstLine="512" w:firstLineChars="200"/>
              <w:rPr>
                <w:b/>
                <w:bCs/>
                <w:sz w:val="24"/>
              </w:rPr>
            </w:pPr>
          </w:p>
          <w:p w14:paraId="484B5561">
            <w:pPr>
              <w:spacing w:line="400" w:lineRule="exact"/>
              <w:ind w:firstLine="512" w:firstLineChars="200"/>
              <w:rPr>
                <w:b/>
                <w:bCs/>
                <w:sz w:val="24"/>
              </w:rPr>
            </w:pPr>
          </w:p>
          <w:p w14:paraId="0D174B33">
            <w:pPr>
              <w:spacing w:line="400" w:lineRule="exact"/>
              <w:ind w:firstLine="512" w:firstLineChars="200"/>
              <w:rPr>
                <w:b/>
                <w:bCs/>
                <w:sz w:val="24"/>
              </w:rPr>
            </w:pPr>
          </w:p>
          <w:p w14:paraId="51AC98A7">
            <w:pPr>
              <w:spacing w:line="400" w:lineRule="exact"/>
              <w:ind w:firstLine="512" w:firstLineChars="200"/>
              <w:rPr>
                <w:b/>
                <w:bCs/>
                <w:sz w:val="24"/>
              </w:rPr>
            </w:pPr>
          </w:p>
          <w:p w14:paraId="65691030">
            <w:pPr>
              <w:spacing w:line="400" w:lineRule="exact"/>
              <w:ind w:firstLine="512" w:firstLineChars="200"/>
              <w:rPr>
                <w:b/>
                <w:bCs/>
                <w:sz w:val="24"/>
              </w:rPr>
            </w:pPr>
          </w:p>
        </w:tc>
      </w:tr>
      <w:tr w14:paraId="55803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8" w:hRule="atLeast"/>
          <w:jc w:val="center"/>
        </w:trPr>
        <w:tc>
          <w:tcPr>
            <w:tcW w:w="9094" w:type="dxa"/>
            <w:gridSpan w:val="4"/>
            <w:tcBorders>
              <w:top w:val="single" w:color="auto" w:sz="4" w:space="0"/>
            </w:tcBorders>
          </w:tcPr>
          <w:p w14:paraId="0EE6DB15">
            <w:pPr>
              <w:spacing w:line="400" w:lineRule="exact"/>
              <w:rPr>
                <w:b/>
                <w:bCs/>
                <w:sz w:val="24"/>
              </w:rPr>
            </w:pPr>
          </w:p>
          <w:p w14:paraId="496F7FA2">
            <w:pPr>
              <w:spacing w:line="400" w:lineRule="exact"/>
              <w:rPr>
                <w:b/>
                <w:bCs/>
                <w:sz w:val="24"/>
              </w:rPr>
            </w:pPr>
            <w:r>
              <w:rPr>
                <w:rFonts w:hint="eastAsia"/>
                <w:b/>
                <w:bCs/>
                <w:sz w:val="24"/>
              </w:rPr>
              <w:t>本论文成绩评定：</w:t>
            </w:r>
            <w:r>
              <w:rPr>
                <w:rFonts w:hint="eastAsia"/>
                <w:bCs/>
                <w:sz w:val="24"/>
              </w:rPr>
              <w:t xml:space="preserve"> </w:t>
            </w:r>
            <w:r>
              <w:rPr>
                <w:rFonts w:hint="eastAsia"/>
                <w:bCs/>
                <w:sz w:val="24"/>
                <w:u w:val="single"/>
              </w:rPr>
              <w:t xml:space="preserve">      </w:t>
            </w:r>
            <w:r>
              <w:rPr>
                <w:rFonts w:hint="eastAsia"/>
                <w:b/>
                <w:bCs/>
                <w:sz w:val="24"/>
              </w:rPr>
              <w:t xml:space="preserve">分    </w:t>
            </w:r>
          </w:p>
        </w:tc>
      </w:tr>
    </w:tbl>
    <w:p w14:paraId="33AC1ABE">
      <w:pPr>
        <w:spacing w:line="400" w:lineRule="exact"/>
        <w:jc w:val="center"/>
        <w:rPr>
          <w:b/>
          <w:bCs/>
          <w:sz w:val="30"/>
        </w:rPr>
        <w:sectPr>
          <w:headerReference r:id="rId3" w:type="default"/>
          <w:headerReference r:id="rId4" w:type="even"/>
          <w:footerReference r:id="rId5" w:type="even"/>
          <w:pgSz w:w="11907" w:h="16840"/>
          <w:pgMar w:top="1418" w:right="1418" w:bottom="1418" w:left="1701" w:header="1418" w:footer="851" w:gutter="0"/>
          <w:cols w:space="425" w:num="1"/>
          <w:docGrid w:type="linesAndChars" w:linePitch="400" w:charSpace="3430"/>
        </w:sectPr>
      </w:pPr>
    </w:p>
    <w:p w14:paraId="6C8ABBCB">
      <w:pPr>
        <w:adjustRightInd w:val="0"/>
        <w:snapToGrid w:val="0"/>
        <w:spacing w:before="200" w:beforeLines="50" w:after="400" w:afterLines="100" w:line="600" w:lineRule="exact"/>
        <w:jc w:val="center"/>
        <w:rPr>
          <w:rFonts w:hint="eastAsia" w:ascii="宋体" w:hAnsi="宋体"/>
          <w:b/>
          <w:sz w:val="36"/>
          <w:szCs w:val="36"/>
        </w:rPr>
      </w:pPr>
      <w:r>
        <w:rPr>
          <w:rFonts w:hint="eastAsia" w:ascii="宋体" w:hAnsi="宋体"/>
          <w:b/>
          <w:sz w:val="36"/>
          <w:szCs w:val="36"/>
        </w:rPr>
        <w:t>（以下内容供参考，可根据情况修改或删除）</w:t>
      </w:r>
    </w:p>
    <w:p w14:paraId="2153539C">
      <w:pPr>
        <w:adjustRightInd w:val="0"/>
        <w:snapToGrid w:val="0"/>
        <w:spacing w:before="200" w:beforeLines="50" w:after="400" w:afterLines="100" w:line="600" w:lineRule="exact"/>
        <w:jc w:val="center"/>
        <w:rPr>
          <w:rFonts w:hint="eastAsia" w:ascii="宋体" w:hAnsi="宋体"/>
          <w:b/>
          <w:sz w:val="32"/>
          <w:szCs w:val="32"/>
        </w:rPr>
      </w:pPr>
      <w:r>
        <w:rPr>
          <w:rFonts w:hint="eastAsia" w:ascii="宋体" w:hAnsi="宋体"/>
          <w:b/>
          <w:sz w:val="36"/>
          <w:szCs w:val="36"/>
        </w:rPr>
        <w:t>说</w:t>
      </w:r>
      <w:r>
        <w:rPr>
          <w:rFonts w:hint="eastAsia" w:ascii="宋体" w:hAnsi="宋体"/>
          <w:b/>
          <w:sz w:val="32"/>
          <w:szCs w:val="32"/>
        </w:rPr>
        <w:t xml:space="preserve">  明</w:t>
      </w:r>
    </w:p>
    <w:p w14:paraId="14BB3AB3">
      <w:pPr>
        <w:pStyle w:val="5"/>
        <w:adjustRightInd w:val="0"/>
        <w:snapToGrid w:val="0"/>
        <w:spacing w:line="600" w:lineRule="exact"/>
        <w:ind w:firstLine="512" w:firstLineChars="200"/>
        <w:rPr>
          <w:sz w:val="24"/>
        </w:rPr>
      </w:pPr>
      <w:r>
        <w:rPr>
          <w:sz w:val="24"/>
        </w:rPr>
        <w:t>1</w:t>
      </w:r>
      <w:r>
        <w:rPr>
          <w:rFonts w:hAnsi="宋体"/>
          <w:sz w:val="24"/>
        </w:rPr>
        <w:t>、课程论文</w:t>
      </w:r>
      <w:r>
        <w:rPr>
          <w:rFonts w:hint="eastAsia" w:hAnsi="宋体"/>
          <w:sz w:val="24"/>
        </w:rPr>
        <w:t>一般</w:t>
      </w:r>
      <w:r>
        <w:rPr>
          <w:rFonts w:hAnsi="宋体"/>
          <w:sz w:val="24"/>
        </w:rPr>
        <w:t>要有题目、作者姓名、摘要、关键词、正文及参考文献</w:t>
      </w:r>
      <w:r>
        <w:rPr>
          <w:rFonts w:hint="eastAsia" w:hAnsi="宋体"/>
          <w:sz w:val="24"/>
        </w:rPr>
        <w:t>。</w:t>
      </w:r>
    </w:p>
    <w:p w14:paraId="6DC7B340">
      <w:pPr>
        <w:pStyle w:val="5"/>
        <w:adjustRightInd w:val="0"/>
        <w:snapToGrid w:val="0"/>
        <w:spacing w:line="600" w:lineRule="exact"/>
        <w:ind w:firstLine="512" w:firstLineChars="200"/>
        <w:rPr>
          <w:sz w:val="24"/>
        </w:rPr>
      </w:pPr>
      <w:r>
        <w:rPr>
          <w:rFonts w:hint="eastAsia"/>
          <w:sz w:val="24"/>
        </w:rPr>
        <w:t>2</w:t>
      </w:r>
      <w:r>
        <w:rPr>
          <w:rFonts w:hAnsi="宋体"/>
          <w:sz w:val="24"/>
        </w:rPr>
        <w:t>、论文要求自己动手撰写，如发现论文是从网上下载的，或者是抄袭剽窃别人文章的，按作弊处理</w:t>
      </w:r>
      <w:r>
        <w:rPr>
          <w:rFonts w:hint="eastAsia" w:hAnsi="宋体"/>
          <w:sz w:val="24"/>
        </w:rPr>
        <w:t>，本门课程考核成绩计0分。</w:t>
      </w:r>
    </w:p>
    <w:p w14:paraId="2134905E">
      <w:pPr>
        <w:adjustRightInd w:val="0"/>
        <w:snapToGrid w:val="0"/>
        <w:spacing w:line="600" w:lineRule="exact"/>
        <w:ind w:firstLine="512" w:firstLineChars="200"/>
        <w:rPr>
          <w:sz w:val="24"/>
        </w:rPr>
      </w:pPr>
      <w:r>
        <w:rPr>
          <w:rFonts w:hint="eastAsia"/>
          <w:sz w:val="24"/>
        </w:rPr>
        <w:t>3</w:t>
      </w:r>
      <w:r>
        <w:rPr>
          <w:rFonts w:hAnsi="宋体"/>
          <w:sz w:val="24"/>
        </w:rPr>
        <w:t>、</w:t>
      </w:r>
      <w:r>
        <w:rPr>
          <w:rFonts w:hint="eastAsia" w:hAnsi="宋体"/>
          <w:sz w:val="24"/>
        </w:rPr>
        <w:t>课程论文</w:t>
      </w:r>
      <w:r>
        <w:rPr>
          <w:rFonts w:hAnsi="宋体"/>
          <w:sz w:val="24"/>
        </w:rPr>
        <w:t>用</w:t>
      </w:r>
      <w:r>
        <w:rPr>
          <w:b/>
          <w:bCs/>
          <w:sz w:val="24"/>
        </w:rPr>
        <w:t>A4</w:t>
      </w:r>
      <w:r>
        <w:rPr>
          <w:rFonts w:hAnsi="宋体"/>
          <w:sz w:val="24"/>
        </w:rPr>
        <w:t>纸</w:t>
      </w:r>
      <w:r>
        <w:rPr>
          <w:rFonts w:hint="eastAsia" w:hAnsi="宋体"/>
          <w:sz w:val="24"/>
        </w:rPr>
        <w:t>双</w:t>
      </w:r>
      <w:r>
        <w:rPr>
          <w:rFonts w:hAnsi="宋体"/>
          <w:sz w:val="24"/>
        </w:rPr>
        <w:t>面打印</w:t>
      </w:r>
      <w:r>
        <w:rPr>
          <w:rFonts w:hint="eastAsia" w:hAnsi="宋体"/>
          <w:sz w:val="24"/>
        </w:rPr>
        <w:t>。</w:t>
      </w:r>
      <w:r>
        <w:rPr>
          <w:rFonts w:hAnsi="宋体"/>
          <w:sz w:val="24"/>
        </w:rPr>
        <w:t>字体全部用</w:t>
      </w:r>
      <w:r>
        <w:rPr>
          <w:rFonts w:hAnsi="宋体"/>
          <w:b/>
          <w:bCs/>
          <w:sz w:val="24"/>
        </w:rPr>
        <w:t>宋体简体</w:t>
      </w:r>
      <w:r>
        <w:rPr>
          <w:rFonts w:hint="eastAsia" w:hAnsi="宋体"/>
          <w:b/>
          <w:bCs/>
          <w:sz w:val="24"/>
        </w:rPr>
        <w:t>，</w:t>
      </w:r>
      <w:r>
        <w:rPr>
          <w:rFonts w:hAnsi="宋体"/>
          <w:b/>
          <w:bCs/>
          <w:sz w:val="24"/>
        </w:rPr>
        <w:t>题</w:t>
      </w:r>
      <w:r>
        <w:rPr>
          <w:rFonts w:hAnsi="宋体"/>
          <w:b/>
          <w:sz w:val="24"/>
        </w:rPr>
        <w:t>目</w:t>
      </w:r>
      <w:r>
        <w:rPr>
          <w:rFonts w:hAnsi="宋体"/>
          <w:sz w:val="24"/>
        </w:rPr>
        <w:t>要求用</w:t>
      </w:r>
      <w:r>
        <w:rPr>
          <w:rFonts w:hint="eastAsia" w:hAnsi="宋体"/>
          <w:b/>
          <w:bCs/>
          <w:sz w:val="24"/>
        </w:rPr>
        <w:t>三</w:t>
      </w:r>
      <w:r>
        <w:rPr>
          <w:rFonts w:hAnsi="宋体"/>
          <w:b/>
          <w:bCs/>
          <w:sz w:val="24"/>
        </w:rPr>
        <w:t>号字加</w:t>
      </w:r>
      <w:r>
        <w:rPr>
          <w:rFonts w:hint="eastAsia" w:hAnsi="宋体"/>
          <w:b/>
          <w:bCs/>
          <w:sz w:val="24"/>
        </w:rPr>
        <w:t>粗，</w:t>
      </w:r>
      <w:r>
        <w:rPr>
          <w:rFonts w:hAnsi="宋体"/>
          <w:b/>
          <w:bCs/>
          <w:sz w:val="24"/>
        </w:rPr>
        <w:t>标题</w:t>
      </w:r>
      <w:r>
        <w:rPr>
          <w:rFonts w:hAnsi="宋体"/>
          <w:b/>
          <w:sz w:val="24"/>
        </w:rPr>
        <w:t>行</w:t>
      </w:r>
      <w:r>
        <w:rPr>
          <w:rFonts w:hAnsi="宋体"/>
          <w:sz w:val="24"/>
        </w:rPr>
        <w:t>要求用</w:t>
      </w:r>
      <w:r>
        <w:rPr>
          <w:rFonts w:hint="eastAsia" w:hAnsi="宋体"/>
          <w:b/>
          <w:sz w:val="24"/>
        </w:rPr>
        <w:t>小</w:t>
      </w:r>
      <w:r>
        <w:rPr>
          <w:rFonts w:hAnsi="宋体"/>
          <w:b/>
          <w:bCs/>
          <w:sz w:val="24"/>
        </w:rPr>
        <w:t>四号字加</w:t>
      </w:r>
      <w:r>
        <w:rPr>
          <w:rFonts w:hint="eastAsia" w:hAnsi="宋体"/>
          <w:b/>
          <w:bCs/>
          <w:sz w:val="24"/>
        </w:rPr>
        <w:t>粗</w:t>
      </w:r>
      <w:r>
        <w:rPr>
          <w:rFonts w:hAnsi="宋体"/>
          <w:sz w:val="24"/>
        </w:rPr>
        <w:t>，</w:t>
      </w:r>
      <w:r>
        <w:rPr>
          <w:rFonts w:hAnsi="宋体"/>
          <w:b/>
          <w:bCs/>
          <w:sz w:val="24"/>
        </w:rPr>
        <w:t>正文</w:t>
      </w:r>
      <w:r>
        <w:rPr>
          <w:rFonts w:hAnsi="宋体"/>
          <w:sz w:val="24"/>
        </w:rPr>
        <w:t>内容要求用</w:t>
      </w:r>
      <w:r>
        <w:rPr>
          <w:rFonts w:hint="eastAsia" w:hAnsi="宋体"/>
          <w:b/>
          <w:sz w:val="24"/>
        </w:rPr>
        <w:t>小</w:t>
      </w:r>
      <w:r>
        <w:rPr>
          <w:rFonts w:hAnsi="宋体"/>
          <w:b/>
          <w:bCs/>
          <w:sz w:val="24"/>
        </w:rPr>
        <w:t>四号字</w:t>
      </w:r>
      <w:r>
        <w:rPr>
          <w:rFonts w:hint="eastAsia" w:hAnsi="宋体"/>
          <w:b/>
          <w:bCs/>
          <w:sz w:val="24"/>
        </w:rPr>
        <w:t>；</w:t>
      </w:r>
      <w:r>
        <w:rPr>
          <w:rFonts w:hint="eastAsia" w:hAnsi="宋体"/>
          <w:sz w:val="24"/>
        </w:rPr>
        <w:t>英文论文字体全部用</w:t>
      </w:r>
      <w:r>
        <w:rPr>
          <w:rFonts w:hint="eastAsia" w:hAnsi="宋体"/>
          <w:b/>
          <w:sz w:val="24"/>
        </w:rPr>
        <w:t>Times New Roman，</w:t>
      </w:r>
      <w:r>
        <w:rPr>
          <w:rFonts w:hAnsi="宋体"/>
          <w:b/>
          <w:bCs/>
          <w:sz w:val="24"/>
        </w:rPr>
        <w:t>题</w:t>
      </w:r>
      <w:r>
        <w:rPr>
          <w:rFonts w:hAnsi="宋体"/>
          <w:b/>
          <w:sz w:val="24"/>
        </w:rPr>
        <w:t>目</w:t>
      </w:r>
      <w:r>
        <w:rPr>
          <w:rFonts w:hAnsi="宋体"/>
          <w:sz w:val="24"/>
        </w:rPr>
        <w:t>要求用</w:t>
      </w:r>
      <w:r>
        <w:rPr>
          <w:rFonts w:hint="eastAsia" w:hAnsi="宋体"/>
          <w:b/>
          <w:sz w:val="24"/>
        </w:rPr>
        <w:t>18</w:t>
      </w:r>
      <w:r>
        <w:rPr>
          <w:rFonts w:hAnsi="宋体"/>
          <w:b/>
          <w:bCs/>
          <w:sz w:val="24"/>
        </w:rPr>
        <w:t>号字加</w:t>
      </w:r>
      <w:r>
        <w:rPr>
          <w:rFonts w:hint="eastAsia" w:hAnsi="宋体"/>
          <w:b/>
          <w:bCs/>
          <w:sz w:val="24"/>
        </w:rPr>
        <w:t>粗</w:t>
      </w:r>
      <w:r>
        <w:rPr>
          <w:rFonts w:hAnsi="宋体"/>
          <w:sz w:val="24"/>
        </w:rPr>
        <w:t>；</w:t>
      </w:r>
      <w:r>
        <w:rPr>
          <w:rFonts w:hAnsi="宋体"/>
          <w:b/>
          <w:bCs/>
          <w:sz w:val="24"/>
        </w:rPr>
        <w:t>标题</w:t>
      </w:r>
      <w:r>
        <w:rPr>
          <w:rFonts w:hAnsi="宋体"/>
          <w:b/>
          <w:sz w:val="24"/>
        </w:rPr>
        <w:t>行</w:t>
      </w:r>
      <w:r>
        <w:rPr>
          <w:rFonts w:hAnsi="宋体"/>
          <w:sz w:val="24"/>
        </w:rPr>
        <w:t>要求用</w:t>
      </w:r>
      <w:r>
        <w:rPr>
          <w:rFonts w:hint="eastAsia" w:hAnsi="宋体"/>
          <w:b/>
          <w:bCs/>
          <w:sz w:val="24"/>
        </w:rPr>
        <w:t>14</w:t>
      </w:r>
      <w:r>
        <w:rPr>
          <w:rFonts w:hAnsi="宋体"/>
          <w:b/>
          <w:bCs/>
          <w:sz w:val="24"/>
        </w:rPr>
        <w:t>号字加</w:t>
      </w:r>
      <w:r>
        <w:rPr>
          <w:rFonts w:hint="eastAsia" w:hAnsi="宋体"/>
          <w:b/>
          <w:bCs/>
          <w:sz w:val="24"/>
        </w:rPr>
        <w:t>粗</w:t>
      </w:r>
      <w:r>
        <w:rPr>
          <w:rFonts w:hAnsi="宋体"/>
          <w:sz w:val="24"/>
        </w:rPr>
        <w:t>，</w:t>
      </w:r>
      <w:r>
        <w:rPr>
          <w:rFonts w:hAnsi="宋体"/>
          <w:b/>
          <w:bCs/>
          <w:sz w:val="24"/>
        </w:rPr>
        <w:t>正文</w:t>
      </w:r>
      <w:r>
        <w:rPr>
          <w:rFonts w:hAnsi="宋体"/>
          <w:sz w:val="24"/>
        </w:rPr>
        <w:t>内容要求用</w:t>
      </w:r>
      <w:r>
        <w:rPr>
          <w:rFonts w:hint="eastAsia" w:hAnsi="宋体"/>
          <w:b/>
          <w:sz w:val="24"/>
        </w:rPr>
        <w:t>12</w:t>
      </w:r>
      <w:r>
        <w:rPr>
          <w:rFonts w:hAnsi="宋体"/>
          <w:b/>
          <w:bCs/>
          <w:sz w:val="24"/>
        </w:rPr>
        <w:t>号字</w:t>
      </w:r>
      <w:r>
        <w:rPr>
          <w:rFonts w:hint="eastAsia" w:hAnsi="宋体"/>
          <w:b/>
          <w:bCs/>
          <w:sz w:val="24"/>
        </w:rPr>
        <w:t>；</w:t>
      </w:r>
      <w:r>
        <w:rPr>
          <w:rFonts w:hint="eastAsia" w:hAnsi="宋体"/>
          <w:sz w:val="24"/>
        </w:rPr>
        <w:t>行距为固定值20磅</w:t>
      </w:r>
      <w:r>
        <w:rPr>
          <w:rFonts w:hAnsi="宋体"/>
          <w:sz w:val="24"/>
        </w:rPr>
        <w:t>；页边距左为</w:t>
      </w:r>
      <w:r>
        <w:rPr>
          <w:rFonts w:hint="eastAsia"/>
          <w:sz w:val="24"/>
        </w:rPr>
        <w:t>2.5cm、</w:t>
      </w:r>
      <w:r>
        <w:rPr>
          <w:rFonts w:hAnsi="宋体"/>
          <w:sz w:val="24"/>
        </w:rPr>
        <w:t>右为</w:t>
      </w:r>
      <w:r>
        <w:rPr>
          <w:rFonts w:hint="eastAsia"/>
          <w:sz w:val="24"/>
        </w:rPr>
        <w:t>2.5cm、</w:t>
      </w:r>
      <w:r>
        <w:rPr>
          <w:rFonts w:hAnsi="宋体"/>
          <w:sz w:val="24"/>
        </w:rPr>
        <w:t>上为</w:t>
      </w:r>
      <w:r>
        <w:rPr>
          <w:sz w:val="24"/>
        </w:rPr>
        <w:t>2.5</w:t>
      </w:r>
      <w:r>
        <w:rPr>
          <w:rFonts w:hint="eastAsia"/>
          <w:sz w:val="24"/>
        </w:rPr>
        <w:t>cm、</w:t>
      </w:r>
      <w:r>
        <w:rPr>
          <w:rFonts w:hAnsi="宋体"/>
          <w:sz w:val="24"/>
        </w:rPr>
        <w:t>下为</w:t>
      </w:r>
      <w:r>
        <w:rPr>
          <w:sz w:val="24"/>
        </w:rPr>
        <w:t>2.5</w:t>
      </w:r>
      <w:r>
        <w:rPr>
          <w:rFonts w:hint="eastAsia"/>
          <w:sz w:val="24"/>
        </w:rPr>
        <w:t>cm；其它格式请参照本科设计（论文）的要求。</w:t>
      </w:r>
    </w:p>
    <w:p w14:paraId="78933233">
      <w:pPr>
        <w:adjustRightInd w:val="0"/>
        <w:snapToGrid w:val="0"/>
        <w:spacing w:line="600" w:lineRule="exact"/>
        <w:ind w:firstLine="512" w:firstLineChars="200"/>
        <w:rPr>
          <w:sz w:val="24"/>
        </w:rPr>
      </w:pPr>
      <w:r>
        <w:rPr>
          <w:rFonts w:hint="eastAsia"/>
          <w:sz w:val="24"/>
        </w:rPr>
        <w:t>4、论文选题、篇幅、内容等由任课教师提出具体要求。</w:t>
      </w:r>
    </w:p>
    <w:p w14:paraId="41F9B661">
      <w:pPr>
        <w:adjustRightInd w:val="0"/>
        <w:snapToGrid w:val="0"/>
        <w:spacing w:before="200" w:beforeLines="50" w:after="200" w:afterLines="50" w:line="400" w:lineRule="exact"/>
        <w:jc w:val="center"/>
        <w:rPr>
          <w:rFonts w:hint="eastAsia" w:ascii="宋体" w:hAnsi="宋体"/>
          <w:sz w:val="24"/>
        </w:rPr>
      </w:pPr>
    </w:p>
    <w:p w14:paraId="23D677CA">
      <w:pPr>
        <w:adjustRightInd w:val="0"/>
        <w:snapToGrid w:val="0"/>
        <w:spacing w:before="200" w:beforeLines="50" w:after="200" w:afterLines="50" w:line="400" w:lineRule="exact"/>
        <w:jc w:val="center"/>
        <w:rPr>
          <w:rFonts w:hint="eastAsia" w:ascii="宋体" w:hAnsi="宋体"/>
          <w:sz w:val="24"/>
        </w:rPr>
      </w:pPr>
    </w:p>
    <w:p w14:paraId="75BE3DF9">
      <w:pPr>
        <w:adjustRightInd w:val="0"/>
        <w:snapToGrid w:val="0"/>
        <w:spacing w:line="360" w:lineRule="auto"/>
        <w:ind w:firstLine="632" w:firstLineChars="200"/>
        <w:rPr>
          <w:rFonts w:hint="eastAsia" w:ascii="宋体" w:hAnsi="宋体"/>
          <w:sz w:val="30"/>
          <w:szCs w:val="30"/>
        </w:rPr>
      </w:pPr>
    </w:p>
    <w:p w14:paraId="1E5C5F23">
      <w:pPr>
        <w:adjustRightInd w:val="0"/>
        <w:snapToGrid w:val="0"/>
        <w:spacing w:line="360" w:lineRule="auto"/>
        <w:ind w:firstLine="632" w:firstLineChars="200"/>
        <w:rPr>
          <w:rFonts w:hint="eastAsia" w:ascii="宋体" w:hAnsi="宋体"/>
          <w:sz w:val="30"/>
          <w:szCs w:val="30"/>
        </w:rPr>
      </w:pPr>
    </w:p>
    <w:p w14:paraId="58BA87EC">
      <w:pPr>
        <w:adjustRightInd w:val="0"/>
        <w:snapToGrid w:val="0"/>
        <w:spacing w:line="360" w:lineRule="auto"/>
        <w:ind w:firstLine="632" w:firstLineChars="200"/>
        <w:rPr>
          <w:rFonts w:hint="eastAsia" w:ascii="宋体" w:hAnsi="宋体"/>
          <w:sz w:val="30"/>
          <w:szCs w:val="30"/>
        </w:rPr>
        <w:sectPr>
          <w:headerReference r:id="rId6" w:type="default"/>
          <w:headerReference r:id="rId7" w:type="even"/>
          <w:footerReference r:id="rId8" w:type="even"/>
          <w:pgSz w:w="11907" w:h="16840"/>
          <w:pgMar w:top="1418" w:right="1418" w:bottom="1418" w:left="1701" w:header="1418" w:footer="851" w:gutter="0"/>
          <w:cols w:space="425" w:num="1"/>
          <w:docGrid w:type="linesAndChars" w:linePitch="400" w:charSpace="3430"/>
        </w:sectPr>
      </w:pPr>
    </w:p>
    <w:p w14:paraId="5949203F">
      <w:pPr>
        <w:tabs>
          <w:tab w:val="left" w:pos="6583"/>
        </w:tabs>
        <w:spacing w:before="200" w:beforeLines="50" w:after="200" w:afterLines="50" w:line="400" w:lineRule="exact"/>
        <w:jc w:val="center"/>
        <w:rPr>
          <w:b/>
          <w:bCs/>
          <w:color w:val="000000"/>
          <w:sz w:val="36"/>
          <w:szCs w:val="36"/>
        </w:rPr>
      </w:pPr>
      <w:r>
        <w:rPr>
          <w:rFonts w:ascii="Times New Roman" w:hAnsi="Times New Roman"/>
          <w:b/>
          <w:bCs/>
          <w:color w:val="000000"/>
          <w:sz w:val="36"/>
          <w:szCs w:val="36"/>
        </w:rPr>
        <w:t>Title：</w:t>
      </w:r>
      <w:r>
        <w:rPr>
          <w:rFonts w:ascii="Times New Roman" w:hAnsi="Times New Roman" w:eastAsia="黑体"/>
          <w:b/>
          <w:sz w:val="36"/>
          <w:szCs w:val="36"/>
        </w:rPr>
        <w:t>Enzyme Kinetic Parameter Prediction Based on Statistical Learning and Multimodal Representation Learning</w:t>
      </w:r>
    </w:p>
    <w:p w14:paraId="656704F3">
      <w:pPr>
        <w:adjustRightInd w:val="0"/>
        <w:snapToGrid w:val="0"/>
        <w:spacing w:line="480" w:lineRule="auto"/>
        <w:jc w:val="center"/>
        <w:rPr>
          <w:rFonts w:hint="eastAsia" w:ascii="宋体" w:hAnsi="宋体"/>
          <w:color w:val="000000"/>
          <w:sz w:val="28"/>
          <w:szCs w:val="28"/>
        </w:rPr>
      </w:pPr>
      <w:r>
        <w:rPr>
          <w:rFonts w:ascii="Times New Roman" w:hAnsi="Times New Roman"/>
          <w:b/>
          <w:color w:val="000000"/>
          <w:sz w:val="36"/>
          <w:szCs w:val="36"/>
        </w:rPr>
        <w:t>Student Name：</w:t>
      </w:r>
      <w:r>
        <w:rPr>
          <w:rFonts w:hint="eastAsia"/>
          <w:b/>
          <w:bCs/>
          <w:sz w:val="32"/>
          <w:szCs w:val="32"/>
        </w:rPr>
        <w:t>YiZhang Mo</w:t>
      </w:r>
    </w:p>
    <w:p w14:paraId="2DB4CC6F">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1. Introduction</w:t>
      </w:r>
    </w:p>
    <w:p w14:paraId="714C27C3">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Preprocessing and statistical inspection provide a transparent, reproducible foundation for sequence-based enzyme kinetics modeling. This report documents the dataset properties, quality controls, and the preparation steps that enable consistent experiments across runs.</w:t>
      </w:r>
    </w:p>
    <w:p w14:paraId="25771DF7">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2. Dataset Overview</w:t>
      </w:r>
    </w:p>
    <w:p w14:paraId="3902339B">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current pipeline uses the DLKcat subset from the EKP data warehouse (raw arrays in EKP_raw/DLKcat). Each sample pairs a protein token sequence with a compound token sequence and a regression target log10(kcat).</w:t>
      </w:r>
    </w:p>
    <w:p w14:paraId="454FE0F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After cleaning, the dataset contains 22632 samples. Protein sequences are stored as integer token lists with lengths ranging from 7 to 2515 (mean 431.21), and compound sequences range from 1 to 1096 tokens (mean 44.47). The target spans [-6.0, 6.0], consistent with a precomputed log10(kcat) scale.</w:t>
      </w:r>
    </w:p>
    <w:p w14:paraId="52070D43">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3. Data Cleaning</w:t>
      </w:r>
    </w:p>
    <w:p w14:paraId="171681C4">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Cleaning is implemented in scripts/clean.py and emphasizes reproducibility and traceability:</w:t>
      </w:r>
    </w:p>
    <w:p w14:paraId="2B84F79D">
      <w:pPr>
        <w:pStyle w:val="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Duplicate removal: samples with identical protein, compound, and target are dropped.</w:t>
      </w:r>
    </w:p>
    <w:p w14:paraId="40882FDD">
      <w:pPr>
        <w:pStyle w:val="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Empty sequence checking: zero-length protein or compound sequences are removed.</w:t>
      </w:r>
    </w:p>
    <w:p w14:paraId="393B1EA7">
      <w:pPr>
        <w:pStyle w:val="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Abnormal value filtering: targets outside [-6, 6] are discarded.</w:t>
      </w:r>
    </w:p>
    <w:p w14:paraId="185D42BB">
      <w:pPr>
        <w:pStyle w:val="4"/>
        <w:spacing w:line="480" w:lineRule="auto"/>
        <w:rPr>
          <w:rFonts w:hint="default" w:ascii="Times New Roman" w:hAnsi="Times New Roman" w:cs="Times New Roman"/>
          <w:sz w:val="24"/>
          <w:szCs w:val="24"/>
        </w:rPr>
      </w:pPr>
      <w:r>
        <w:rPr>
          <w:rFonts w:hint="default" w:ascii="Times New Roman" w:hAnsi="Times New Roman" w:cs="Times New Roman"/>
          <w:sz w:val="24"/>
          <w:szCs w:val="24"/>
        </w:rPr>
        <w:t>Reproducibility settings: a fixed random seed (42) and deterministic 8/1/1 split are used during dataset partitioning.</w:t>
      </w:r>
    </w:p>
    <w:p w14:paraId="1A437E70">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4. Statistical Inspection</w:t>
      </w:r>
    </w:p>
    <w:p w14:paraId="63BC99D2">
      <w:pPr>
        <w:pStyle w:val="3"/>
        <w:spacing w:line="480" w:lineRule="auto"/>
        <w:rPr>
          <w:rFonts w:hint="default" w:ascii="Times New Roman" w:hAnsi="Times New Roman" w:cs="Times New Roman"/>
          <w:sz w:val="28"/>
          <w:szCs w:val="28"/>
        </w:rPr>
      </w:pPr>
      <w:r>
        <w:rPr>
          <w:rFonts w:hint="default" w:ascii="Times New Roman" w:hAnsi="Times New Roman" w:cs="Times New Roman"/>
          <w:sz w:val="28"/>
          <w:szCs w:val="28"/>
        </w:rPr>
        <w:t>4.1 Protein Sequence Distribution</w:t>
      </w:r>
    </w:p>
    <w:p w14:paraId="3BB0F23E">
      <w:pPr>
        <w:spacing w:line="480" w:lineRule="auto"/>
        <w:rPr>
          <w:rFonts w:hint="default" w:ascii="Times New Roman" w:hAnsi="Times New Roman" w:cs="Times New Roman"/>
          <w:sz w:val="24"/>
          <w:szCs w:val="24"/>
        </w:rPr>
      </w:pPr>
      <w:r>
        <w:rPr>
          <w:rFonts w:hint="eastAsia" w:ascii="Times New Roman" w:hAnsi="Times New Roman" w:eastAsia="宋体" w:cs="Times New Roman"/>
          <w:sz w:val="24"/>
          <w:szCs w:val="24"/>
          <w:lang w:eastAsia="zh-CN"/>
        </w:rPr>
        <w:drawing>
          <wp:inline distT="0" distB="0" distL="114300" distR="114300">
            <wp:extent cx="5116830" cy="3148330"/>
            <wp:effectExtent l="0" t="0" r="3810" b="6350"/>
            <wp:docPr id="1" name="图片 1" descr="protein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rotein_length_distribution"/>
                    <pic:cNvPicPr>
                      <a:picLocks noChangeAspect="1"/>
                    </pic:cNvPicPr>
                  </pic:nvPicPr>
                  <pic:blipFill>
                    <a:blip r:embed="rId15"/>
                    <a:stretch>
                      <a:fillRect/>
                    </a:stretch>
                  </pic:blipFill>
                  <pic:spPr>
                    <a:xfrm>
                      <a:off x="0" y="0"/>
                      <a:ext cx="5116830" cy="3148330"/>
                    </a:xfrm>
                    <a:prstGeom prst="rect">
                      <a:avLst/>
                    </a:prstGeom>
                  </pic:spPr>
                </pic:pic>
              </a:graphicData>
            </a:graphic>
          </wp:inline>
        </w:drawing>
      </w:r>
    </w:p>
    <w:p w14:paraId="71195C7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1. Protein sequence length distribution.</w:t>
      </w:r>
    </w:p>
    <w:p w14:paraId="5E82E8A5">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Protein lengths show a long-tailed distribution, with most sequences clustered below 600 tokens and a minority extending beyond 2000. This skew suggests that length-aware modeling or pooling is needed to avoid bias toward short sequences.</w:t>
      </w:r>
    </w:p>
    <w:p w14:paraId="75F7D534">
      <w:pPr>
        <w:spacing w:line="480" w:lineRule="auto"/>
        <w:rPr>
          <w:rFonts w:hint="default" w:ascii="Times New Roman" w:hAnsi="Times New Roman" w:cs="Times New Roman"/>
          <w:sz w:val="24"/>
          <w:szCs w:val="24"/>
        </w:rPr>
      </w:pPr>
      <w:r>
        <w:rPr>
          <w:rFonts w:hint="eastAsia" w:ascii="Times New Roman" w:hAnsi="Times New Roman" w:eastAsia="宋体" w:cs="Times New Roman"/>
          <w:sz w:val="24"/>
          <w:szCs w:val="24"/>
          <w:lang w:eastAsia="zh-CN"/>
        </w:rPr>
        <w:drawing>
          <wp:inline distT="0" distB="0" distL="114300" distR="114300">
            <wp:extent cx="5759450" cy="2480945"/>
            <wp:effectExtent l="0" t="0" r="1270" b="3175"/>
            <wp:docPr id="2" name="图片 2" descr="protein_length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rotein_length_boxplot"/>
                    <pic:cNvPicPr>
                      <a:picLocks noChangeAspect="1"/>
                    </pic:cNvPicPr>
                  </pic:nvPicPr>
                  <pic:blipFill>
                    <a:blip r:embed="rId16"/>
                    <a:stretch>
                      <a:fillRect/>
                    </a:stretch>
                  </pic:blipFill>
                  <pic:spPr>
                    <a:xfrm>
                      <a:off x="0" y="0"/>
                      <a:ext cx="5759450" cy="2480945"/>
                    </a:xfrm>
                    <a:prstGeom prst="rect">
                      <a:avLst/>
                    </a:prstGeom>
                  </pic:spPr>
                </pic:pic>
              </a:graphicData>
            </a:graphic>
          </wp:inline>
        </w:drawing>
      </w:r>
    </w:p>
    <w:p w14:paraId="493BC76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2. Protein sequence length boxplot.</w:t>
      </w:r>
    </w:p>
    <w:p w14:paraId="506E6BC5">
      <w:pPr>
        <w:pStyle w:val="3"/>
        <w:spacing w:line="480" w:lineRule="auto"/>
        <w:rPr>
          <w:rFonts w:hint="default" w:ascii="Times New Roman" w:hAnsi="Times New Roman" w:cs="Times New Roman"/>
          <w:sz w:val="28"/>
          <w:szCs w:val="28"/>
        </w:rPr>
      </w:pPr>
      <w:r>
        <w:rPr>
          <w:rFonts w:hint="default" w:ascii="Times New Roman" w:hAnsi="Times New Roman" w:cs="Times New Roman"/>
          <w:sz w:val="28"/>
          <w:szCs w:val="28"/>
        </w:rPr>
        <w:t>4.2 Compound Token Distribution</w:t>
      </w:r>
    </w:p>
    <w:p w14:paraId="17DB5750">
      <w:pPr>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drawing>
          <wp:inline distT="0" distB="0" distL="114300" distR="114300">
            <wp:extent cx="5759450" cy="3543935"/>
            <wp:effectExtent l="0" t="0" r="1270" b="6985"/>
            <wp:docPr id="3" name="图片 3" descr="compound_length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ompound_length_distribution"/>
                    <pic:cNvPicPr>
                      <a:picLocks noChangeAspect="1"/>
                    </pic:cNvPicPr>
                  </pic:nvPicPr>
                  <pic:blipFill>
                    <a:blip r:embed="rId17"/>
                    <a:stretch>
                      <a:fillRect/>
                    </a:stretch>
                  </pic:blipFill>
                  <pic:spPr>
                    <a:xfrm>
                      <a:off x="0" y="0"/>
                      <a:ext cx="5759450" cy="3543935"/>
                    </a:xfrm>
                    <a:prstGeom prst="rect">
                      <a:avLst/>
                    </a:prstGeom>
                  </pic:spPr>
                </pic:pic>
              </a:graphicData>
            </a:graphic>
          </wp:inline>
        </w:drawing>
      </w:r>
    </w:p>
    <w:p w14:paraId="7681E495">
      <w:pPr>
        <w:rPr>
          <w:rFonts w:hint="default" w:ascii="Times New Roman" w:hAnsi="Times New Roman" w:cs="Times New Roman"/>
          <w:sz w:val="28"/>
          <w:szCs w:val="28"/>
        </w:rPr>
      </w:pPr>
    </w:p>
    <w:p w14:paraId="706B585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3. Compound token length distribution.</w:t>
      </w:r>
    </w:p>
    <w:p w14:paraId="54539702">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Compound token lengths are compact compared to proteins, centered around a few dozen tokens with fewer extreme outliers. This asymmetry reinforces the need for balanced fusion and normalization across modalities.</w:t>
      </w:r>
    </w:p>
    <w:p w14:paraId="5B62BDBF">
      <w:pPr>
        <w:spacing w:line="480" w:lineRule="auto"/>
        <w:rPr>
          <w:rFonts w:hint="default" w:ascii="Times New Roman" w:hAnsi="Times New Roman" w:cs="Times New Roman"/>
          <w:sz w:val="24"/>
          <w:szCs w:val="24"/>
        </w:rPr>
      </w:pPr>
      <w:r>
        <w:rPr>
          <w:rFonts w:hint="eastAsia" w:ascii="Times New Roman" w:hAnsi="Times New Roman" w:eastAsia="宋体" w:cs="Times New Roman"/>
          <w:sz w:val="24"/>
          <w:szCs w:val="24"/>
          <w:lang w:eastAsia="zh-CN"/>
        </w:rPr>
        <w:drawing>
          <wp:inline distT="0" distB="0" distL="114300" distR="114300">
            <wp:extent cx="5759450" cy="2480945"/>
            <wp:effectExtent l="0" t="0" r="1270" b="3175"/>
            <wp:docPr id="4" name="图片 4" descr="compound_length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ompound_length_boxplot"/>
                    <pic:cNvPicPr>
                      <a:picLocks noChangeAspect="1"/>
                    </pic:cNvPicPr>
                  </pic:nvPicPr>
                  <pic:blipFill>
                    <a:blip r:embed="rId18"/>
                    <a:stretch>
                      <a:fillRect/>
                    </a:stretch>
                  </pic:blipFill>
                  <pic:spPr>
                    <a:xfrm>
                      <a:off x="0" y="0"/>
                      <a:ext cx="5759450" cy="2480945"/>
                    </a:xfrm>
                    <a:prstGeom prst="rect">
                      <a:avLst/>
                    </a:prstGeom>
                  </pic:spPr>
                </pic:pic>
              </a:graphicData>
            </a:graphic>
          </wp:inline>
        </w:drawing>
      </w:r>
    </w:p>
    <w:p w14:paraId="55727AB1">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4. Compound token length boxplot.</w:t>
      </w:r>
    </w:p>
    <w:p w14:paraId="5E973790">
      <w:pPr>
        <w:spacing w:line="480" w:lineRule="auto"/>
        <w:rPr>
          <w:rFonts w:hint="default" w:ascii="Times New Roman" w:hAnsi="Times New Roman" w:cs="Times New Roman"/>
          <w:b/>
          <w:bCs/>
          <w:sz w:val="28"/>
          <w:szCs w:val="28"/>
        </w:rPr>
      </w:pPr>
      <w:r>
        <w:rPr>
          <w:rFonts w:hint="default" w:ascii="Times New Roman" w:hAnsi="Times New Roman" w:cs="Times New Roman"/>
          <w:b/>
          <w:bCs/>
          <w:sz w:val="28"/>
          <w:szCs w:val="28"/>
        </w:rPr>
        <w:t>4.3 Target Distribution</w:t>
      </w:r>
      <w:bookmarkStart w:id="0" w:name="_GoBack"/>
      <w:bookmarkEnd w:id="0"/>
    </w:p>
    <w:p w14:paraId="6EB3FAD8">
      <w:pPr>
        <w:rPr>
          <w:rFonts w:hint="default" w:ascii="Times New Roman" w:hAnsi="Times New Roman" w:cs="Times New Roman"/>
          <w:sz w:val="28"/>
          <w:szCs w:val="28"/>
        </w:rPr>
      </w:pPr>
      <w:r>
        <w:rPr>
          <w:rFonts w:hint="eastAsia" w:ascii="Times New Roman" w:hAnsi="Times New Roman" w:eastAsia="宋体" w:cs="Times New Roman"/>
          <w:sz w:val="28"/>
          <w:szCs w:val="28"/>
          <w:lang w:eastAsia="zh-CN"/>
        </w:rPr>
        <w:drawing>
          <wp:inline distT="0" distB="0" distL="114300" distR="114300">
            <wp:extent cx="5759450" cy="3543935"/>
            <wp:effectExtent l="0" t="0" r="1270" b="6985"/>
            <wp:docPr id="5" name="图片 5" descr="log10_kcat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log10_kcat_distribution"/>
                    <pic:cNvPicPr>
                      <a:picLocks noChangeAspect="1"/>
                    </pic:cNvPicPr>
                  </pic:nvPicPr>
                  <pic:blipFill>
                    <a:blip r:embed="rId19"/>
                    <a:stretch>
                      <a:fillRect/>
                    </a:stretch>
                  </pic:blipFill>
                  <pic:spPr>
                    <a:xfrm>
                      <a:off x="0" y="0"/>
                      <a:ext cx="5759450" cy="3543935"/>
                    </a:xfrm>
                    <a:prstGeom prst="rect">
                      <a:avLst/>
                    </a:prstGeom>
                  </pic:spPr>
                </pic:pic>
              </a:graphicData>
            </a:graphic>
          </wp:inline>
        </w:drawing>
      </w:r>
    </w:p>
    <w:p w14:paraId="4390C69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5. Distribution of log10(kcat) targets.</w:t>
      </w:r>
    </w:p>
    <w:p w14:paraId="7822F50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target distribution is centered near 1.0 with a broad spread across the full [-6, 6] range, implying substantial variability and potential heteroscedasticity. This motivates robust loss functions and calibration checks in downstream models.</w:t>
      </w:r>
    </w:p>
    <w:p w14:paraId="55971827">
      <w:pPr>
        <w:pStyle w:val="3"/>
        <w:spacing w:line="480" w:lineRule="auto"/>
        <w:rPr>
          <w:rFonts w:hint="default" w:ascii="Times New Roman" w:hAnsi="Times New Roman" w:cs="Times New Roman"/>
          <w:sz w:val="28"/>
          <w:szCs w:val="28"/>
        </w:rPr>
      </w:pPr>
      <w:r>
        <w:rPr>
          <w:rFonts w:hint="default" w:ascii="Times New Roman" w:hAnsi="Times New Roman" w:cs="Times New Roman"/>
          <w:sz w:val="28"/>
          <w:szCs w:val="28"/>
        </w:rPr>
        <w:t>4.4 Dataset Split</w:t>
      </w:r>
    </w:p>
    <w:p w14:paraId="3608E5DF">
      <w:pPr>
        <w:rPr>
          <w:rFonts w:hint="default" w:ascii="Times New Roman" w:hAnsi="Times New Roman" w:cs="Times New Roman"/>
          <w:sz w:val="28"/>
          <w:szCs w:val="28"/>
        </w:rPr>
      </w:pPr>
      <w:r>
        <w:rPr>
          <w:rFonts w:hint="eastAsia" w:ascii="Times New Roman" w:hAnsi="Times New Roman" w:eastAsia="宋体" w:cs="Times New Roman"/>
          <w:sz w:val="28"/>
          <w:szCs w:val="28"/>
          <w:lang w:eastAsia="zh-CN"/>
        </w:rPr>
        <w:drawing>
          <wp:inline distT="0" distB="0" distL="114300" distR="114300">
            <wp:extent cx="5486400" cy="3657600"/>
            <wp:effectExtent l="0" t="0" r="0" b="0"/>
            <wp:docPr id="6" name="图片 6" descr="dataset_split_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taset_split_counts"/>
                    <pic:cNvPicPr>
                      <a:picLocks noChangeAspect="1"/>
                    </pic:cNvPicPr>
                  </pic:nvPicPr>
                  <pic:blipFill>
                    <a:blip r:embed="rId20"/>
                    <a:stretch>
                      <a:fillRect/>
                    </a:stretch>
                  </pic:blipFill>
                  <pic:spPr>
                    <a:xfrm>
                      <a:off x="0" y="0"/>
                      <a:ext cx="5486400" cy="3657600"/>
                    </a:xfrm>
                    <a:prstGeom prst="rect">
                      <a:avLst/>
                    </a:prstGeom>
                  </pic:spPr>
                </pic:pic>
              </a:graphicData>
            </a:graphic>
          </wp:inline>
        </w:drawing>
      </w:r>
    </w:p>
    <w:p w14:paraId="6386874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Figure 6. Train, validation, and test sample counts.</w:t>
      </w:r>
    </w:p>
    <w:p w14:paraId="24762B3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split follows an 8/1/1 ratio with fixed random seed, yielding 18105 training samples, 2263 validation samples, and 2264 test samples. A fixed split improves reproducibility, allowing fair comparison across baseline and lightweight deep learning experiments.</w:t>
      </w:r>
    </w:p>
    <w:p w14:paraId="09341D64">
      <w:pPr>
        <w:pStyle w:val="3"/>
        <w:spacing w:line="480" w:lineRule="auto"/>
        <w:rPr>
          <w:rFonts w:hint="default" w:ascii="Times New Roman" w:hAnsi="Times New Roman" w:cs="Times New Roman"/>
          <w:sz w:val="28"/>
          <w:szCs w:val="28"/>
        </w:rPr>
      </w:pPr>
      <w:r>
        <w:rPr>
          <w:rFonts w:hint="default" w:ascii="Times New Roman" w:hAnsi="Times New Roman" w:cs="Times New Roman"/>
          <w:sz w:val="28"/>
          <w:szCs w:val="28"/>
        </w:rPr>
        <w:t>4.5 Summary Statistics</w:t>
      </w:r>
    </w:p>
    <w:p w14:paraId="45E52886">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Table 1. Summary statistics of cleaned DLKcat dataset.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827"/>
        <w:gridCol w:w="1114"/>
        <w:gridCol w:w="1457"/>
        <w:gridCol w:w="1286"/>
        <w:gridCol w:w="1293"/>
        <w:gridCol w:w="1286"/>
      </w:tblGrid>
      <w:tr w14:paraId="29ED37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40EE3B0">
            <w:pPr>
              <w:keepNext w:val="0"/>
              <w:keepLines w:val="0"/>
              <w:widowControl/>
              <w:suppressLineNumbers w:val="0"/>
              <w:jc w:val="left"/>
              <w:rPr>
                <w:rFonts w:hint="default"/>
                <w:b/>
                <w:bCs/>
                <w:lang w:val="en-US"/>
              </w:rPr>
            </w:pPr>
            <w:r>
              <w:rPr>
                <w:rFonts w:hint="eastAsia" w:ascii="宋体" w:hAnsi="宋体" w:cs="宋体"/>
                <w:b/>
                <w:bCs/>
                <w:kern w:val="0"/>
                <w:sz w:val="24"/>
                <w:szCs w:val="24"/>
                <w:bdr w:val="none" w:color="auto" w:sz="0" w:space="0"/>
                <w:lang w:val="en-US" w:eastAsia="zh-CN" w:bidi="ar"/>
              </w:rPr>
              <w:t>project</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E146654">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Min</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C101149">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Max</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31A2E1E1">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Mean</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FF5E956">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Median</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45D6E3F">
            <w:pPr>
              <w:keepNext w:val="0"/>
              <w:keepLines w:val="0"/>
              <w:widowControl/>
              <w:suppressLineNumbers w:val="0"/>
              <w:jc w:val="left"/>
              <w:rPr>
                <w:b/>
                <w:bCs/>
              </w:rPr>
            </w:pPr>
            <w:r>
              <w:rPr>
                <w:rFonts w:ascii="宋体" w:hAnsi="宋体" w:eastAsia="宋体" w:cs="宋体"/>
                <w:b/>
                <w:bCs/>
                <w:kern w:val="0"/>
                <w:sz w:val="24"/>
                <w:szCs w:val="24"/>
                <w:bdr w:val="none" w:color="auto" w:sz="0" w:space="0"/>
                <w:lang w:val="en-US" w:eastAsia="zh-CN" w:bidi="ar"/>
              </w:rPr>
              <w:t>Std</w:t>
            </w:r>
          </w:p>
        </w:tc>
      </w:tr>
      <w:tr w14:paraId="04937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84E70C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Protein Length</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84764B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7.00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A1F79D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2515.00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7C4FA0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431.21</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B1E15F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378.00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69F59B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222.20</w:t>
            </w:r>
          </w:p>
        </w:tc>
      </w:tr>
      <w:tr w14:paraId="3FFBBD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194D944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Compound Length</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C4A1E3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29FA8D4">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1096.00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7FE6BD1F">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44.47</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31DA210">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33.00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730C9BC">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43.83</w:t>
            </w:r>
          </w:p>
        </w:tc>
      </w:tr>
      <w:tr w14:paraId="5667C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6EFD182D">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log10(kcat)</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17D27DE">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58F145D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6.00</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48C65581">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0.96</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21E4FDE3">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0.95</w:t>
            </w:r>
          </w:p>
        </w:tc>
        <w:tc>
          <w:tcPr>
            <w:tcW w:w="0" w:type="auto"/>
            <w:tcBorders>
              <w:top w:val="single" w:color="CCCCCC" w:sz="4" w:space="0"/>
              <w:left w:val="single" w:color="CCCCCC" w:sz="4" w:space="0"/>
              <w:bottom w:val="single" w:color="CCCCCC" w:sz="4" w:space="0"/>
              <w:right w:val="single" w:color="CCCCCC" w:sz="4" w:space="0"/>
            </w:tcBorders>
            <w:shd w:val="clear"/>
            <w:tcMar>
              <w:top w:w="96" w:type="dxa"/>
              <w:left w:w="96" w:type="dxa"/>
              <w:bottom w:w="96" w:type="dxa"/>
              <w:right w:w="96" w:type="dxa"/>
            </w:tcMar>
            <w:vAlign w:val="center"/>
          </w:tcPr>
          <w:p w14:paraId="0C64DC46">
            <w:pPr>
              <w:keepNext w:val="0"/>
              <w:keepLines w:val="0"/>
              <w:widowControl/>
              <w:suppressLineNumbers w:val="0"/>
              <w:jc w:val="left"/>
            </w:pPr>
            <w:r>
              <w:rPr>
                <w:rFonts w:ascii="宋体" w:hAnsi="宋体" w:eastAsia="宋体" w:cs="宋体"/>
                <w:kern w:val="0"/>
                <w:sz w:val="24"/>
                <w:szCs w:val="24"/>
                <w:bdr w:val="none" w:color="auto" w:sz="0" w:space="0"/>
                <w:lang w:val="en-US" w:eastAsia="zh-CN" w:bidi="ar"/>
              </w:rPr>
              <w:t>1.67</w:t>
            </w:r>
          </w:p>
        </w:tc>
      </w:tr>
    </w:tbl>
    <w:p w14:paraId="3355C0EC">
      <w:pPr>
        <w:spacing w:line="480" w:lineRule="auto"/>
        <w:rPr>
          <w:rFonts w:hint="default" w:ascii="Times New Roman" w:hAnsi="Times New Roman" w:cs="Times New Roman"/>
          <w:sz w:val="24"/>
          <w:szCs w:val="24"/>
        </w:rPr>
      </w:pPr>
    </w:p>
    <w:p w14:paraId="469FFAB0">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Protein lengths exhibit a clear long-tail pattern with large dispersion relative to the median, indicating that a small fraction of very long sequences dominates the range. This distribution motivates length-aware pooling or normalization to avoid overemphasizing short sequences.</w:t>
      </w:r>
    </w:p>
    <w:p w14:paraId="4BEFABCD">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Compound lengths are shorter on average but show variability of similar magnitude to the mean, while the target values span a wide interval with substantial standard deviation. The modality imbalance and target spread imply that stable optimization benefits from careful pooling strategy and regularization to maintain consistent regression behavior across diverse sequence scales.</w:t>
      </w:r>
    </w:p>
    <w:p w14:paraId="7268AB32">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5. Discussion</w:t>
      </w:r>
    </w:p>
    <w:p w14:paraId="20580AA7">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Protein lengths are markedly imbalanced, which can amplify the dominance of short sequences if pooling or truncation is not carefully designed. Target variability is wide, suggesting that models should capture both central tendencies and tail behavior. For lightweight deep learning models, pooling becomes critical: mean pooling stabilizes representation scale, while max pooling can be sensitive to sparse activations. Given the length skew, pooling strategies influence both convergence stability and predictive consistency.</w:t>
      </w:r>
    </w:p>
    <w:p w14:paraId="401D2567">
      <w:pPr>
        <w:pStyle w:val="2"/>
        <w:spacing w:line="480" w:lineRule="auto"/>
        <w:rPr>
          <w:rFonts w:hint="default" w:ascii="Times New Roman" w:hAnsi="Times New Roman" w:cs="Times New Roman"/>
          <w:sz w:val="28"/>
          <w:szCs w:val="28"/>
        </w:rPr>
      </w:pPr>
      <w:r>
        <w:rPr>
          <w:rFonts w:hint="default" w:ascii="Times New Roman" w:hAnsi="Times New Roman" w:cs="Times New Roman"/>
          <w:sz w:val="28"/>
          <w:szCs w:val="28"/>
        </w:rPr>
        <w:t>6. Conclusion</w:t>
      </w:r>
    </w:p>
    <w:p w14:paraId="0D9AAE09">
      <w:pPr>
        <w:spacing w:line="480" w:lineRule="auto"/>
        <w:rPr>
          <w:rFonts w:hint="default" w:ascii="Times New Roman" w:hAnsi="Times New Roman" w:cs="Times New Roman"/>
          <w:sz w:val="24"/>
          <w:szCs w:val="24"/>
        </w:rPr>
      </w:pPr>
      <w:r>
        <w:rPr>
          <w:rFonts w:hint="default" w:ascii="Times New Roman" w:hAnsi="Times New Roman" w:cs="Times New Roman"/>
          <w:sz w:val="24"/>
          <w:szCs w:val="24"/>
        </w:rPr>
        <w:t>The preprocessing pipeline produces a clean, reproducible dataset with verified sequence integrity and target ranges. Statistical inspection confirms the expected long-tailed protein lengths, compact compound lengths, and broad target variability. These findings establish readiness for reproducible experiments and motivate careful pooling and fusion choices in lightweight models.</w:t>
      </w:r>
    </w:p>
    <w:p w14:paraId="14D43EA9">
      <w:pPr>
        <w:adjustRightInd w:val="0"/>
        <w:snapToGrid w:val="0"/>
        <w:spacing w:line="480" w:lineRule="auto"/>
        <w:rPr>
          <w:rFonts w:hint="eastAsia" w:hAnsi="宋体"/>
          <w:b/>
          <w:color w:val="0000FF"/>
          <w:sz w:val="24"/>
        </w:rPr>
      </w:pPr>
    </w:p>
    <w:p w14:paraId="07754F96">
      <w:pPr>
        <w:adjustRightInd w:val="0"/>
        <w:snapToGrid w:val="0"/>
        <w:spacing w:line="480" w:lineRule="auto"/>
        <w:rPr>
          <w:rFonts w:hint="eastAsia" w:hAnsi="宋体"/>
          <w:b/>
          <w:color w:val="0000FF"/>
          <w:sz w:val="24"/>
        </w:rPr>
      </w:pPr>
    </w:p>
    <w:p w14:paraId="3A7AF533">
      <w:pPr>
        <w:adjustRightInd w:val="0"/>
        <w:snapToGrid w:val="0"/>
        <w:spacing w:line="480" w:lineRule="auto"/>
        <w:rPr>
          <w:rFonts w:hint="eastAsia" w:hAnsi="宋体"/>
          <w:b/>
          <w:color w:val="0000FF"/>
          <w:sz w:val="24"/>
        </w:rPr>
      </w:pPr>
    </w:p>
    <w:p w14:paraId="1A1D78DA">
      <w:pPr>
        <w:adjustRightInd w:val="0"/>
        <w:snapToGrid w:val="0"/>
        <w:spacing w:line="480" w:lineRule="auto"/>
        <w:rPr>
          <w:rFonts w:hint="eastAsia" w:hAnsi="宋体"/>
          <w:b/>
          <w:color w:val="0000FF"/>
          <w:sz w:val="24"/>
        </w:rPr>
      </w:pPr>
    </w:p>
    <w:p w14:paraId="77B1F612">
      <w:pPr>
        <w:adjustRightInd w:val="0"/>
        <w:snapToGrid w:val="0"/>
        <w:spacing w:line="480" w:lineRule="auto"/>
        <w:rPr>
          <w:rFonts w:hint="eastAsia" w:hAnsi="宋体"/>
          <w:b/>
          <w:color w:val="0000FF"/>
          <w:sz w:val="24"/>
        </w:rPr>
      </w:pPr>
    </w:p>
    <w:p w14:paraId="0139F732">
      <w:pPr>
        <w:adjustRightInd w:val="0"/>
        <w:snapToGrid w:val="0"/>
        <w:spacing w:line="480" w:lineRule="auto"/>
        <w:rPr>
          <w:rFonts w:hint="eastAsia" w:hAnsi="宋体"/>
          <w:b/>
          <w:color w:val="0000FF"/>
          <w:sz w:val="24"/>
        </w:rPr>
      </w:pPr>
    </w:p>
    <w:p w14:paraId="27CCE6F2">
      <w:pPr>
        <w:adjustRightInd w:val="0"/>
        <w:snapToGrid w:val="0"/>
        <w:spacing w:line="480" w:lineRule="auto"/>
        <w:rPr>
          <w:rFonts w:hint="eastAsia" w:hAnsi="宋体"/>
          <w:b/>
          <w:color w:val="0000FF"/>
          <w:sz w:val="24"/>
        </w:rPr>
        <w:sectPr>
          <w:headerReference r:id="rId9" w:type="default"/>
          <w:footerReference r:id="rId11" w:type="default"/>
          <w:headerReference r:id="rId10" w:type="even"/>
          <w:footerReference r:id="rId12" w:type="even"/>
          <w:pgSz w:w="11907" w:h="16840"/>
          <w:pgMar w:top="426" w:right="1418" w:bottom="426" w:left="1418" w:header="851" w:footer="851" w:gutter="0"/>
          <w:pgNumType w:start="1"/>
          <w:cols w:space="425" w:num="1"/>
          <w:docGrid w:type="lines" w:linePitch="400" w:charSpace="3430"/>
        </w:sectPr>
      </w:pPr>
    </w:p>
    <w:p w14:paraId="7AC4AB14">
      <w:pPr>
        <w:adjustRightInd w:val="0"/>
        <w:snapToGrid w:val="0"/>
        <w:spacing w:line="480" w:lineRule="auto"/>
      </w:pPr>
    </w:p>
    <w:sectPr>
      <w:footerReference r:id="rId13" w:type="default"/>
      <w:type w:val="continuous"/>
      <w:pgSz w:w="11907" w:h="16840"/>
      <w:pgMar w:top="426" w:right="1418" w:bottom="426" w:left="1418" w:header="851" w:footer="851" w:gutter="0"/>
      <w:pgNumType w:start="1"/>
      <w:cols w:space="425" w:num="1"/>
      <w:docGrid w:type="lines" w:linePitch="400" w:charSpace="34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131CF">
    <w:pPr>
      <w:pStyle w:val="7"/>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81848">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42B92">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1</w:t>
    </w:r>
    <w:r>
      <w:rPr>
        <w:rStyle w:val="13"/>
      </w:rPr>
      <w:fldChar w:fldCharType="end"/>
    </w:r>
  </w:p>
  <w:p w14:paraId="42F8589B">
    <w:pPr>
      <w:pStyle w:val="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2826C">
    <w:pPr>
      <w:pStyle w:val="7"/>
      <w:framePr w:wrap="around"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2</w:t>
    </w:r>
    <w:r>
      <w:rPr>
        <w:rStyle w:val="13"/>
      </w:rPr>
      <w:fldChar w:fldCharType="end"/>
    </w:r>
  </w:p>
  <w:p w14:paraId="70926AEF">
    <w:pPr>
      <w:pStyle w:val="7"/>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603364">
    <w:pPr>
      <w:pStyle w:val="7"/>
      <w:ind w:right="360" w:firstLine="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07130">
    <w:pPr>
      <w:pStyle w:val="8"/>
      <w:pBdr>
        <w:bottom w:val="none" w:color="auto" w:sz="0" w:space="0"/>
      </w:pBdr>
    </w:pPr>
    <w:r>
      <w:t xml:space="preserve"> </w:t>
    </w:r>
    <w:r>
      <w:fldChar w:fldCharType="begin"/>
    </w:r>
    <w:r>
      <w:instrText xml:space="preserve"> INCLUDEPICTURE "https://www.scut.edu.cn/_upload/article/images/93/f1/da8bef494e929b2303b75fcae24a/3b403882-85d9-4143-9480-b0b97a85f8c3.png" \* MERGEFORMATINET </w:instrText>
    </w:r>
    <w:r>
      <w:fldChar w:fldCharType="separate"/>
    </w:r>
    <w:r>
      <w:fldChar w:fldCharType="begin"/>
    </w:r>
    <w:r>
      <w:instrText xml:space="preserve"> INCLUDEPICTURE  "https://www.scut.edu.cn/_upload/article/images/93/f1/da8bef494e929b2303b75fcae24a/3b403882-85d9-4143-9480-b0b97a85f8c3.png" \* MERGEFORMATINET </w:instrText>
    </w:r>
    <w:r>
      <w:fldChar w:fldCharType="separate"/>
    </w:r>
    <w:r>
      <w:pict>
        <v:shape id="_x0000_i1025" o:spt="75" type="#_x0000_t75" style="height:67.8pt;width:300.6pt;" filled="f" o:preferrelative="t" stroked="f" coordsize="21600,21600">
          <v:path/>
          <v:fill on="f" focussize="0,0"/>
          <v:stroke on="f" joinstyle="miter"/>
          <v:imagedata r:id="rId1" r:href="rId2" o:title=""/>
          <o:lock v:ext="edit" aspectratio="t"/>
          <w10:wrap type="none"/>
          <w10:anchorlock/>
        </v:shape>
      </w:pict>
    </w:r>
    <w:r>
      <w:fldChar w:fldCharType="end"/>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B1EB4">
    <w:pPr>
      <w:pStyle w:val="8"/>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37DD2">
    <w:pPr>
      <w:pStyle w:val="8"/>
      <w:pBdr>
        <w:bottom w:val="none" w:color="auto" w:sz="0" w:space="0"/>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D5C5D">
    <w:pPr>
      <w:pStyle w:val="8"/>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6BF78">
    <w:pPr>
      <w:pStyle w:val="8"/>
      <w:pBdr>
        <w:bottom w:val="none" w:color="auto" w:sz="0"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B949D">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7BF0D55"/>
    <w:multiLevelType w:val="singleLevel"/>
    <w:tmpl w:val="17BF0D55"/>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FD5"/>
    <w:rsid w:val="00011E55"/>
    <w:rsid w:val="0001565E"/>
    <w:rsid w:val="00026A75"/>
    <w:rsid w:val="00056796"/>
    <w:rsid w:val="000574E4"/>
    <w:rsid w:val="0006309B"/>
    <w:rsid w:val="00082653"/>
    <w:rsid w:val="00090CA4"/>
    <w:rsid w:val="000A0F8F"/>
    <w:rsid w:val="000A2763"/>
    <w:rsid w:val="000A3286"/>
    <w:rsid w:val="000A3964"/>
    <w:rsid w:val="000B045A"/>
    <w:rsid w:val="000C401F"/>
    <w:rsid w:val="000F0229"/>
    <w:rsid w:val="00126107"/>
    <w:rsid w:val="00130336"/>
    <w:rsid w:val="00157118"/>
    <w:rsid w:val="00167071"/>
    <w:rsid w:val="001729BD"/>
    <w:rsid w:val="00190335"/>
    <w:rsid w:val="001A3B62"/>
    <w:rsid w:val="001A5BEA"/>
    <w:rsid w:val="001C2AE5"/>
    <w:rsid w:val="001C4FD8"/>
    <w:rsid w:val="001C789A"/>
    <w:rsid w:val="001E7C54"/>
    <w:rsid w:val="00201FD0"/>
    <w:rsid w:val="00222D78"/>
    <w:rsid w:val="002476FA"/>
    <w:rsid w:val="00295478"/>
    <w:rsid w:val="002A0386"/>
    <w:rsid w:val="002F1256"/>
    <w:rsid w:val="002F45E8"/>
    <w:rsid w:val="002F64C8"/>
    <w:rsid w:val="0036564B"/>
    <w:rsid w:val="0036763E"/>
    <w:rsid w:val="00380632"/>
    <w:rsid w:val="00385EE8"/>
    <w:rsid w:val="00386742"/>
    <w:rsid w:val="003A13DC"/>
    <w:rsid w:val="003A44F8"/>
    <w:rsid w:val="003D2FBF"/>
    <w:rsid w:val="003D3D2C"/>
    <w:rsid w:val="003F63F2"/>
    <w:rsid w:val="00402C7B"/>
    <w:rsid w:val="004222B6"/>
    <w:rsid w:val="004439DC"/>
    <w:rsid w:val="00480877"/>
    <w:rsid w:val="0048520C"/>
    <w:rsid w:val="004E2551"/>
    <w:rsid w:val="004F5012"/>
    <w:rsid w:val="004F6C61"/>
    <w:rsid w:val="00506AB2"/>
    <w:rsid w:val="0052091F"/>
    <w:rsid w:val="00541800"/>
    <w:rsid w:val="00566516"/>
    <w:rsid w:val="00572B8D"/>
    <w:rsid w:val="00583BAA"/>
    <w:rsid w:val="005A18C6"/>
    <w:rsid w:val="005B2754"/>
    <w:rsid w:val="005C65A7"/>
    <w:rsid w:val="005E207F"/>
    <w:rsid w:val="00613FE3"/>
    <w:rsid w:val="00677A96"/>
    <w:rsid w:val="00683818"/>
    <w:rsid w:val="0068459D"/>
    <w:rsid w:val="00694B28"/>
    <w:rsid w:val="006A1D99"/>
    <w:rsid w:val="006C0555"/>
    <w:rsid w:val="00705F23"/>
    <w:rsid w:val="00712062"/>
    <w:rsid w:val="007C47DF"/>
    <w:rsid w:val="007C4D87"/>
    <w:rsid w:val="00804DD3"/>
    <w:rsid w:val="00806FF2"/>
    <w:rsid w:val="00822403"/>
    <w:rsid w:val="00824F30"/>
    <w:rsid w:val="00875805"/>
    <w:rsid w:val="008A7303"/>
    <w:rsid w:val="008B18AD"/>
    <w:rsid w:val="00920953"/>
    <w:rsid w:val="0093636A"/>
    <w:rsid w:val="00942F0F"/>
    <w:rsid w:val="0098004A"/>
    <w:rsid w:val="00981F87"/>
    <w:rsid w:val="009908F7"/>
    <w:rsid w:val="009A65D3"/>
    <w:rsid w:val="009B0626"/>
    <w:rsid w:val="009D7E31"/>
    <w:rsid w:val="009F793E"/>
    <w:rsid w:val="00A17A61"/>
    <w:rsid w:val="00A508F8"/>
    <w:rsid w:val="00A65B9B"/>
    <w:rsid w:val="00A81350"/>
    <w:rsid w:val="00A84D67"/>
    <w:rsid w:val="00A850BB"/>
    <w:rsid w:val="00A91D18"/>
    <w:rsid w:val="00AB5A0C"/>
    <w:rsid w:val="00AD5A53"/>
    <w:rsid w:val="00AE70CE"/>
    <w:rsid w:val="00AF322D"/>
    <w:rsid w:val="00B00945"/>
    <w:rsid w:val="00B30B81"/>
    <w:rsid w:val="00B3525E"/>
    <w:rsid w:val="00B579A0"/>
    <w:rsid w:val="00B777DA"/>
    <w:rsid w:val="00BC3DBD"/>
    <w:rsid w:val="00BD56C7"/>
    <w:rsid w:val="00BF5975"/>
    <w:rsid w:val="00C17E2B"/>
    <w:rsid w:val="00C837C3"/>
    <w:rsid w:val="00C857EE"/>
    <w:rsid w:val="00C860F5"/>
    <w:rsid w:val="00C97980"/>
    <w:rsid w:val="00CC691C"/>
    <w:rsid w:val="00D04098"/>
    <w:rsid w:val="00D43FD5"/>
    <w:rsid w:val="00D448FF"/>
    <w:rsid w:val="00D53103"/>
    <w:rsid w:val="00D65B0C"/>
    <w:rsid w:val="00D90615"/>
    <w:rsid w:val="00DB57B9"/>
    <w:rsid w:val="00DE3846"/>
    <w:rsid w:val="00DF2CC2"/>
    <w:rsid w:val="00E01046"/>
    <w:rsid w:val="00E01A23"/>
    <w:rsid w:val="00E0332B"/>
    <w:rsid w:val="00E260CA"/>
    <w:rsid w:val="00E42405"/>
    <w:rsid w:val="00E50EF5"/>
    <w:rsid w:val="00E70C37"/>
    <w:rsid w:val="00E731EC"/>
    <w:rsid w:val="00E80170"/>
    <w:rsid w:val="00E91FF1"/>
    <w:rsid w:val="00ED7508"/>
    <w:rsid w:val="00ED76AA"/>
    <w:rsid w:val="00EF0E59"/>
    <w:rsid w:val="00EF750F"/>
    <w:rsid w:val="00F27B5D"/>
    <w:rsid w:val="00F310D9"/>
    <w:rsid w:val="00F33803"/>
    <w:rsid w:val="00F44CC4"/>
    <w:rsid w:val="00F60ED8"/>
    <w:rsid w:val="00F65C23"/>
    <w:rsid w:val="00F86731"/>
    <w:rsid w:val="00FB3750"/>
    <w:rsid w:val="00FE1932"/>
    <w:rsid w:val="17237684"/>
    <w:rsid w:val="21843D08"/>
    <w:rsid w:val="3A4C288E"/>
    <w:rsid w:val="61D16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List Bullet"/>
    <w:basedOn w:val="1"/>
    <w:semiHidden/>
    <w:unhideWhenUsed/>
    <w:uiPriority w:val="99"/>
    <w:pPr>
      <w:numPr>
        <w:ilvl w:val="0"/>
        <w:numId w:val="1"/>
      </w:numPr>
    </w:pPr>
  </w:style>
  <w:style w:type="paragraph" w:styleId="5">
    <w:name w:val="Body Text Indent 2"/>
    <w:basedOn w:val="1"/>
    <w:link w:val="18"/>
    <w:qFormat/>
    <w:uiPriority w:val="0"/>
    <w:pPr>
      <w:ind w:firstLine="435"/>
    </w:pPr>
    <w:rPr>
      <w:rFonts w:ascii="Times New Roman" w:hAnsi="Times New Roman"/>
      <w:szCs w:val="24"/>
    </w:rPr>
  </w:style>
  <w:style w:type="paragraph" w:styleId="6">
    <w:name w:val="Balloon Text"/>
    <w:basedOn w:val="1"/>
    <w:link w:val="19"/>
    <w:semiHidden/>
    <w:unhideWhenUsed/>
    <w:qFormat/>
    <w:uiPriority w:val="99"/>
    <w:rPr>
      <w:sz w:val="18"/>
      <w:szCs w:val="18"/>
    </w:rPr>
  </w:style>
  <w:style w:type="paragraph" w:styleId="7">
    <w:name w:val="footer"/>
    <w:basedOn w:val="1"/>
    <w:link w:val="16"/>
    <w:unhideWhenUsed/>
    <w:qFormat/>
    <w:uiPriority w:val="0"/>
    <w:pPr>
      <w:tabs>
        <w:tab w:val="center" w:pos="4153"/>
        <w:tab w:val="right" w:pos="8306"/>
      </w:tabs>
      <w:snapToGrid w:val="0"/>
      <w:jc w:val="left"/>
    </w:pPr>
    <w:rPr>
      <w:sz w:val="18"/>
      <w:szCs w:val="18"/>
    </w:rPr>
  </w:style>
  <w:style w:type="paragraph" w:styleId="8">
    <w:name w:val="header"/>
    <w:basedOn w:val="1"/>
    <w:link w:val="15"/>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szCs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qFormat/>
    <w:uiPriority w:val="0"/>
  </w:style>
  <w:style w:type="character" w:styleId="14">
    <w:name w:val="HTML Code"/>
    <w:basedOn w:val="12"/>
    <w:semiHidden/>
    <w:unhideWhenUsed/>
    <w:uiPriority w:val="99"/>
    <w:rPr>
      <w:rFonts w:ascii="Courier New" w:hAnsi="Courier New"/>
      <w:sz w:val="20"/>
    </w:rPr>
  </w:style>
  <w:style w:type="character" w:customStyle="1" w:styleId="15">
    <w:name w:val="页眉 字符"/>
    <w:link w:val="8"/>
    <w:semiHidden/>
    <w:qFormat/>
    <w:uiPriority w:val="99"/>
    <w:rPr>
      <w:sz w:val="18"/>
      <w:szCs w:val="18"/>
    </w:rPr>
  </w:style>
  <w:style w:type="character" w:customStyle="1" w:styleId="16">
    <w:name w:val="页脚 字符"/>
    <w:link w:val="7"/>
    <w:semiHidden/>
    <w:uiPriority w:val="99"/>
    <w:rPr>
      <w:sz w:val="18"/>
      <w:szCs w:val="18"/>
    </w:rPr>
  </w:style>
  <w:style w:type="paragraph" w:customStyle="1" w:styleId="17">
    <w:name w:val="列出段落"/>
    <w:basedOn w:val="1"/>
    <w:qFormat/>
    <w:uiPriority w:val="34"/>
    <w:pPr>
      <w:ind w:firstLine="420" w:firstLineChars="200"/>
    </w:pPr>
  </w:style>
  <w:style w:type="character" w:customStyle="1" w:styleId="18">
    <w:name w:val="正文文本缩进 2 字符"/>
    <w:link w:val="5"/>
    <w:uiPriority w:val="0"/>
    <w:rPr>
      <w:rFonts w:ascii="Times New Roman" w:hAnsi="Times New Roman" w:eastAsia="宋体" w:cs="Times New Roman"/>
      <w:szCs w:val="24"/>
    </w:rPr>
  </w:style>
  <w:style w:type="character" w:customStyle="1" w:styleId="19">
    <w:name w:val="批注框文本 字符"/>
    <w:link w:val="6"/>
    <w:semiHidden/>
    <w:qFormat/>
    <w:uiPriority w:val="99"/>
    <w:rPr>
      <w:kern w:val="2"/>
      <w:sz w:val="18"/>
      <w:szCs w:val="18"/>
    </w:rPr>
  </w:style>
  <w:style w:type="character" w:customStyle="1" w:styleId="20">
    <w:name w:val="标题 2 字符"/>
    <w:basedOn w:val="12"/>
    <w:link w:val="3"/>
    <w:semiHidden/>
    <w:uiPriority w:val="9"/>
    <w:rPr>
      <w:rFonts w:asciiTheme="majorHAnsi" w:hAnsiTheme="majorHAnsi" w:eastAsiaTheme="majorEastAsia" w:cstheme="majorBidi"/>
      <w:b/>
      <w:bCs/>
      <w:kern w:val="2"/>
      <w:sz w:val="32"/>
      <w:szCs w:val="32"/>
    </w:rPr>
  </w:style>
  <w:style w:type="character" w:customStyle="1" w:styleId="21">
    <w:name w:val="标题 1 字符"/>
    <w:basedOn w:val="12"/>
    <w:link w:val="2"/>
    <w:uiPriority w:val="9"/>
    <w:rPr>
      <w:b/>
      <w:bCs/>
      <w:kern w:val="44"/>
      <w:sz w:val="44"/>
      <w:szCs w:val="44"/>
    </w:rPr>
  </w:style>
  <w:style w:type="character" w:styleId="22">
    <w:name w:val="Placeholder Text"/>
    <w:basedOn w:val="12"/>
    <w:semiHidden/>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theme" Target="theme/theme1.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6.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https://www.scut.edu.cn/_upload/article/images/93/f1/da8bef494e929b2303b75fcae24a/3b403882-85d9-4143-9480-b0b97a85f8c3.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B36CA2-733B-4EAB-9B6F-51AD08E85110}">
  <ds:schemaRefs/>
</ds:datastoreItem>
</file>

<file path=docProps/app.xml><?xml version="1.0" encoding="utf-8"?>
<Properties xmlns="http://schemas.openxmlformats.org/officeDocument/2006/extended-properties" xmlns:vt="http://schemas.openxmlformats.org/officeDocument/2006/docPropsVTypes">
  <Template>Normal</Template>
  <Company>微软用户</Company>
  <Pages>10</Pages>
  <Words>526</Words>
  <Characters>1061</Characters>
  <Lines>286</Lines>
  <Paragraphs>224</Paragraphs>
  <TotalTime>10</TotalTime>
  <ScaleCrop>false</ScaleCrop>
  <LinksUpToDate>false</LinksUpToDate>
  <CharactersWithSpaces>1184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2026-04-28T12:50:00Z</dcterms:created>
  <dc:creator>FtpDown</dc:creator>
  <cp:lastModifiedBy>沙司酱</cp:lastModifiedBy>
  <cp:lastPrinted>2013-07-10T01:09:00Z</cp:lastPrinted>
  <dcterms:modified xsi:type="dcterms:W3CDTF">2026-05-20T06:32:22Z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eyJoZGlkIjoiMmFiNGRhMjdjYTAzZDU4MzMwNzI3NzdlYjQ5MGVmZTciLCJ1c2VySWQiOiI5NjY2MzA1NjMifQ==</vt:lpwstr>
  </property>
  <property fmtid="{D5CDD505-2E9C-101B-9397-08002B2CF9AE}" pid="3" name="KSOProductBuildVer">
    <vt:lpwstr>2052-12.1.0.21915</vt:lpwstr>
  </property>
  <property fmtid="{D5CDD505-2E9C-101B-9397-08002B2CF9AE}" pid="4" name="ICV">
    <vt:lpwstr>12EC5507DC764ABC95A141E399575E60_13</vt:lpwstr>
  </property>
</Properties>
</file>