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pPr>
        <w:spacing w:after="200" w:before="1200"/>
        <w:jc w:val="center"/>
      </w:pPr>
      <w:r>
        <w:rPr>
          <w:rFonts w:ascii="Arial" w:hAnsi="Arial" w:eastAsia="Arial" w:cs="Arial"/>
          <w:b/>
          <w:bCs/>
          <w:color w:val="1B3A6B"/>
          <w:sz w:val="72"/>
          <w:szCs w:val="72"/>
        </w:rPr>
        <w:t>FINOVLY.COM</w:t>
      </w:r>
    </w:p>
    <w:p w14:paraId="00000002">
      <w:pPr>
        <w:spacing w:after="120" w:before="0"/>
        <w:jc w:val="center"/>
      </w:pPr>
      <w:r>
        <w:rPr>
          <w:rFonts w:ascii="Arial" w:hAnsi="Arial" w:eastAsia="Arial" w:cs="Arial"/>
          <w:b/>
          <w:bCs/>
          <w:color w:val="2E86C1"/>
          <w:sz w:val="40"/>
          <w:szCs w:val="40"/>
        </w:rPr>
        <w:t>Website Transformation Report</w:t>
      </w:r>
    </w:p>
    <w:p w14:paraId="00000003">
      <w:pPr>
        <w:spacing w:after="600" w:before="0"/>
        <w:jc w:val="center"/>
      </w:pPr>
      <w:r>
        <w:rPr>
          <w:rFonts w:ascii="Arial" w:hAnsi="Arial" w:eastAsia="Arial" w:cs="Arial"/>
          <w:color w:val="666666"/>
          <w:sz w:val="26"/>
          <w:szCs w:val="26"/>
        </w:rPr>
        <w:t>Immigrant &amp; Expat Finance Niche — Full Implementation Guide</w:t>
      </w:r>
    </w:p>
    <w:p w14:paraId="00000004">
      <w:pPr>
        <w:pBdr>
          <w:top w:val="single" w:color="1B3A6B" w:sz="6" w:space="1"/>
          <w:bottom w:val="single" w:color="1B3A6B" w:sz="6" w:space="1"/>
        </w:pBdr>
        <w:spacing w:after="120" w:before="120"/>
        <w:jc w:val="center"/>
      </w:pPr>
      <w:r>
        <w:rPr>
          <w:rFonts w:ascii="Arial" w:hAnsi="Arial" w:eastAsia="Arial" w:cs="Arial"/>
          <w:color w:val="2C3E50"/>
          <w:sz w:val="22"/>
          <w:szCs w:val="22"/>
        </w:rPr>
        <w:t>Prepared for: Development &amp; Content Team   |   June 2025</w:t>
      </w:r>
    </w:p>
    <w:p w14:paraId="00000005">
      <w:pPr>
        <w:spacing w:after="240" w:before="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w14:paraId="00000006">
        <w:tc>
          <w:tcPr>
            <w:tcW w:w="9360" w:type="dxa"/>
            <w:tcBorders>
              <w:top w:val="single" w:color="D0D8E4" w:sz="1"/>
              <w:left w:val="single" w:color="D0D8E4" w:sz="1"/>
              <w:bottom w:val="single" w:color="D0D8E4" w:sz="1"/>
              <w:right w:val="single" w:color="D0D8E4" w:sz="1"/>
            </w:tcBorders>
            <w:shd w:fill="1B3A6B" w:val="clear"/>
            <w:tcMar>
              <w:top w:w="100" w:type="dxa"/>
              <w:left w:w="160" w:type="dxa"/>
              <w:bottom w:w="100" w:type="dxa"/>
              <w:right w:w="160" w:type="dxa"/>
            </w:tcMar>
          </w:tcPr>
          <w:p w14:paraId="00000007">
            <w:r>
              <w:rPr>
                <w:rFonts w:ascii="Arial" w:hAnsi="Arial" w:eastAsia="Arial" w:cs="Arial"/>
                <w:b/>
                <w:bCs/>
                <w:color w:val="FFFFFF"/>
                <w:sz w:val="22"/>
                <w:szCs w:val="22"/>
              </w:rPr>
              <w:t>DOCUMENT PURPOSE</w:t>
            </w:r>
          </w:p>
        </w:tc>
      </w:tr>
      <w:tr w14:paraId="00000008">
        <w:tc>
          <w:tcPr>
            <w:tcW w:w="9360" w:type="dxa"/>
            <w:tcBorders>
              <w:top w:val="single" w:color="D0D8E4" w:sz="1"/>
              <w:left w:val="single" w:color="D0D8E4" w:sz="1"/>
              <w:bottom w:val="single" w:color="D0D8E4" w:sz="1"/>
              <w:right w:val="single" w:color="D0D8E4" w:sz="1"/>
            </w:tcBorders>
            <w:shd w:fill="E8EFF9" w:val="clear"/>
            <w:tcMar>
              <w:top w:w="120" w:type="dxa"/>
              <w:left w:w="160" w:type="dxa"/>
              <w:bottom w:w="120" w:type="dxa"/>
              <w:right w:w="160" w:type="dxa"/>
            </w:tcMar>
          </w:tcPr>
          <w:p w14:paraId="00000009">
            <w:pPr>
              <w:spacing w:after="60" w:before="60"/>
            </w:pPr>
            <w:r>
              <w:rPr>
                <w:rFonts w:ascii="Arial" w:hAnsi="Arial" w:eastAsia="Arial" w:cs="Arial"/>
                <w:color w:val="2C3E50"/>
                <w:sz w:val="22"/>
                <w:szCs w:val="22"/>
              </w:rPr>
              <w:t>This report provides complete implementation instructions for transforming Finovly.com from a general personal finance website into a dedicated immigrant and expat finance resource. It covers brand positioning, site architecture, visual design specifications, content strategy, calculator builds, SEO requirements, and affiliate monetization setup.</w:t>
            </w:r>
          </w:p>
          <w:p w14:paraId="0000000A">
            <w:pPr>
              <w:spacing w:after="60" w:before="60"/>
            </w:pPr>
          </w:p>
          <w:p w14:paraId="0000000B">
            <w:pPr>
              <w:spacing w:after="60" w:before="60"/>
            </w:pPr>
            <w:r>
              <w:rPr>
                <w:rFonts w:ascii="Arial" w:hAnsi="Arial" w:eastAsia="Arial" w:cs="Arial"/>
                <w:color w:val="2C3E50"/>
                <w:sz w:val="22"/>
                <w:szCs w:val="22"/>
              </w:rPr>
              <w:t>Every team member — developer, designer, and content writer — should read their relevant sections in full before beginning work.</w:t>
            </w:r>
          </w:p>
        </w:tc>
      </w:tr>
    </w:tbl>
    <w:p w14:paraId="0000000C">
      <w:r>
        <w:br w:type="page"/>
      </w:r>
    </w:p>
    <w:p w14:paraId="0000000D">
      <w:pPr>
        <w:pStyle w:val="Heading1"/>
        <w:spacing w:after="200" w:before="400"/>
      </w:pPr>
      <w:r>
        <w:rPr>
          <w:rFonts w:ascii="Arial" w:hAnsi="Arial" w:eastAsia="Arial" w:cs="Arial"/>
          <w:b/>
          <w:bCs/>
          <w:color w:val="1B3A6B"/>
          <w:sz w:val="36"/>
          <w:szCs w:val="36"/>
        </w:rPr>
        <w:t>1. Strategic Overview</w:t>
      </w:r>
    </w:p>
    <w:p w14:paraId="0000000E">
      <w:pPr>
        <w:pBdr>
          <w:bottom w:val="single" w:color="D0D8E4" w:sz="4" w:space="1"/>
        </w:pBdr>
        <w:spacing w:after="200" w:before="200"/>
      </w:pPr>
    </w:p>
    <w:p w14:paraId="0000000F">
      <w:pPr>
        <w:pStyle w:val="Heading2"/>
        <w:spacing w:after="160" w:before="320"/>
      </w:pPr>
      <w:r>
        <w:rPr>
          <w:rFonts w:ascii="Arial" w:hAnsi="Arial" w:eastAsia="Arial" w:cs="Arial"/>
          <w:b/>
          <w:bCs/>
          <w:color w:val="2E86C1"/>
          <w:sz w:val="28"/>
          <w:szCs w:val="28"/>
        </w:rPr>
        <w:t>1.1 Why This Niche</w:t>
      </w:r>
    </w:p>
    <w:p w14:paraId="00000010">
      <w:pPr>
        <w:spacing w:after="120" w:before="80"/>
      </w:pPr>
      <w:r>
        <w:rPr>
          <w:rFonts w:ascii="Arial" w:hAnsi="Arial" w:eastAsia="Arial" w:cs="Arial"/>
          <w:color w:val="2C3E50"/>
          <w:sz w:val="22"/>
          <w:szCs w:val="22"/>
        </w:rPr>
        <w:t>Finovly is pivoting from broad personal finance coverage to a focused niche: financial guidance for immigrants, expats, and international residents in the United States. This is one of the most underserved segments in personal finance content online.</w:t>
      </w:r>
    </w:p>
    <w:p w14:paraId="00000011">
      <w:pPr>
        <w:spacing w:after="120" w:before="0"/>
      </w:pPr>
    </w:p>
    <w:p w14:paraId="00000012">
      <w:pPr>
        <w:spacing w:after="120" w:before="80"/>
      </w:pPr>
      <w:r>
        <w:rPr>
          <w:rFonts w:ascii="Arial" w:hAnsi="Arial" w:eastAsia="Arial" w:cs="Arial"/>
          <w:b/>
          <w:bCs/>
          <w:color w:val="2C3E50"/>
          <w:sz w:val="22"/>
          <w:szCs w:val="22"/>
        </w:rPr>
        <w:t>The opportunity breakdown:</w:t>
      </w:r>
    </w:p>
    <w:p w14:paraId="00000013">
      <w:pPr>
        <w:pStyle w:val="ListParagraph"/>
        <w:numPr>
          <w:ilvl w:val="0"/>
          <w:numId w:val="2"/>
        </w:numPr>
        <w:spacing w:after="60" w:before="60"/>
      </w:pPr>
      <w:r>
        <w:rPr>
          <w:rFonts w:ascii="Arial" w:hAnsi="Arial" w:eastAsia="Arial" w:cs="Arial"/>
          <w:color w:val="2C3E50"/>
          <w:sz w:val="22"/>
          <w:szCs w:val="22"/>
        </w:rPr>
        <w:t>45+ million immigrants currently live in the United States</w:t>
      </w:r>
    </w:p>
    <w:p w14:paraId="00000014">
      <w:pPr>
        <w:pStyle w:val="ListParagraph"/>
        <w:numPr>
          <w:ilvl w:val="0"/>
          <w:numId w:val="2"/>
        </w:numPr>
        <w:spacing w:after="60" w:before="60"/>
      </w:pPr>
      <w:r>
        <w:rPr>
          <w:rFonts w:ascii="Arial" w:hAnsi="Arial" w:eastAsia="Arial" w:cs="Arial"/>
          <w:color w:val="2C3E50"/>
          <w:sz w:val="22"/>
          <w:szCs w:val="22"/>
        </w:rPr>
        <w:t>Most major finance sites (NerdWallet, Bankrate, Investopedia) cover immigrant topics broadly but shallowly</w:t>
      </w:r>
    </w:p>
    <w:p w14:paraId="00000015">
      <w:pPr>
        <w:pStyle w:val="ListParagraph"/>
        <w:numPr>
          <w:ilvl w:val="0"/>
          <w:numId w:val="2"/>
        </w:numPr>
        <w:spacing w:after="60" w:before="60"/>
      </w:pPr>
      <w:r>
        <w:rPr>
          <w:rFonts w:ascii="Arial" w:hAnsi="Arial" w:eastAsia="Arial" w:cs="Arial"/>
          <w:color w:val="2C3E50"/>
          <w:sz w:val="22"/>
          <w:szCs w:val="22"/>
        </w:rPr>
        <w:t>The audience has high financial anxiety, high purchase intent, and strong search behavior</w:t>
      </w:r>
    </w:p>
    <w:p w14:paraId="00000016">
      <w:pPr>
        <w:pStyle w:val="ListParagraph"/>
        <w:numPr>
          <w:ilvl w:val="0"/>
          <w:numId w:val="2"/>
        </w:numPr>
        <w:spacing w:after="60" w:before="60"/>
      </w:pPr>
      <w:r>
        <w:rPr>
          <w:rFonts w:ascii="Arial" w:hAnsi="Arial" w:eastAsia="Arial" w:cs="Arial"/>
          <w:color w:val="2C3E50"/>
          <w:sz w:val="22"/>
          <w:szCs w:val="22"/>
        </w:rPr>
        <w:t>Affiliate commissions in this niche are strong — remittance apps, credit builders, tax software, and international brokerages all have CPA deals</w:t>
      </w:r>
    </w:p>
    <w:p w14:paraId="00000017">
      <w:pPr>
        <w:pStyle w:val="ListParagraph"/>
        <w:numPr>
          <w:ilvl w:val="0"/>
          <w:numId w:val="2"/>
        </w:numPr>
        <w:spacing w:after="60" w:before="60"/>
      </w:pPr>
      <w:r>
        <w:rPr>
          <w:rFonts w:ascii="Arial" w:hAnsi="Arial" w:eastAsia="Arial" w:cs="Arial"/>
          <w:color w:val="2C3E50"/>
          <w:sz w:val="22"/>
          <w:szCs w:val="22"/>
        </w:rPr>
        <w:t>Calculator tools are severely underbuilt for this audience — a major gap Finovly can own</w:t>
      </w:r>
    </w:p>
    <w:p w14:paraId="00000018">
      <w:pPr>
        <w:spacing w:after="120" w:before="0"/>
      </w:pPr>
    </w:p>
    <w:p w14:paraId="00000019">
      <w:pPr>
        <w:pStyle w:val="Heading2"/>
        <w:spacing w:after="160" w:before="320"/>
      </w:pPr>
      <w:r>
        <w:rPr>
          <w:rFonts w:ascii="Arial" w:hAnsi="Arial" w:eastAsia="Arial" w:cs="Arial"/>
          <w:b/>
          <w:bCs/>
          <w:color w:val="2E86C1"/>
          <w:sz w:val="28"/>
          <w:szCs w:val="28"/>
        </w:rPr>
        <w:t>1.2 Target Audience Segments</w:t>
      </w:r>
    </w:p>
    <w:p w14:paraId="0000001A">
      <w:pPr>
        <w:spacing w:after="120" w:before="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14:paraId="0000001B">
        <w:tc>
          <w:tcPr>
            <w:tcW w:w="3120" w:type="dxa"/>
            <w:tcBorders>
              <w:top w:val="single" w:color="D0D8E4" w:sz="1"/>
              <w:left w:val="single" w:color="D0D8E4" w:sz="1"/>
              <w:bottom w:val="single" w:color="D0D8E4" w:sz="1"/>
              <w:right w:val="single" w:color="D0D8E4" w:sz="1"/>
            </w:tcBorders>
            <w:shd w:fill="1B3A6B" w:val="clear"/>
            <w:tcMar>
              <w:top w:w="80" w:type="dxa"/>
              <w:left w:w="120" w:type="dxa"/>
              <w:bottom w:w="80" w:type="dxa"/>
              <w:right w:w="120" w:type="dxa"/>
            </w:tcMar>
          </w:tcPr>
          <w:p w14:paraId="0000001C">
            <w:r>
              <w:rPr>
                <w:rFonts w:ascii="Arial" w:hAnsi="Arial" w:eastAsia="Arial" w:cs="Arial"/>
                <w:b/>
                <w:bCs/>
                <w:color w:val="FFFFFF"/>
                <w:sz w:val="20"/>
                <w:szCs w:val="20"/>
              </w:rPr>
              <w:t>Audience Segment</w:t>
            </w:r>
          </w:p>
        </w:tc>
        <w:tc>
          <w:tcPr>
            <w:tcW w:w="4680" w:type="dxa"/>
            <w:tcBorders>
              <w:top w:val="single" w:color="D0D8E4" w:sz="1"/>
              <w:left w:val="single" w:color="D0D8E4" w:sz="1"/>
              <w:bottom w:val="single" w:color="D0D8E4" w:sz="1"/>
              <w:right w:val="single" w:color="D0D8E4" w:sz="1"/>
            </w:tcBorders>
            <w:shd w:fill="1B3A6B" w:val="clear"/>
            <w:tcMar>
              <w:top w:w="80" w:type="dxa"/>
              <w:left w:w="120" w:type="dxa"/>
              <w:bottom w:w="80" w:type="dxa"/>
              <w:right w:w="120" w:type="dxa"/>
            </w:tcMar>
          </w:tcPr>
          <w:p w14:paraId="0000001D">
            <w:r>
              <w:rPr>
                <w:rFonts w:ascii="Arial" w:hAnsi="Arial" w:eastAsia="Arial" w:cs="Arial"/>
                <w:b/>
                <w:bCs/>
                <w:color w:val="FFFFFF"/>
                <w:sz w:val="20"/>
                <w:szCs w:val="20"/>
              </w:rPr>
              <w:t>Key Financial Problems</w:t>
            </w:r>
          </w:p>
        </w:tc>
        <w:tc>
          <w:tcPr>
            <w:tcW w:w="1560" w:type="dxa"/>
            <w:tcBorders>
              <w:top w:val="single" w:color="D0D8E4" w:sz="1"/>
              <w:left w:val="single" w:color="D0D8E4" w:sz="1"/>
              <w:bottom w:val="single" w:color="D0D8E4" w:sz="1"/>
              <w:right w:val="single" w:color="D0D8E4" w:sz="1"/>
            </w:tcBorders>
            <w:shd w:fill="1B3A6B" w:val="clear"/>
            <w:tcMar>
              <w:top w:w="80" w:type="dxa"/>
              <w:left w:w="120" w:type="dxa"/>
              <w:bottom w:w="80" w:type="dxa"/>
              <w:right w:w="120" w:type="dxa"/>
            </w:tcMar>
          </w:tcPr>
          <w:p w14:paraId="0000001E">
            <w:r>
              <w:rPr>
                <w:rFonts w:ascii="Arial" w:hAnsi="Arial" w:eastAsia="Arial" w:cs="Arial"/>
                <w:b/>
                <w:bCs/>
                <w:color w:val="FFFFFF"/>
                <w:sz w:val="20"/>
                <w:szCs w:val="20"/>
              </w:rPr>
              <w:t>Priority</w:t>
            </w:r>
          </w:p>
        </w:tc>
      </w:tr>
      <w:tr w14:paraId="0000001F">
        <w:tc>
          <w:tcPr>
            <w:tcW w:w="31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20">
            <w:r>
              <w:rPr>
                <w:rFonts w:ascii="Arial" w:hAnsi="Arial" w:eastAsia="Arial" w:cs="Arial"/>
                <w:color w:val="2C3E50"/>
                <w:sz w:val="20"/>
                <w:szCs w:val="20"/>
              </w:rPr>
              <w:t>H1B / L1 / O1 Visa Holders</w:t>
            </w:r>
          </w:p>
        </w:tc>
        <w:tc>
          <w:tcPr>
            <w:tcW w:w="468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21">
            <w:r>
              <w:rPr>
                <w:rFonts w:ascii="Arial" w:hAnsi="Arial" w:eastAsia="Arial" w:cs="Arial"/>
                <w:color w:val="2C3E50"/>
                <w:sz w:val="20"/>
                <w:szCs w:val="20"/>
              </w:rPr>
              <w:t>Dual taxation, 401k uncertainty, investing as non-resident</w:t>
            </w:r>
          </w:p>
        </w:tc>
        <w:tc>
          <w:tcPr>
            <w:tcW w:w="156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22">
            <w:r>
              <w:rPr>
                <w:rFonts w:ascii="Arial" w:hAnsi="Arial" w:eastAsia="Arial" w:cs="Arial"/>
                <w:color w:val="2C3E50"/>
                <w:sz w:val="20"/>
                <w:szCs w:val="20"/>
              </w:rPr>
              <w:t>Primary</w:t>
            </w:r>
          </w:p>
        </w:tc>
      </w:tr>
      <w:tr w14:paraId="00000023">
        <w:tc>
          <w:tcPr>
            <w:tcW w:w="312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24">
            <w:r>
              <w:rPr>
                <w:rFonts w:ascii="Arial" w:hAnsi="Arial" w:eastAsia="Arial" w:cs="Arial"/>
                <w:color w:val="2C3E50"/>
                <w:sz w:val="20"/>
                <w:szCs w:val="20"/>
              </w:rPr>
              <w:t>F1 / J1 International Students</w:t>
            </w:r>
          </w:p>
        </w:tc>
        <w:tc>
          <w:tcPr>
            <w:tcW w:w="468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25">
            <w:r>
              <w:rPr>
                <w:rFonts w:ascii="Arial" w:hAnsi="Arial" w:eastAsia="Arial" w:cs="Arial"/>
                <w:color w:val="2C3E50"/>
                <w:sz w:val="20"/>
                <w:szCs w:val="20"/>
              </w:rPr>
              <w:t>Tax filing, first US bank account, OPT income taxes</w:t>
            </w:r>
          </w:p>
        </w:tc>
        <w:tc>
          <w:tcPr>
            <w:tcW w:w="156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26">
            <w:r>
              <w:rPr>
                <w:rFonts w:ascii="Arial" w:hAnsi="Arial" w:eastAsia="Arial" w:cs="Arial"/>
                <w:color w:val="2C3E50"/>
                <w:sz w:val="20"/>
                <w:szCs w:val="20"/>
              </w:rPr>
              <w:t>Primary</w:t>
            </w:r>
          </w:p>
        </w:tc>
      </w:tr>
      <w:tr w14:paraId="00000027">
        <w:tc>
          <w:tcPr>
            <w:tcW w:w="31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28">
            <w:r>
              <w:rPr>
                <w:rFonts w:ascii="Arial" w:hAnsi="Arial" w:eastAsia="Arial" w:cs="Arial"/>
                <w:color w:val="2C3E50"/>
                <w:sz w:val="20"/>
                <w:szCs w:val="20"/>
              </w:rPr>
              <w:t>New Green Card Holders</w:t>
            </w:r>
          </w:p>
        </w:tc>
        <w:tc>
          <w:tcPr>
            <w:tcW w:w="468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29">
            <w:r>
              <w:rPr>
                <w:rFonts w:ascii="Arial" w:hAnsi="Arial" w:eastAsia="Arial" w:cs="Arial"/>
                <w:color w:val="2C3E50"/>
                <w:sz w:val="20"/>
                <w:szCs w:val="20"/>
              </w:rPr>
              <w:t>Credit building, mortgage eligibility, retirement accounts</w:t>
            </w:r>
          </w:p>
        </w:tc>
        <w:tc>
          <w:tcPr>
            <w:tcW w:w="156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2A">
            <w:r>
              <w:rPr>
                <w:rFonts w:ascii="Arial" w:hAnsi="Arial" w:eastAsia="Arial" w:cs="Arial"/>
                <w:color w:val="2C3E50"/>
                <w:sz w:val="20"/>
                <w:szCs w:val="20"/>
              </w:rPr>
              <w:t>Secondary</w:t>
            </w:r>
          </w:p>
        </w:tc>
      </w:tr>
      <w:tr w14:paraId="0000002B">
        <w:tc>
          <w:tcPr>
            <w:tcW w:w="312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2C">
            <w:r>
              <w:rPr>
                <w:rFonts w:ascii="Arial" w:hAnsi="Arial" w:eastAsia="Arial" w:cs="Arial"/>
                <w:color w:val="2C3E50"/>
                <w:sz w:val="20"/>
                <w:szCs w:val="20"/>
              </w:rPr>
              <w:t>Expats Living Abroad</w:t>
            </w:r>
          </w:p>
        </w:tc>
        <w:tc>
          <w:tcPr>
            <w:tcW w:w="468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2D">
            <w:r>
              <w:rPr>
                <w:rFonts w:ascii="Arial" w:hAnsi="Arial" w:eastAsia="Arial" w:cs="Arial"/>
                <w:color w:val="2C3E50"/>
                <w:sz w:val="20"/>
                <w:szCs w:val="20"/>
              </w:rPr>
              <w:t>FBAR/FATCA filing, foreign income exclusion, banking</w:t>
            </w:r>
          </w:p>
        </w:tc>
        <w:tc>
          <w:tcPr>
            <w:tcW w:w="156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2E">
            <w:r>
              <w:rPr>
                <w:rFonts w:ascii="Arial" w:hAnsi="Arial" w:eastAsia="Arial" w:cs="Arial"/>
                <w:color w:val="2C3E50"/>
                <w:sz w:val="20"/>
                <w:szCs w:val="20"/>
              </w:rPr>
              <w:t>Secondary</w:t>
            </w:r>
          </w:p>
        </w:tc>
      </w:tr>
      <w:tr w14:paraId="0000002F">
        <w:tc>
          <w:tcPr>
            <w:tcW w:w="31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30">
            <w:r>
              <w:rPr>
                <w:rFonts w:ascii="Arial" w:hAnsi="Arial" w:eastAsia="Arial" w:cs="Arial"/>
                <w:color w:val="2C3E50"/>
                <w:sz w:val="20"/>
                <w:szCs w:val="20"/>
              </w:rPr>
              <w:t>Undocumented / ITIN Filers</w:t>
            </w:r>
          </w:p>
        </w:tc>
        <w:tc>
          <w:tcPr>
            <w:tcW w:w="468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31">
            <w:r>
              <w:rPr>
                <w:rFonts w:ascii="Arial" w:hAnsi="Arial" w:eastAsia="Arial" w:cs="Arial"/>
                <w:color w:val="2C3E50"/>
                <w:sz w:val="20"/>
                <w:szCs w:val="20"/>
              </w:rPr>
              <w:t>ITIN application, tax filing, banking without SSN</w:t>
            </w:r>
          </w:p>
        </w:tc>
        <w:tc>
          <w:tcPr>
            <w:tcW w:w="156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32">
            <w:r>
              <w:rPr>
                <w:rFonts w:ascii="Arial" w:hAnsi="Arial" w:eastAsia="Arial" w:cs="Arial"/>
                <w:color w:val="2C3E50"/>
                <w:sz w:val="20"/>
                <w:szCs w:val="20"/>
              </w:rPr>
              <w:t>Tertiary</w:t>
            </w:r>
          </w:p>
        </w:tc>
      </w:tr>
    </w:tbl>
    <w:p w14:paraId="00000033">
      <w:pPr>
        <w:spacing w:after="120" w:before="0"/>
      </w:pPr>
    </w:p>
    <w:p w14:paraId="00000034">
      <w:pPr>
        <w:pStyle w:val="Heading2"/>
        <w:spacing w:after="160" w:before="320"/>
      </w:pPr>
      <w:r>
        <w:rPr>
          <w:rFonts w:ascii="Arial" w:hAnsi="Arial" w:eastAsia="Arial" w:cs="Arial"/>
          <w:b/>
          <w:bCs/>
          <w:color w:val="2E86C1"/>
          <w:sz w:val="28"/>
          <w:szCs w:val="28"/>
        </w:rPr>
        <w:t>1.3 Brand Positioning Statement</w:t>
      </w:r>
    </w:p>
    <w:p w14:paraId="00000035">
      <w:pPr>
        <w:spacing w:after="120" w:before="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w14:paraId="00000036">
        <w:tc>
          <w:tcPr>
            <w:tcW w:w="9360" w:type="dxa"/>
            <w:tcBorders>
              <w:top w:val="single" w:color="D0D8E4" w:sz="1"/>
              <w:left w:val="single" w:color="D0D8E4" w:sz="1"/>
              <w:bottom w:val="single" w:color="D0D8E4" w:sz="1"/>
              <w:right w:val="single" w:color="D0D8E4" w:sz="1"/>
            </w:tcBorders>
            <w:shd w:fill="1B3A6B" w:val="clear"/>
            <w:tcMar>
              <w:top w:w="100" w:type="dxa"/>
              <w:left w:w="160" w:type="dxa"/>
              <w:bottom w:w="100" w:type="dxa"/>
              <w:right w:w="160" w:type="dxa"/>
            </w:tcMar>
          </w:tcPr>
          <w:p w14:paraId="00000037">
            <w:r>
              <w:rPr>
                <w:rFonts w:ascii="Arial" w:hAnsi="Arial" w:eastAsia="Arial" w:cs="Arial"/>
                <w:b/>
                <w:bCs/>
                <w:color w:val="FFFFFF"/>
                <w:sz w:val="22"/>
                <w:szCs w:val="22"/>
              </w:rPr>
              <w:t>FINOVLY BRAND POSITION</w:t>
            </w:r>
          </w:p>
        </w:tc>
      </w:tr>
      <w:tr w14:paraId="00000038">
        <w:tc>
          <w:tcPr>
            <w:tcW w:w="9360" w:type="dxa"/>
            <w:tcBorders>
              <w:top w:val="single" w:color="D0D8E4" w:sz="1"/>
              <w:left w:val="single" w:color="D0D8E4" w:sz="1"/>
              <w:bottom w:val="single" w:color="D0D8E4" w:sz="1"/>
              <w:right w:val="single" w:color="D0D8E4" w:sz="1"/>
            </w:tcBorders>
            <w:shd w:fill="E8EFF9" w:val="clear"/>
            <w:tcMar>
              <w:top w:w="120" w:type="dxa"/>
              <w:left w:w="160" w:type="dxa"/>
              <w:bottom w:w="120" w:type="dxa"/>
              <w:right w:w="160" w:type="dxa"/>
            </w:tcMar>
          </w:tcPr>
          <w:p w14:paraId="00000039">
            <w:pPr>
              <w:spacing w:after="60" w:before="60"/>
            </w:pPr>
            <w:r>
              <w:rPr>
                <w:rFonts w:ascii="Arial" w:hAnsi="Arial" w:eastAsia="Arial" w:cs="Arial"/>
                <w:color w:val="2C3E50"/>
                <w:sz w:val="22"/>
                <w:szCs w:val="22"/>
              </w:rPr>
              <w:t>Finovly is America's financial guide for immigrants and international residents.</w:t>
            </w:r>
          </w:p>
          <w:p w14:paraId="0000003A">
            <w:pPr>
              <w:spacing w:after="60" w:before="60"/>
            </w:pPr>
          </w:p>
          <w:p w14:paraId="0000003B">
            <w:pPr>
              <w:spacing w:after="60" w:before="60"/>
            </w:pPr>
            <w:r>
              <w:rPr>
                <w:rFonts w:ascii="Arial" w:hAnsi="Arial" w:eastAsia="Arial" w:cs="Arial"/>
                <w:color w:val="2C3E50"/>
                <w:sz w:val="22"/>
                <w:szCs w:val="22"/>
              </w:rPr>
              <w:t>We simplify the complex financial system that no one explains to you when you arrive — banking, taxes, investing, and sending money home — so you can build real financial confidence in your new country.</w:t>
            </w:r>
          </w:p>
          <w:p w14:paraId="0000003C">
            <w:pPr>
              <w:spacing w:after="60" w:before="60"/>
            </w:pPr>
          </w:p>
          <w:p w14:paraId="0000003D">
            <w:pPr>
              <w:spacing w:after="60" w:before="60"/>
            </w:pPr>
            <w:r>
              <w:rPr>
                <w:rFonts w:ascii="Arial" w:hAnsi="Arial" w:eastAsia="Arial" w:cs="Arial"/>
                <w:color w:val="2C3E50"/>
                <w:sz w:val="22"/>
                <w:szCs w:val="22"/>
              </w:rPr>
              <w:t>Tagline: "Finance Made Simple for New Americans"</w:t>
            </w:r>
          </w:p>
        </w:tc>
      </w:tr>
    </w:tbl>
    <w:p w14:paraId="0000003E">
      <w:r>
        <w:br w:type="page"/>
      </w:r>
    </w:p>
    <w:p w14:paraId="0000003F">
      <w:pPr>
        <w:pStyle w:val="Heading1"/>
        <w:spacing w:after="200" w:before="400"/>
      </w:pPr>
      <w:r>
        <w:rPr>
          <w:rFonts w:ascii="Arial" w:hAnsi="Arial" w:eastAsia="Arial" w:cs="Arial"/>
          <w:b/>
          <w:bCs/>
          <w:color w:val="1B3A6B"/>
          <w:sz w:val="36"/>
          <w:szCs w:val="36"/>
        </w:rPr>
        <w:t>2. Website Architecture</w:t>
      </w:r>
    </w:p>
    <w:p w14:paraId="00000040">
      <w:pPr>
        <w:pBdr>
          <w:bottom w:val="single" w:color="D0D8E4" w:sz="4" w:space="1"/>
        </w:pBdr>
        <w:spacing w:after="200" w:before="200"/>
      </w:pPr>
    </w:p>
    <w:p w14:paraId="00000041">
      <w:pPr>
        <w:pStyle w:val="Heading2"/>
        <w:spacing w:after="160" w:before="320"/>
      </w:pPr>
      <w:r>
        <w:rPr>
          <w:rFonts w:ascii="Arial" w:hAnsi="Arial" w:eastAsia="Arial" w:cs="Arial"/>
          <w:b/>
          <w:bCs/>
          <w:color w:val="2E86C1"/>
          <w:sz w:val="28"/>
          <w:szCs w:val="28"/>
        </w:rPr>
        <w:t>2.1 New Site Structure</w:t>
      </w:r>
    </w:p>
    <w:p w14:paraId="00000042">
      <w:pPr>
        <w:spacing w:after="120" w:before="80"/>
      </w:pPr>
      <w:r>
        <w:rPr>
          <w:rFonts w:ascii="Arial" w:hAnsi="Arial" w:eastAsia="Arial" w:cs="Arial"/>
          <w:color w:val="2C3E50"/>
          <w:sz w:val="22"/>
          <w:szCs w:val="22"/>
        </w:rPr>
        <w:t>The current site navigation must be completely replaced. Below is the new architecture. Every page listed should exist as a dedicated URL. The developer should implement this in the CMS/site builder before content is written.</w:t>
      </w:r>
    </w:p>
    <w:p w14:paraId="00000043">
      <w:pPr>
        <w:spacing w:after="120" w:before="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20"/>
        <w:gridCol w:w="5400"/>
        <w:gridCol w:w="1440"/>
      </w:tblGrid>
      <w:tr w14:paraId="00000044">
        <w:tc>
          <w:tcPr>
            <w:tcW w:w="2520" w:type="dxa"/>
            <w:tcBorders>
              <w:top w:val="single" w:color="D0D8E4" w:sz="1"/>
              <w:left w:val="single" w:color="D0D8E4" w:sz="1"/>
              <w:bottom w:val="single" w:color="D0D8E4" w:sz="1"/>
              <w:right w:val="single" w:color="D0D8E4" w:sz="1"/>
            </w:tcBorders>
            <w:shd w:fill="1B3A6B" w:val="clear"/>
            <w:tcMar>
              <w:top w:w="80" w:type="dxa"/>
              <w:left w:w="120" w:type="dxa"/>
              <w:bottom w:w="80" w:type="dxa"/>
              <w:right w:w="120" w:type="dxa"/>
            </w:tcMar>
          </w:tcPr>
          <w:p w14:paraId="00000045">
            <w:r>
              <w:rPr>
                <w:rFonts w:ascii="Arial" w:hAnsi="Arial" w:eastAsia="Arial" w:cs="Arial"/>
                <w:b/>
                <w:bCs/>
                <w:color w:val="FFFFFF"/>
                <w:sz w:val="20"/>
                <w:szCs w:val="20"/>
              </w:rPr>
              <w:t>Top-Level Section</w:t>
            </w:r>
          </w:p>
        </w:tc>
        <w:tc>
          <w:tcPr>
            <w:tcW w:w="5400" w:type="dxa"/>
            <w:tcBorders>
              <w:top w:val="single" w:color="D0D8E4" w:sz="1"/>
              <w:left w:val="single" w:color="D0D8E4" w:sz="1"/>
              <w:bottom w:val="single" w:color="D0D8E4" w:sz="1"/>
              <w:right w:val="single" w:color="D0D8E4" w:sz="1"/>
            </w:tcBorders>
            <w:shd w:fill="1B3A6B" w:val="clear"/>
            <w:tcMar>
              <w:top w:w="80" w:type="dxa"/>
              <w:left w:w="120" w:type="dxa"/>
              <w:bottom w:w="80" w:type="dxa"/>
              <w:right w:w="120" w:type="dxa"/>
            </w:tcMar>
          </w:tcPr>
          <w:p w14:paraId="00000046">
            <w:r>
              <w:rPr>
                <w:rFonts w:ascii="Arial" w:hAnsi="Arial" w:eastAsia="Arial" w:cs="Arial"/>
                <w:b/>
                <w:bCs/>
                <w:color w:val="FFFFFF"/>
                <w:sz w:val="20"/>
                <w:szCs w:val="20"/>
              </w:rPr>
              <w:t>Sub-Pages to Build</w:t>
            </w:r>
          </w:p>
        </w:tc>
        <w:tc>
          <w:tcPr>
            <w:tcW w:w="1440" w:type="dxa"/>
            <w:tcBorders>
              <w:top w:val="single" w:color="D0D8E4" w:sz="1"/>
              <w:left w:val="single" w:color="D0D8E4" w:sz="1"/>
              <w:bottom w:val="single" w:color="D0D8E4" w:sz="1"/>
              <w:right w:val="single" w:color="D0D8E4" w:sz="1"/>
            </w:tcBorders>
            <w:shd w:fill="1B3A6B" w:val="clear"/>
            <w:tcMar>
              <w:top w:w="80" w:type="dxa"/>
              <w:left w:w="120" w:type="dxa"/>
              <w:bottom w:w="80" w:type="dxa"/>
              <w:right w:w="120" w:type="dxa"/>
            </w:tcMar>
          </w:tcPr>
          <w:p w14:paraId="00000047">
            <w:r>
              <w:rPr>
                <w:rFonts w:ascii="Arial" w:hAnsi="Arial" w:eastAsia="Arial" w:cs="Arial"/>
                <w:b/>
                <w:bCs/>
                <w:color w:val="FFFFFF"/>
                <w:sz w:val="20"/>
                <w:szCs w:val="20"/>
              </w:rPr>
              <w:t>Priority</w:t>
            </w:r>
          </w:p>
        </w:tc>
      </w:tr>
      <w:tr w14:paraId="00000048">
        <w:tc>
          <w:tcPr>
            <w:tcW w:w="25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49">
            <w:r>
              <w:rPr>
                <w:rFonts w:ascii="Arial" w:hAnsi="Arial" w:eastAsia="Arial" w:cs="Arial"/>
                <w:color w:val="2C3E50"/>
                <w:sz w:val="20"/>
                <w:szCs w:val="20"/>
              </w:rPr>
              <w:t>Banking &amp; Credit</w:t>
            </w:r>
          </w:p>
        </w:tc>
        <w:tc>
          <w:tcPr>
            <w:tcW w:w="540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4A">
            <w:r>
              <w:rPr>
                <w:rFonts w:ascii="Arial" w:hAnsi="Arial" w:eastAsia="Arial" w:cs="Arial"/>
                <w:color w:val="2C3E50"/>
                <w:sz w:val="20"/>
                <w:szCs w:val="20"/>
              </w:rPr>
              <w:t>Best banks for immigrants | How to build credit | Best credit cards | Credit builder loans | ITIN mortgage guide</w:t>
            </w:r>
          </w:p>
        </w:tc>
        <w:tc>
          <w:tcPr>
            <w:tcW w:w="144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4B">
            <w:r>
              <w:rPr>
                <w:rFonts w:ascii="Arial" w:hAnsi="Arial" w:eastAsia="Arial" w:cs="Arial"/>
                <w:color w:val="2C3E50"/>
                <w:sz w:val="20"/>
                <w:szCs w:val="20"/>
              </w:rPr>
              <w:t>Build first</w:t>
            </w:r>
          </w:p>
        </w:tc>
      </w:tr>
      <w:tr w14:paraId="0000004C">
        <w:tc>
          <w:tcPr>
            <w:tcW w:w="252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4D">
            <w:r>
              <w:rPr>
                <w:rFonts w:ascii="Arial" w:hAnsi="Arial" w:eastAsia="Arial" w:cs="Arial"/>
                <w:color w:val="2C3E50"/>
                <w:sz w:val="20"/>
                <w:szCs w:val="20"/>
              </w:rPr>
              <w:t>Taxes</w:t>
            </w:r>
          </w:p>
        </w:tc>
        <w:tc>
          <w:tcPr>
            <w:tcW w:w="540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4E">
            <w:r>
              <w:rPr>
                <w:rFonts w:ascii="Arial" w:hAnsi="Arial" w:eastAsia="Arial" w:cs="Arial"/>
                <w:color w:val="2C3E50"/>
                <w:sz w:val="20"/>
                <w:szCs w:val="20"/>
              </w:rPr>
              <w:t>H1B tax guide | F1 tax guide | ITIN application | Resident vs nonresident alien | FBAR guide | FATCA guide</w:t>
            </w:r>
          </w:p>
        </w:tc>
        <w:tc>
          <w:tcPr>
            <w:tcW w:w="144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4F">
            <w:r>
              <w:rPr>
                <w:rFonts w:ascii="Arial" w:hAnsi="Arial" w:eastAsia="Arial" w:cs="Arial"/>
                <w:color w:val="2C3E50"/>
                <w:sz w:val="20"/>
                <w:szCs w:val="20"/>
              </w:rPr>
              <w:t>Build first</w:t>
            </w:r>
          </w:p>
        </w:tc>
      </w:tr>
      <w:tr w14:paraId="00000050">
        <w:tc>
          <w:tcPr>
            <w:tcW w:w="25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51">
            <w:r>
              <w:rPr>
                <w:rFonts w:ascii="Arial" w:hAnsi="Arial" w:eastAsia="Arial" w:cs="Arial"/>
                <w:color w:val="2C3E50"/>
                <w:sz w:val="20"/>
                <w:szCs w:val="20"/>
              </w:rPr>
              <w:t>Send Money Home</w:t>
            </w:r>
          </w:p>
        </w:tc>
        <w:tc>
          <w:tcPr>
            <w:tcW w:w="540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52">
            <w:r>
              <w:rPr>
                <w:rFonts w:ascii="Arial" w:hAnsi="Arial" w:eastAsia="Arial" w:cs="Arial"/>
                <w:color w:val="2C3E50"/>
                <w:sz w:val="20"/>
                <w:szCs w:val="20"/>
              </w:rPr>
              <w:t>Wise vs Remitly vs Western Union | Best transfer apps | Country-specific guides (India, Mexico, Philippines, Nigeria)</w:t>
            </w:r>
          </w:p>
        </w:tc>
        <w:tc>
          <w:tcPr>
            <w:tcW w:w="144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53">
            <w:r>
              <w:rPr>
                <w:rFonts w:ascii="Arial" w:hAnsi="Arial" w:eastAsia="Arial" w:cs="Arial"/>
                <w:color w:val="2C3E50"/>
                <w:sz w:val="20"/>
                <w:szCs w:val="20"/>
              </w:rPr>
              <w:t>Build second</w:t>
            </w:r>
          </w:p>
        </w:tc>
      </w:tr>
      <w:tr w14:paraId="00000054">
        <w:tc>
          <w:tcPr>
            <w:tcW w:w="252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55">
            <w:r>
              <w:rPr>
                <w:rFonts w:ascii="Arial" w:hAnsi="Arial" w:eastAsia="Arial" w:cs="Arial"/>
                <w:color w:val="2C3E50"/>
                <w:sz w:val="20"/>
                <w:szCs w:val="20"/>
              </w:rPr>
              <w:t>Investing</w:t>
            </w:r>
          </w:p>
        </w:tc>
        <w:tc>
          <w:tcPr>
            <w:tcW w:w="540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56">
            <w:r>
              <w:rPr>
                <w:rFonts w:ascii="Arial" w:hAnsi="Arial" w:eastAsia="Arial" w:cs="Arial"/>
                <w:color w:val="2C3E50"/>
                <w:sz w:val="20"/>
                <w:szCs w:val="20"/>
              </w:rPr>
              <w:t>Investing on a visa | H1B &amp; Roth IRA | Best brokerages for non-residents | What happens to 401k if you leave</w:t>
            </w:r>
          </w:p>
        </w:tc>
        <w:tc>
          <w:tcPr>
            <w:tcW w:w="144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57">
            <w:r>
              <w:rPr>
                <w:rFonts w:ascii="Arial" w:hAnsi="Arial" w:eastAsia="Arial" w:cs="Arial"/>
                <w:color w:val="2C3E50"/>
                <w:sz w:val="20"/>
                <w:szCs w:val="20"/>
              </w:rPr>
              <w:t>Build second</w:t>
            </w:r>
          </w:p>
        </w:tc>
      </w:tr>
      <w:tr w14:paraId="00000058">
        <w:tc>
          <w:tcPr>
            <w:tcW w:w="25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59">
            <w:r>
              <w:rPr>
                <w:rFonts w:ascii="Arial" w:hAnsi="Arial" w:eastAsia="Arial" w:cs="Arial"/>
                <w:color w:val="2C3E50"/>
                <w:sz w:val="20"/>
                <w:szCs w:val="20"/>
              </w:rPr>
              <w:t>Insurance</w:t>
            </w:r>
          </w:p>
        </w:tc>
        <w:tc>
          <w:tcPr>
            <w:tcW w:w="540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5A">
            <w:r>
              <w:rPr>
                <w:rFonts w:ascii="Arial" w:hAnsi="Arial" w:eastAsia="Arial" w:cs="Arial"/>
                <w:color w:val="2C3E50"/>
                <w:sz w:val="20"/>
                <w:szCs w:val="20"/>
              </w:rPr>
              <w:t>Health insurance for visa holders | Life insurance for immigrants | Car insurance with no US history</w:t>
            </w:r>
          </w:p>
        </w:tc>
        <w:tc>
          <w:tcPr>
            <w:tcW w:w="144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5B">
            <w:r>
              <w:rPr>
                <w:rFonts w:ascii="Arial" w:hAnsi="Arial" w:eastAsia="Arial" w:cs="Arial"/>
                <w:color w:val="2C3E50"/>
                <w:sz w:val="20"/>
                <w:szCs w:val="20"/>
              </w:rPr>
              <w:t>Build third</w:t>
            </w:r>
          </w:p>
        </w:tc>
      </w:tr>
      <w:tr w14:paraId="0000005C">
        <w:tc>
          <w:tcPr>
            <w:tcW w:w="252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5D">
            <w:r>
              <w:rPr>
                <w:rFonts w:ascii="Arial" w:hAnsi="Arial" w:eastAsia="Arial" w:cs="Arial"/>
                <w:color w:val="2C3E50"/>
                <w:sz w:val="20"/>
                <w:szCs w:val="20"/>
              </w:rPr>
              <w:t>Calculators</w:t>
            </w:r>
          </w:p>
        </w:tc>
        <w:tc>
          <w:tcPr>
            <w:tcW w:w="540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5E">
            <w:r>
              <w:rPr>
                <w:rFonts w:ascii="Arial" w:hAnsi="Arial" w:eastAsia="Arial" w:cs="Arial"/>
                <w:color w:val="2C3E50"/>
                <w:sz w:val="20"/>
                <w:szCs w:val="20"/>
              </w:rPr>
              <w:t>Remittance fee calculator | H1B tax estimator | F1 OPT tax calculator | Substantial presence test | Cost of living comparison</w:t>
            </w:r>
          </w:p>
        </w:tc>
        <w:tc>
          <w:tcPr>
            <w:tcW w:w="144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5F">
            <w:r>
              <w:rPr>
                <w:rFonts w:ascii="Arial" w:hAnsi="Arial" w:eastAsia="Arial" w:cs="Arial"/>
                <w:color w:val="2C3E50"/>
                <w:sz w:val="20"/>
                <w:szCs w:val="20"/>
              </w:rPr>
              <w:t>Build first</w:t>
            </w:r>
          </w:p>
        </w:tc>
      </w:tr>
      <w:tr w14:paraId="00000060">
        <w:tc>
          <w:tcPr>
            <w:tcW w:w="25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61">
            <w:r>
              <w:rPr>
                <w:rFonts w:ascii="Arial" w:hAnsi="Arial" w:eastAsia="Arial" w:cs="Arial"/>
                <w:color w:val="2C3E50"/>
                <w:sz w:val="20"/>
                <w:szCs w:val="20"/>
              </w:rPr>
              <w:t>Visa Guides</w:t>
            </w:r>
          </w:p>
        </w:tc>
        <w:tc>
          <w:tcPr>
            <w:tcW w:w="540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62">
            <w:r>
              <w:rPr>
                <w:rFonts w:ascii="Arial" w:hAnsi="Arial" w:eastAsia="Arial" w:cs="Arial"/>
                <w:color w:val="2C3E50"/>
                <w:sz w:val="20"/>
                <w:szCs w:val="20"/>
              </w:rPr>
              <w:t>H1B financial guide | F1 financial guide | Green card financial guide | L1 financial guide</w:t>
            </w:r>
          </w:p>
        </w:tc>
        <w:tc>
          <w:tcPr>
            <w:tcW w:w="144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63">
            <w:r>
              <w:rPr>
                <w:rFonts w:ascii="Arial" w:hAnsi="Arial" w:eastAsia="Arial" w:cs="Arial"/>
                <w:color w:val="2C3E50"/>
                <w:sz w:val="20"/>
                <w:szCs w:val="20"/>
              </w:rPr>
              <w:t>Build second</w:t>
            </w:r>
          </w:p>
        </w:tc>
      </w:tr>
    </w:tbl>
    <w:p w14:paraId="00000064">
      <w:pPr>
        <w:spacing w:after="120" w:before="0"/>
      </w:pPr>
    </w:p>
    <w:p w14:paraId="00000065">
      <w:pPr>
        <w:pStyle w:val="Heading2"/>
        <w:spacing w:after="160" w:before="320"/>
      </w:pPr>
      <w:r>
        <w:rPr>
          <w:rFonts w:ascii="Arial" w:hAnsi="Arial" w:eastAsia="Arial" w:cs="Arial"/>
          <w:b/>
          <w:bCs/>
          <w:color w:val="2E86C1"/>
          <w:sz w:val="28"/>
          <w:szCs w:val="28"/>
        </w:rPr>
        <w:t>2.2 Homepage Layout Specification</w:t>
      </w:r>
    </w:p>
    <w:p w14:paraId="00000066">
      <w:pPr>
        <w:spacing w:after="120" w:before="80"/>
      </w:pPr>
      <w:r>
        <w:rPr>
          <w:rFonts w:ascii="Arial" w:hAnsi="Arial" w:eastAsia="Arial" w:cs="Arial"/>
          <w:color w:val="2C3E50"/>
          <w:sz w:val="22"/>
          <w:szCs w:val="22"/>
        </w:rPr>
        <w:t>The homepage is the most important page on the site. It must immediately communicate who the site is for and what it offers. Below is the required section-by-section layout.</w:t>
      </w:r>
    </w:p>
    <w:p w14:paraId="00000067">
      <w:pPr>
        <w:spacing w:after="120" w:before="0"/>
      </w:pPr>
    </w:p>
    <w:p w14:paraId="00000068">
      <w:pPr>
        <w:pStyle w:val="Heading3"/>
        <w:spacing w:after="120" w:before="240"/>
      </w:pPr>
      <w:r>
        <w:rPr>
          <w:rFonts w:ascii="Arial" w:hAnsi="Arial" w:eastAsia="Arial" w:cs="Arial"/>
          <w:b/>
          <w:bCs/>
          <w:color w:val="2C3E50"/>
          <w:sz w:val="24"/>
          <w:szCs w:val="24"/>
        </w:rPr>
        <w:t>Hero Section (Above the Fold)</w:t>
      </w:r>
    </w:p>
    <w:p w14:paraId="00000069">
      <w:pPr>
        <w:pStyle w:val="ListParagraph"/>
        <w:numPr>
          <w:ilvl w:val="0"/>
          <w:numId w:val="2"/>
        </w:numPr>
        <w:spacing w:after="60" w:before="60"/>
      </w:pPr>
      <w:r>
        <w:rPr>
          <w:rFonts w:ascii="Arial" w:hAnsi="Arial" w:eastAsia="Arial" w:cs="Arial"/>
          <w:color w:val="2C3E50"/>
          <w:sz w:val="22"/>
          <w:szCs w:val="22"/>
        </w:rPr>
        <w:t>Background: Deep navy (#1B3A6B) with subtle diagonal pattern or world map illustration in low opacity</w:t>
      </w:r>
    </w:p>
    <w:p w14:paraId="0000006A">
      <w:pPr>
        <w:pStyle w:val="ListParagraph"/>
        <w:numPr>
          <w:ilvl w:val="0"/>
          <w:numId w:val="2"/>
        </w:numPr>
        <w:spacing w:after="60" w:before="60"/>
      </w:pPr>
      <w:r>
        <w:rPr>
          <w:rFonts w:ascii="Arial" w:hAnsi="Arial" w:eastAsia="Arial" w:cs="Arial"/>
          <w:color w:val="2C3E50"/>
          <w:sz w:val="22"/>
          <w:szCs w:val="22"/>
        </w:rPr>
        <w:t>Headline (H1): "Finance Made Simple for New Americans" — white, large, centered or left-aligned</w:t>
      </w:r>
    </w:p>
    <w:p w14:paraId="0000006B">
      <w:pPr>
        <w:pStyle w:val="ListParagraph"/>
        <w:numPr>
          <w:ilvl w:val="0"/>
          <w:numId w:val="2"/>
        </w:numPr>
        <w:spacing w:after="60" w:before="60"/>
      </w:pPr>
      <w:r>
        <w:rPr>
          <w:rFonts w:ascii="Arial" w:hAnsi="Arial" w:eastAsia="Arial" w:cs="Arial"/>
          <w:color w:val="2C3E50"/>
          <w:sz w:val="22"/>
          <w:szCs w:val="22"/>
        </w:rPr>
        <w:t>Subheadline: "Calculators, guides, and tools for immigrants navigating the US financial system" — light gray, smaller font</w:t>
      </w:r>
    </w:p>
    <w:p w14:paraId="0000006C">
      <w:pPr>
        <w:pStyle w:val="ListParagraph"/>
        <w:numPr>
          <w:ilvl w:val="0"/>
          <w:numId w:val="2"/>
        </w:numPr>
        <w:spacing w:after="60" w:before="60"/>
      </w:pPr>
      <w:r>
        <w:rPr>
          <w:rFonts w:ascii="Arial" w:hAnsi="Arial" w:eastAsia="Arial" w:cs="Arial"/>
          <w:color w:val="2C3E50"/>
          <w:sz w:val="22"/>
          <w:szCs w:val="22"/>
        </w:rPr>
        <w:t>Two CTA buttons: Primary = "Explore Calculators" (white fill, navy text) | Secondary = "Start With Your Visa Type" (outlined white)</w:t>
      </w:r>
    </w:p>
    <w:p w14:paraId="0000006D">
      <w:pPr>
        <w:pStyle w:val="ListParagraph"/>
        <w:numPr>
          <w:ilvl w:val="0"/>
          <w:numId w:val="2"/>
        </w:numPr>
        <w:spacing w:after="60" w:before="60"/>
      </w:pPr>
      <w:r>
        <w:rPr>
          <w:rFonts w:ascii="Arial" w:hAnsi="Arial" w:eastAsia="Arial" w:cs="Arial"/>
          <w:color w:val="2C3E50"/>
          <w:sz w:val="22"/>
          <w:szCs w:val="22"/>
        </w:rPr>
        <w:t>Below buttons: Small trust line — "Trusted by H1B holders, F1 students, and new green card holders"</w:t>
      </w:r>
    </w:p>
    <w:p w14:paraId="0000006E">
      <w:pPr>
        <w:spacing w:after="120" w:before="0"/>
      </w:pPr>
    </w:p>
    <w:p w14:paraId="0000006F">
      <w:pPr>
        <w:pStyle w:val="Heading3"/>
        <w:spacing w:after="120" w:before="240"/>
      </w:pPr>
      <w:r>
        <w:rPr>
          <w:rFonts w:ascii="Arial" w:hAnsi="Arial" w:eastAsia="Arial" w:cs="Arial"/>
          <w:b/>
          <w:bCs/>
          <w:color w:val="2C3E50"/>
          <w:sz w:val="24"/>
          <w:szCs w:val="24"/>
        </w:rPr>
        <w:t>Audience Selector Section</w:t>
      </w:r>
    </w:p>
    <w:p w14:paraId="00000070">
      <w:pPr>
        <w:pStyle w:val="ListParagraph"/>
        <w:numPr>
          <w:ilvl w:val="0"/>
          <w:numId w:val="2"/>
        </w:numPr>
        <w:spacing w:after="60" w:before="60"/>
      </w:pPr>
      <w:r>
        <w:rPr>
          <w:rFonts w:ascii="Arial" w:hAnsi="Arial" w:eastAsia="Arial" w:cs="Arial"/>
          <w:color w:val="2C3E50"/>
          <w:sz w:val="22"/>
          <w:szCs w:val="22"/>
        </w:rPr>
        <w:t>Headline: "What best describes you?"</w:t>
      </w:r>
    </w:p>
    <w:p w14:paraId="00000071">
      <w:pPr>
        <w:pStyle w:val="ListParagraph"/>
        <w:numPr>
          <w:ilvl w:val="0"/>
          <w:numId w:val="2"/>
        </w:numPr>
        <w:spacing w:after="60" w:before="60"/>
      </w:pPr>
      <w:r>
        <w:rPr>
          <w:rFonts w:ascii="Arial" w:hAnsi="Arial" w:eastAsia="Arial" w:cs="Arial"/>
          <w:color w:val="2C3E50"/>
          <w:sz w:val="22"/>
          <w:szCs w:val="22"/>
        </w:rPr>
        <w:t>4–5 large clickable cards in a row: H1B/Work Visa | F1/International Student | New Green Card | Sending Money Home | Expat Abroad</w:t>
      </w:r>
    </w:p>
    <w:p w14:paraId="00000072">
      <w:pPr>
        <w:pStyle w:val="ListParagraph"/>
        <w:numPr>
          <w:ilvl w:val="0"/>
          <w:numId w:val="2"/>
        </w:numPr>
        <w:spacing w:after="60" w:before="60"/>
      </w:pPr>
      <w:r>
        <w:rPr>
          <w:rFonts w:ascii="Arial" w:hAnsi="Arial" w:eastAsia="Arial" w:cs="Arial"/>
          <w:color w:val="2C3E50"/>
          <w:sz w:val="22"/>
          <w:szCs w:val="22"/>
        </w:rPr>
        <w:t>Each card has an icon, a label, and routes to the relevant visa guide or content cluster</w:t>
      </w:r>
    </w:p>
    <w:p w14:paraId="00000073">
      <w:pPr>
        <w:pStyle w:val="ListParagraph"/>
        <w:numPr>
          <w:ilvl w:val="0"/>
          <w:numId w:val="2"/>
        </w:numPr>
        <w:spacing w:after="60" w:before="60"/>
      </w:pPr>
      <w:r>
        <w:rPr>
          <w:rFonts w:ascii="Arial" w:hAnsi="Arial" w:eastAsia="Arial" w:cs="Arial"/>
          <w:color w:val="2C3E50"/>
          <w:sz w:val="22"/>
          <w:szCs w:val="22"/>
        </w:rPr>
        <w:t>Background: Light gray (#F5F7FA)</w:t>
      </w:r>
    </w:p>
    <w:p w14:paraId="00000074">
      <w:pPr>
        <w:spacing w:after="120" w:before="0"/>
      </w:pPr>
    </w:p>
    <w:p w14:paraId="00000075">
      <w:pPr>
        <w:pStyle w:val="Heading3"/>
        <w:spacing w:after="120" w:before="240"/>
      </w:pPr>
      <w:r>
        <w:rPr>
          <w:rFonts w:ascii="Arial" w:hAnsi="Arial" w:eastAsia="Arial" w:cs="Arial"/>
          <w:b/>
          <w:bCs/>
          <w:color w:val="2C3E50"/>
          <w:sz w:val="24"/>
          <w:szCs w:val="24"/>
        </w:rPr>
        <w:t>Featured Calculators Section</w:t>
      </w:r>
    </w:p>
    <w:p w14:paraId="00000076">
      <w:pPr>
        <w:pStyle w:val="ListParagraph"/>
        <w:numPr>
          <w:ilvl w:val="0"/>
          <w:numId w:val="2"/>
        </w:numPr>
        <w:spacing w:after="60" w:before="60"/>
      </w:pPr>
      <w:r>
        <w:rPr>
          <w:rFonts w:ascii="Arial" w:hAnsi="Arial" w:eastAsia="Arial" w:cs="Arial"/>
          <w:color w:val="2C3E50"/>
          <w:sz w:val="22"/>
          <w:szCs w:val="22"/>
        </w:rPr>
        <w:t>Headline: "Free Financial Calculators Built for Immigrants"</w:t>
      </w:r>
    </w:p>
    <w:p w14:paraId="00000077">
      <w:pPr>
        <w:pStyle w:val="ListParagraph"/>
        <w:numPr>
          <w:ilvl w:val="0"/>
          <w:numId w:val="2"/>
        </w:numPr>
        <w:spacing w:after="60" w:before="60"/>
      </w:pPr>
      <w:r>
        <w:rPr>
          <w:rFonts w:ascii="Arial" w:hAnsi="Arial" w:eastAsia="Arial" w:cs="Arial"/>
          <w:color w:val="2C3E50"/>
          <w:sz w:val="22"/>
          <w:szCs w:val="22"/>
        </w:rPr>
        <w:t>3-column card grid showing top 3 calculators: Remittance Fee Calculator | H1B Tax Estimator | Substantial Presence Test</w:t>
      </w:r>
    </w:p>
    <w:p w14:paraId="00000078">
      <w:pPr>
        <w:pStyle w:val="ListParagraph"/>
        <w:numPr>
          <w:ilvl w:val="0"/>
          <w:numId w:val="2"/>
        </w:numPr>
        <w:spacing w:after="60" w:before="60"/>
      </w:pPr>
      <w:r>
        <w:rPr>
          <w:rFonts w:ascii="Arial" w:hAnsi="Arial" w:eastAsia="Arial" w:cs="Arial"/>
          <w:color w:val="2C3E50"/>
          <w:sz w:val="22"/>
          <w:szCs w:val="22"/>
        </w:rPr>
        <w:t>Each card: tool icon, title, one-line description, "Use Calculator" button</w:t>
      </w:r>
    </w:p>
    <w:p w14:paraId="00000079">
      <w:pPr>
        <w:pStyle w:val="ListParagraph"/>
        <w:numPr>
          <w:ilvl w:val="0"/>
          <w:numId w:val="2"/>
        </w:numPr>
        <w:spacing w:after="60" w:before="60"/>
      </w:pPr>
      <w:r>
        <w:rPr>
          <w:rFonts w:ascii="Arial" w:hAnsi="Arial" w:eastAsia="Arial" w:cs="Arial"/>
          <w:color w:val="2C3E50"/>
          <w:sz w:val="22"/>
          <w:szCs w:val="22"/>
        </w:rPr>
        <w:t>Background: White</w:t>
      </w:r>
    </w:p>
    <w:p w14:paraId="0000007A">
      <w:pPr>
        <w:spacing w:after="120" w:before="0"/>
      </w:pPr>
    </w:p>
    <w:p w14:paraId="0000007B">
      <w:pPr>
        <w:pStyle w:val="Heading3"/>
        <w:spacing w:after="120" w:before="240"/>
      </w:pPr>
      <w:r>
        <w:rPr>
          <w:rFonts w:ascii="Arial" w:hAnsi="Arial" w:eastAsia="Arial" w:cs="Arial"/>
          <w:b/>
          <w:bCs/>
          <w:color w:val="2C3E50"/>
          <w:sz w:val="24"/>
          <w:szCs w:val="24"/>
        </w:rPr>
        <w:t>Content Pillars Section</w:t>
      </w:r>
    </w:p>
    <w:p w14:paraId="0000007C">
      <w:pPr>
        <w:pStyle w:val="ListParagraph"/>
        <w:numPr>
          <w:ilvl w:val="0"/>
          <w:numId w:val="2"/>
        </w:numPr>
        <w:spacing w:after="60" w:before="60"/>
      </w:pPr>
      <w:r>
        <w:rPr>
          <w:rFonts w:ascii="Arial" w:hAnsi="Arial" w:eastAsia="Arial" w:cs="Arial"/>
          <w:color w:val="2C3E50"/>
          <w:sz w:val="22"/>
          <w:szCs w:val="22"/>
        </w:rPr>
        <w:t>Headline: "Everything You Need to Know"</w:t>
      </w:r>
    </w:p>
    <w:p w14:paraId="0000007D">
      <w:pPr>
        <w:pStyle w:val="ListParagraph"/>
        <w:numPr>
          <w:ilvl w:val="0"/>
          <w:numId w:val="2"/>
        </w:numPr>
        <w:spacing w:after="60" w:before="60"/>
      </w:pPr>
      <w:r>
        <w:rPr>
          <w:rFonts w:ascii="Arial" w:hAnsi="Arial" w:eastAsia="Arial" w:cs="Arial"/>
          <w:color w:val="2C3E50"/>
          <w:sz w:val="22"/>
          <w:szCs w:val="22"/>
        </w:rPr>
        <w:t>6 icon cards in a 2x3 or 3x2 grid: Banking | Taxes | Send Money | Investing | Insurance | Visa Guides</w:t>
      </w:r>
    </w:p>
    <w:p w14:paraId="0000007E">
      <w:pPr>
        <w:pStyle w:val="ListParagraph"/>
        <w:numPr>
          <w:ilvl w:val="0"/>
          <w:numId w:val="2"/>
        </w:numPr>
        <w:spacing w:after="60" w:before="60"/>
      </w:pPr>
      <w:r>
        <w:rPr>
          <w:rFonts w:ascii="Arial" w:hAnsi="Arial" w:eastAsia="Arial" w:cs="Arial"/>
          <w:color w:val="2C3E50"/>
          <w:sz w:val="22"/>
          <w:szCs w:val="22"/>
        </w:rPr>
        <w:t>Each card links to that section's main landing page</w:t>
      </w:r>
    </w:p>
    <w:p w14:paraId="0000007F">
      <w:pPr>
        <w:pStyle w:val="ListParagraph"/>
        <w:numPr>
          <w:ilvl w:val="0"/>
          <w:numId w:val="2"/>
        </w:numPr>
        <w:spacing w:after="60" w:before="60"/>
      </w:pPr>
      <w:r>
        <w:rPr>
          <w:rFonts w:ascii="Arial" w:hAnsi="Arial" w:eastAsia="Arial" w:cs="Arial"/>
          <w:color w:val="2C3E50"/>
          <w:sz w:val="22"/>
          <w:szCs w:val="22"/>
        </w:rPr>
        <w:t>Background: Light blue (#E8EFF9)</w:t>
      </w:r>
    </w:p>
    <w:p w14:paraId="00000080">
      <w:pPr>
        <w:spacing w:after="120" w:before="0"/>
      </w:pPr>
    </w:p>
    <w:p w14:paraId="00000081">
      <w:pPr>
        <w:pStyle w:val="Heading3"/>
        <w:spacing w:after="120" w:before="240"/>
      </w:pPr>
      <w:r>
        <w:rPr>
          <w:rFonts w:ascii="Arial" w:hAnsi="Arial" w:eastAsia="Arial" w:cs="Arial"/>
          <w:b/>
          <w:bCs/>
          <w:color w:val="2C3E50"/>
          <w:sz w:val="24"/>
          <w:szCs w:val="24"/>
        </w:rPr>
        <w:t>Latest Articles Section</w:t>
      </w:r>
    </w:p>
    <w:p w14:paraId="00000082">
      <w:pPr>
        <w:pStyle w:val="ListParagraph"/>
        <w:numPr>
          <w:ilvl w:val="0"/>
          <w:numId w:val="2"/>
        </w:numPr>
        <w:spacing w:after="60" w:before="60"/>
      </w:pPr>
      <w:r>
        <w:rPr>
          <w:rFonts w:ascii="Arial" w:hAnsi="Arial" w:eastAsia="Arial" w:cs="Arial"/>
          <w:color w:val="2C3E50"/>
          <w:sz w:val="22"/>
          <w:szCs w:val="22"/>
        </w:rPr>
        <w:t>Headline: "Latest Guides"</w:t>
      </w:r>
    </w:p>
    <w:p w14:paraId="00000083">
      <w:pPr>
        <w:pStyle w:val="ListParagraph"/>
        <w:numPr>
          <w:ilvl w:val="0"/>
          <w:numId w:val="2"/>
        </w:numPr>
        <w:spacing w:after="60" w:before="60"/>
      </w:pPr>
      <w:r>
        <w:rPr>
          <w:rFonts w:ascii="Arial" w:hAnsi="Arial" w:eastAsia="Arial" w:cs="Arial"/>
          <w:color w:val="2C3E50"/>
          <w:sz w:val="22"/>
          <w:szCs w:val="22"/>
        </w:rPr>
        <w:t>3 most recent blog posts as horizontal cards with thumbnail, title, excerpt, date, and read more link</w:t>
      </w:r>
    </w:p>
    <w:p w14:paraId="00000084">
      <w:pPr>
        <w:pStyle w:val="ListParagraph"/>
        <w:numPr>
          <w:ilvl w:val="0"/>
          <w:numId w:val="2"/>
        </w:numPr>
        <w:spacing w:after="60" w:before="60"/>
      </w:pPr>
      <w:r>
        <w:rPr>
          <w:rFonts w:ascii="Arial" w:hAnsi="Arial" w:eastAsia="Arial" w:cs="Arial"/>
          <w:color w:val="2C3E50"/>
          <w:sz w:val="22"/>
          <w:szCs w:val="22"/>
        </w:rPr>
        <w:t>Background: White</w:t>
      </w:r>
    </w:p>
    <w:p w14:paraId="00000085">
      <w:pPr>
        <w:spacing w:after="120" w:before="0"/>
      </w:pPr>
    </w:p>
    <w:p w14:paraId="00000086">
      <w:pPr>
        <w:pStyle w:val="Heading3"/>
        <w:spacing w:after="120" w:before="240"/>
      </w:pPr>
      <w:r>
        <w:rPr>
          <w:rFonts w:ascii="Arial" w:hAnsi="Arial" w:eastAsia="Arial" w:cs="Arial"/>
          <w:b/>
          <w:bCs/>
          <w:color w:val="2C3E50"/>
          <w:sz w:val="24"/>
          <w:szCs w:val="24"/>
        </w:rPr>
        <w:t>Trust / Social Proof Section</w:t>
      </w:r>
    </w:p>
    <w:p w14:paraId="00000087">
      <w:pPr>
        <w:pStyle w:val="ListParagraph"/>
        <w:numPr>
          <w:ilvl w:val="0"/>
          <w:numId w:val="2"/>
        </w:numPr>
        <w:spacing w:after="60" w:before="60"/>
      </w:pPr>
      <w:r>
        <w:rPr>
          <w:rFonts w:ascii="Arial" w:hAnsi="Arial" w:eastAsia="Arial" w:cs="Arial"/>
          <w:color w:val="2C3E50"/>
          <w:sz w:val="22"/>
          <w:szCs w:val="22"/>
        </w:rPr>
        <w:t>Simple strip with: number of guides published | number of calculators | communities served (Reddit, Facebook immigrant groups)</w:t>
      </w:r>
    </w:p>
    <w:p w14:paraId="00000088">
      <w:pPr>
        <w:pStyle w:val="ListParagraph"/>
        <w:numPr>
          <w:ilvl w:val="0"/>
          <w:numId w:val="2"/>
        </w:numPr>
        <w:spacing w:after="60" w:before="60"/>
      </w:pPr>
      <w:r>
        <w:rPr>
          <w:rFonts w:ascii="Arial" w:hAnsi="Arial" w:eastAsia="Arial" w:cs="Arial"/>
          <w:color w:val="2C3E50"/>
          <w:sz w:val="22"/>
          <w:szCs w:val="22"/>
        </w:rPr>
        <w:t>If no real stats yet, lead with a mission statement instead: "Built by immigrants, for immigrants"</w:t>
      </w:r>
    </w:p>
    <w:p w14:paraId="00000089">
      <w:pPr>
        <w:spacing w:after="120" w:before="0"/>
      </w:pPr>
    </w:p>
    <w:p w14:paraId="0000008A">
      <w:pPr>
        <w:pStyle w:val="Heading3"/>
        <w:spacing w:after="120" w:before="240"/>
      </w:pPr>
      <w:r>
        <w:rPr>
          <w:rFonts w:ascii="Arial" w:hAnsi="Arial" w:eastAsia="Arial" w:cs="Arial"/>
          <w:b/>
          <w:bCs/>
          <w:color w:val="2C3E50"/>
          <w:sz w:val="24"/>
          <w:szCs w:val="24"/>
        </w:rPr>
        <w:t>Footer</w:t>
      </w:r>
    </w:p>
    <w:p w14:paraId="0000008B">
      <w:pPr>
        <w:pStyle w:val="ListParagraph"/>
        <w:numPr>
          <w:ilvl w:val="0"/>
          <w:numId w:val="2"/>
        </w:numPr>
        <w:spacing w:after="60" w:before="60"/>
      </w:pPr>
      <w:r>
        <w:rPr>
          <w:rFonts w:ascii="Arial" w:hAnsi="Arial" w:eastAsia="Arial" w:cs="Arial"/>
          <w:color w:val="2C3E50"/>
          <w:sz w:val="22"/>
          <w:szCs w:val="22"/>
        </w:rPr>
        <w:t>4-column layout: About Finovly | Quick Links (top pages) | Calculators | Legal (Privacy Policy, Terms, Disclaimer, Affiliate Disclosure)</w:t>
      </w:r>
    </w:p>
    <w:p w14:paraId="0000008C">
      <w:pPr>
        <w:pStyle w:val="ListParagraph"/>
        <w:numPr>
          <w:ilvl w:val="0"/>
          <w:numId w:val="2"/>
        </w:numPr>
        <w:spacing w:after="60" w:before="60"/>
      </w:pPr>
      <w:r>
        <w:rPr>
          <w:rFonts w:ascii="Arial" w:hAnsi="Arial" w:eastAsia="Arial" w:cs="Arial"/>
          <w:color w:val="2C3E50"/>
          <w:sz w:val="22"/>
          <w:szCs w:val="22"/>
        </w:rPr>
        <w:t>Bottom bar: copyright, and a brief disclaimer that Finovly is not a licensed financial advisor</w:t>
      </w:r>
    </w:p>
    <w:p w14:paraId="0000008D">
      <w:pPr>
        <w:pStyle w:val="ListParagraph"/>
        <w:numPr>
          <w:ilvl w:val="0"/>
          <w:numId w:val="2"/>
        </w:numPr>
        <w:spacing w:after="60" w:before="60"/>
      </w:pPr>
      <w:r>
        <w:rPr>
          <w:rFonts w:ascii="Arial" w:hAnsi="Arial" w:eastAsia="Arial" w:cs="Arial"/>
          <w:color w:val="2C3E50"/>
          <w:sz w:val="22"/>
          <w:szCs w:val="22"/>
        </w:rPr>
        <w:t>Color: Dark navy background, white text</w:t>
      </w:r>
    </w:p>
    <w:p w14:paraId="0000008E">
      <w:r>
        <w:br w:type="page"/>
      </w:r>
    </w:p>
    <w:p w14:paraId="0000008F">
      <w:pPr>
        <w:pStyle w:val="Heading1"/>
        <w:spacing w:after="200" w:before="400"/>
      </w:pPr>
      <w:r>
        <w:rPr>
          <w:rFonts w:ascii="Arial" w:hAnsi="Arial" w:eastAsia="Arial" w:cs="Arial"/>
          <w:b/>
          <w:bCs/>
          <w:color w:val="1B3A6B"/>
          <w:sz w:val="36"/>
          <w:szCs w:val="36"/>
        </w:rPr>
        <w:t>3. Visual Design Specifications</w:t>
      </w:r>
    </w:p>
    <w:p w14:paraId="00000090">
      <w:pPr>
        <w:pBdr>
          <w:bottom w:val="single" w:color="D0D8E4" w:sz="4" w:space="1"/>
        </w:pBdr>
        <w:spacing w:after="200" w:before="200"/>
      </w:pPr>
    </w:p>
    <w:p w14:paraId="00000091">
      <w:pPr>
        <w:pStyle w:val="Heading2"/>
        <w:spacing w:after="160" w:before="320"/>
      </w:pPr>
      <w:r>
        <w:rPr>
          <w:rFonts w:ascii="Arial" w:hAnsi="Arial" w:eastAsia="Arial" w:cs="Arial"/>
          <w:b/>
          <w:bCs/>
          <w:color w:val="2E86C1"/>
          <w:sz w:val="28"/>
          <w:szCs w:val="28"/>
        </w:rPr>
        <w:t>3.1 Color Palette</w:t>
      </w:r>
    </w:p>
    <w:p w14:paraId="00000092">
      <w:pPr>
        <w:spacing w:after="120" w:before="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4680"/>
      </w:tblGrid>
      <w:tr w14:paraId="00000093">
        <w:tc>
          <w:tcPr>
            <w:tcW w:w="2520" w:type="dxa"/>
            <w:tcBorders>
              <w:top w:val="single" w:color="D0D8E4" w:sz="1"/>
              <w:left w:val="single" w:color="D0D8E4" w:sz="1"/>
              <w:bottom w:val="single" w:color="D0D8E4" w:sz="1"/>
              <w:right w:val="single" w:color="D0D8E4" w:sz="1"/>
            </w:tcBorders>
            <w:shd w:fill="1B3A6B" w:val="clear"/>
            <w:tcMar>
              <w:top w:w="80" w:type="dxa"/>
              <w:left w:w="120" w:type="dxa"/>
              <w:bottom w:w="80" w:type="dxa"/>
              <w:right w:w="120" w:type="dxa"/>
            </w:tcMar>
          </w:tcPr>
          <w:p w14:paraId="00000094">
            <w:r>
              <w:rPr>
                <w:rFonts w:ascii="Arial" w:hAnsi="Arial" w:eastAsia="Arial" w:cs="Arial"/>
                <w:b/>
                <w:bCs/>
                <w:color w:val="FFFFFF"/>
                <w:sz w:val="20"/>
                <w:szCs w:val="20"/>
              </w:rPr>
              <w:t>Color Role</w:t>
            </w:r>
          </w:p>
        </w:tc>
        <w:tc>
          <w:tcPr>
            <w:tcW w:w="2160" w:type="dxa"/>
            <w:tcBorders>
              <w:top w:val="single" w:color="D0D8E4" w:sz="1"/>
              <w:left w:val="single" w:color="D0D8E4" w:sz="1"/>
              <w:bottom w:val="single" w:color="D0D8E4" w:sz="1"/>
              <w:right w:val="single" w:color="D0D8E4" w:sz="1"/>
            </w:tcBorders>
            <w:shd w:fill="1B3A6B" w:val="clear"/>
            <w:tcMar>
              <w:top w:w="80" w:type="dxa"/>
              <w:left w:w="120" w:type="dxa"/>
              <w:bottom w:w="80" w:type="dxa"/>
              <w:right w:w="120" w:type="dxa"/>
            </w:tcMar>
          </w:tcPr>
          <w:p w14:paraId="00000095">
            <w:r>
              <w:rPr>
                <w:rFonts w:ascii="Arial" w:hAnsi="Arial" w:eastAsia="Arial" w:cs="Arial"/>
                <w:b/>
                <w:bCs/>
                <w:color w:val="FFFFFF"/>
                <w:sz w:val="20"/>
                <w:szCs w:val="20"/>
              </w:rPr>
              <w:t>Hex Code</w:t>
            </w:r>
          </w:p>
        </w:tc>
        <w:tc>
          <w:tcPr>
            <w:tcW w:w="4680" w:type="dxa"/>
            <w:tcBorders>
              <w:top w:val="single" w:color="D0D8E4" w:sz="1"/>
              <w:left w:val="single" w:color="D0D8E4" w:sz="1"/>
              <w:bottom w:val="single" w:color="D0D8E4" w:sz="1"/>
              <w:right w:val="single" w:color="D0D8E4" w:sz="1"/>
            </w:tcBorders>
            <w:shd w:fill="1B3A6B" w:val="clear"/>
            <w:tcMar>
              <w:top w:w="80" w:type="dxa"/>
              <w:left w:w="120" w:type="dxa"/>
              <w:bottom w:w="80" w:type="dxa"/>
              <w:right w:w="120" w:type="dxa"/>
            </w:tcMar>
          </w:tcPr>
          <w:p w14:paraId="00000096">
            <w:r>
              <w:rPr>
                <w:rFonts w:ascii="Arial" w:hAnsi="Arial" w:eastAsia="Arial" w:cs="Arial"/>
                <w:b/>
                <w:bCs/>
                <w:color w:val="FFFFFF"/>
                <w:sz w:val="20"/>
                <w:szCs w:val="20"/>
              </w:rPr>
              <w:t>Usage</w:t>
            </w:r>
          </w:p>
        </w:tc>
      </w:tr>
      <w:tr w14:paraId="00000097">
        <w:tc>
          <w:tcPr>
            <w:tcW w:w="25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98">
            <w:r>
              <w:rPr>
                <w:rFonts w:ascii="Arial" w:hAnsi="Arial" w:eastAsia="Arial" w:cs="Arial"/>
                <w:color w:val="2C3E50"/>
                <w:sz w:val="20"/>
                <w:szCs w:val="20"/>
              </w:rPr>
              <w:t>Primary Navy</w:t>
            </w:r>
          </w:p>
        </w:tc>
        <w:tc>
          <w:tcPr>
            <w:tcW w:w="216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99">
            <w:r>
              <w:rPr>
                <w:rFonts w:ascii="Arial" w:hAnsi="Arial" w:eastAsia="Arial" w:cs="Arial"/>
                <w:color w:val="2C3E50"/>
                <w:sz w:val="20"/>
                <w:szCs w:val="20"/>
              </w:rPr>
              <w:t>#1B3A6B</w:t>
            </w:r>
          </w:p>
        </w:tc>
        <w:tc>
          <w:tcPr>
            <w:tcW w:w="468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9A">
            <w:r>
              <w:rPr>
                <w:rFonts w:ascii="Arial" w:hAnsi="Arial" w:eastAsia="Arial" w:cs="Arial"/>
                <w:color w:val="2C3E50"/>
                <w:sz w:val="20"/>
                <w:szCs w:val="20"/>
              </w:rPr>
              <w:t>Header, footer, hero background, primary buttons, H1 headings</w:t>
            </w:r>
          </w:p>
        </w:tc>
      </w:tr>
      <w:tr w14:paraId="0000009B">
        <w:tc>
          <w:tcPr>
            <w:tcW w:w="252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9C">
            <w:r>
              <w:rPr>
                <w:rFonts w:ascii="Arial" w:hAnsi="Arial" w:eastAsia="Arial" w:cs="Arial"/>
                <w:color w:val="2C3E50"/>
                <w:sz w:val="20"/>
                <w:szCs w:val="20"/>
              </w:rPr>
              <w:t>Accent Blue</w:t>
            </w:r>
          </w:p>
        </w:tc>
        <w:tc>
          <w:tcPr>
            <w:tcW w:w="216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9D">
            <w:r>
              <w:rPr>
                <w:rFonts w:ascii="Arial" w:hAnsi="Arial" w:eastAsia="Arial" w:cs="Arial"/>
                <w:color w:val="2C3E50"/>
                <w:sz w:val="20"/>
                <w:szCs w:val="20"/>
              </w:rPr>
              <w:t>#2E86C1</w:t>
            </w:r>
          </w:p>
        </w:tc>
        <w:tc>
          <w:tcPr>
            <w:tcW w:w="468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9E">
            <w:r>
              <w:rPr>
                <w:rFonts w:ascii="Arial" w:hAnsi="Arial" w:eastAsia="Arial" w:cs="Arial"/>
                <w:color w:val="2C3E50"/>
                <w:sz w:val="20"/>
                <w:szCs w:val="20"/>
              </w:rPr>
              <w:t>H2 headings, links, secondary buttons, icon accents</w:t>
            </w:r>
          </w:p>
        </w:tc>
      </w:tr>
      <w:tr w14:paraId="0000009F">
        <w:tc>
          <w:tcPr>
            <w:tcW w:w="25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A0">
            <w:r>
              <w:rPr>
                <w:rFonts w:ascii="Arial" w:hAnsi="Arial" w:eastAsia="Arial" w:cs="Arial"/>
                <w:color w:val="2C3E50"/>
                <w:sz w:val="20"/>
                <w:szCs w:val="20"/>
              </w:rPr>
              <w:t>Light Blue</w:t>
            </w:r>
          </w:p>
        </w:tc>
        <w:tc>
          <w:tcPr>
            <w:tcW w:w="216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A1">
            <w:r>
              <w:rPr>
                <w:rFonts w:ascii="Arial" w:hAnsi="Arial" w:eastAsia="Arial" w:cs="Arial"/>
                <w:color w:val="2C3E50"/>
                <w:sz w:val="20"/>
                <w:szCs w:val="20"/>
              </w:rPr>
              <w:t>#E8EFF9</w:t>
            </w:r>
          </w:p>
        </w:tc>
        <w:tc>
          <w:tcPr>
            <w:tcW w:w="468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A2">
            <w:r>
              <w:rPr>
                <w:rFonts w:ascii="Arial" w:hAnsi="Arial" w:eastAsia="Arial" w:cs="Arial"/>
                <w:color w:val="2C3E50"/>
                <w:sz w:val="20"/>
                <w:szCs w:val="20"/>
              </w:rPr>
              <w:t>Section backgrounds, card fills, callout boxes</w:t>
            </w:r>
          </w:p>
        </w:tc>
      </w:tr>
      <w:tr w14:paraId="000000A3">
        <w:tc>
          <w:tcPr>
            <w:tcW w:w="252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A4">
            <w:r>
              <w:rPr>
                <w:rFonts w:ascii="Arial" w:hAnsi="Arial" w:eastAsia="Arial" w:cs="Arial"/>
                <w:color w:val="2C3E50"/>
                <w:sz w:val="20"/>
                <w:szCs w:val="20"/>
              </w:rPr>
              <w:t>Background Gray</w:t>
            </w:r>
          </w:p>
        </w:tc>
        <w:tc>
          <w:tcPr>
            <w:tcW w:w="216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A5">
            <w:r>
              <w:rPr>
                <w:rFonts w:ascii="Arial" w:hAnsi="Arial" w:eastAsia="Arial" w:cs="Arial"/>
                <w:color w:val="2C3E50"/>
                <w:sz w:val="20"/>
                <w:szCs w:val="20"/>
              </w:rPr>
              <w:t>#F5F7FA</w:t>
            </w:r>
          </w:p>
        </w:tc>
        <w:tc>
          <w:tcPr>
            <w:tcW w:w="468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A6">
            <w:r>
              <w:rPr>
                <w:rFonts w:ascii="Arial" w:hAnsi="Arial" w:eastAsia="Arial" w:cs="Arial"/>
                <w:color w:val="2C3E50"/>
                <w:sz w:val="20"/>
                <w:szCs w:val="20"/>
              </w:rPr>
              <w:t>Alternating section backgrounds, table rows</w:t>
            </w:r>
          </w:p>
        </w:tc>
      </w:tr>
      <w:tr w14:paraId="000000A7">
        <w:tc>
          <w:tcPr>
            <w:tcW w:w="25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A8">
            <w:r>
              <w:rPr>
                <w:rFonts w:ascii="Arial" w:hAnsi="Arial" w:eastAsia="Arial" w:cs="Arial"/>
                <w:color w:val="2C3E50"/>
                <w:sz w:val="20"/>
                <w:szCs w:val="20"/>
              </w:rPr>
              <w:t>Body Text</w:t>
            </w:r>
          </w:p>
        </w:tc>
        <w:tc>
          <w:tcPr>
            <w:tcW w:w="216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A9">
            <w:r>
              <w:rPr>
                <w:rFonts w:ascii="Arial" w:hAnsi="Arial" w:eastAsia="Arial" w:cs="Arial"/>
                <w:color w:val="2C3E50"/>
                <w:sz w:val="20"/>
                <w:szCs w:val="20"/>
              </w:rPr>
              <w:t>#2C3E50</w:t>
            </w:r>
          </w:p>
        </w:tc>
        <w:tc>
          <w:tcPr>
            <w:tcW w:w="468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AA">
            <w:r>
              <w:rPr>
                <w:rFonts w:ascii="Arial" w:hAnsi="Arial" w:eastAsia="Arial" w:cs="Arial"/>
                <w:color w:val="2C3E50"/>
                <w:sz w:val="20"/>
                <w:szCs w:val="20"/>
              </w:rPr>
              <w:t>All paragraph text, body copy</w:t>
            </w:r>
          </w:p>
        </w:tc>
      </w:tr>
      <w:tr w14:paraId="000000AB">
        <w:tc>
          <w:tcPr>
            <w:tcW w:w="252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AC">
            <w:r>
              <w:rPr>
                <w:rFonts w:ascii="Arial" w:hAnsi="Arial" w:eastAsia="Arial" w:cs="Arial"/>
                <w:color w:val="2C3E50"/>
                <w:sz w:val="20"/>
                <w:szCs w:val="20"/>
              </w:rPr>
              <w:t>White</w:t>
            </w:r>
          </w:p>
        </w:tc>
        <w:tc>
          <w:tcPr>
            <w:tcW w:w="216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AD">
            <w:r>
              <w:rPr>
                <w:rFonts w:ascii="Arial" w:hAnsi="Arial" w:eastAsia="Arial" w:cs="Arial"/>
                <w:color w:val="2C3E50"/>
                <w:sz w:val="20"/>
                <w:szCs w:val="20"/>
              </w:rPr>
              <w:t>#FFFFFF</w:t>
            </w:r>
          </w:p>
        </w:tc>
        <w:tc>
          <w:tcPr>
            <w:tcW w:w="468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AE">
            <w:r>
              <w:rPr>
                <w:rFonts w:ascii="Arial" w:hAnsi="Arial" w:eastAsia="Arial" w:cs="Arial"/>
                <w:color w:val="2C3E50"/>
                <w:sz w:val="20"/>
                <w:szCs w:val="20"/>
              </w:rPr>
              <w:t>Card backgrounds, hero text, button text on dark</w:t>
            </w:r>
          </w:p>
        </w:tc>
      </w:tr>
      <w:tr w14:paraId="000000AF">
        <w:tc>
          <w:tcPr>
            <w:tcW w:w="25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B0">
            <w:r>
              <w:rPr>
                <w:rFonts w:ascii="Arial" w:hAnsi="Arial" w:eastAsia="Arial" w:cs="Arial"/>
                <w:color w:val="2C3E50"/>
                <w:sz w:val="20"/>
                <w:szCs w:val="20"/>
              </w:rPr>
              <w:t>Border</w:t>
            </w:r>
          </w:p>
        </w:tc>
        <w:tc>
          <w:tcPr>
            <w:tcW w:w="216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B1">
            <w:r>
              <w:rPr>
                <w:rFonts w:ascii="Arial" w:hAnsi="Arial" w:eastAsia="Arial" w:cs="Arial"/>
                <w:color w:val="2C3E50"/>
                <w:sz w:val="20"/>
                <w:szCs w:val="20"/>
              </w:rPr>
              <w:t>#D0D8E4</w:t>
            </w:r>
          </w:p>
        </w:tc>
        <w:tc>
          <w:tcPr>
            <w:tcW w:w="468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B2">
            <w:r>
              <w:rPr>
                <w:rFonts w:ascii="Arial" w:hAnsi="Arial" w:eastAsia="Arial" w:cs="Arial"/>
                <w:color w:val="2C3E50"/>
                <w:sz w:val="20"/>
                <w:szCs w:val="20"/>
              </w:rPr>
              <w:t>Table borders, card outlines, dividers</w:t>
            </w:r>
          </w:p>
        </w:tc>
      </w:tr>
      <w:tr w14:paraId="000000B3">
        <w:tc>
          <w:tcPr>
            <w:tcW w:w="252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B4">
            <w:r>
              <w:rPr>
                <w:rFonts w:ascii="Arial" w:hAnsi="Arial" w:eastAsia="Arial" w:cs="Arial"/>
                <w:color w:val="2C3E50"/>
                <w:sz w:val="20"/>
                <w:szCs w:val="20"/>
              </w:rPr>
              <w:t>Success Green</w:t>
            </w:r>
          </w:p>
        </w:tc>
        <w:tc>
          <w:tcPr>
            <w:tcW w:w="216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B5">
            <w:r>
              <w:rPr>
                <w:rFonts w:ascii="Arial" w:hAnsi="Arial" w:eastAsia="Arial" w:cs="Arial"/>
                <w:color w:val="2C3E50"/>
                <w:sz w:val="20"/>
                <w:szCs w:val="20"/>
              </w:rPr>
              <w:t>#27AE60</w:t>
            </w:r>
          </w:p>
        </w:tc>
        <w:tc>
          <w:tcPr>
            <w:tcW w:w="468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B6">
            <w:r>
              <w:rPr>
                <w:rFonts w:ascii="Arial" w:hAnsi="Arial" w:eastAsia="Arial" w:cs="Arial"/>
                <w:color w:val="2C3E50"/>
                <w:sz w:val="20"/>
                <w:szCs w:val="20"/>
              </w:rPr>
              <w:t>Positive indicators, checkmarks, savings callouts</w:t>
            </w:r>
          </w:p>
        </w:tc>
      </w:tr>
      <w:tr w14:paraId="000000B7">
        <w:tc>
          <w:tcPr>
            <w:tcW w:w="25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B8">
            <w:r>
              <w:rPr>
                <w:rFonts w:ascii="Arial" w:hAnsi="Arial" w:eastAsia="Arial" w:cs="Arial"/>
                <w:color w:val="2C3E50"/>
                <w:sz w:val="20"/>
                <w:szCs w:val="20"/>
              </w:rPr>
              <w:t>Warning Orange</w:t>
            </w:r>
          </w:p>
        </w:tc>
        <w:tc>
          <w:tcPr>
            <w:tcW w:w="216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B9">
            <w:r>
              <w:rPr>
                <w:rFonts w:ascii="Arial" w:hAnsi="Arial" w:eastAsia="Arial" w:cs="Arial"/>
                <w:color w:val="2C3E50"/>
                <w:sz w:val="20"/>
                <w:szCs w:val="20"/>
              </w:rPr>
              <w:t>#E67E22</w:t>
            </w:r>
          </w:p>
        </w:tc>
        <w:tc>
          <w:tcPr>
            <w:tcW w:w="468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BA">
            <w:r>
              <w:rPr>
                <w:rFonts w:ascii="Arial" w:hAnsi="Arial" w:eastAsia="Arial" w:cs="Arial"/>
                <w:color w:val="2C3E50"/>
                <w:sz w:val="20"/>
                <w:szCs w:val="20"/>
              </w:rPr>
              <w:t>Alerts, important notes, tax deadline callouts</w:t>
            </w:r>
          </w:p>
        </w:tc>
      </w:tr>
    </w:tbl>
    <w:p w14:paraId="000000BB">
      <w:pPr>
        <w:spacing w:after="120" w:before="0"/>
      </w:pPr>
    </w:p>
    <w:p w14:paraId="000000BC">
      <w:pPr>
        <w:pStyle w:val="Heading2"/>
        <w:spacing w:after="160" w:before="320"/>
      </w:pPr>
      <w:r>
        <w:rPr>
          <w:rFonts w:ascii="Arial" w:hAnsi="Arial" w:eastAsia="Arial" w:cs="Arial"/>
          <w:b/>
          <w:bCs/>
          <w:color w:val="2E86C1"/>
          <w:sz w:val="28"/>
          <w:szCs w:val="28"/>
        </w:rPr>
        <w:t>3.2 Typography</w:t>
      </w:r>
    </w:p>
    <w:p w14:paraId="000000BD">
      <w:pPr>
        <w:spacing w:after="120" w:before="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2520"/>
        <w:gridCol w:w="2160"/>
      </w:tblGrid>
      <w:tr w14:paraId="000000BE">
        <w:tc>
          <w:tcPr>
            <w:tcW w:w="2160" w:type="dxa"/>
            <w:tcBorders>
              <w:top w:val="single" w:color="D0D8E4" w:sz="1"/>
              <w:left w:val="single" w:color="D0D8E4" w:sz="1"/>
              <w:bottom w:val="single" w:color="D0D8E4" w:sz="1"/>
              <w:right w:val="single" w:color="D0D8E4" w:sz="1"/>
            </w:tcBorders>
            <w:shd w:fill="1B3A6B" w:val="clear"/>
            <w:tcMar>
              <w:top w:w="80" w:type="dxa"/>
              <w:left w:w="120" w:type="dxa"/>
              <w:bottom w:w="80" w:type="dxa"/>
              <w:right w:w="120" w:type="dxa"/>
            </w:tcMar>
          </w:tcPr>
          <w:p w14:paraId="000000BF">
            <w:r>
              <w:rPr>
                <w:rFonts w:ascii="Arial" w:hAnsi="Arial" w:eastAsia="Arial" w:cs="Arial"/>
                <w:b/>
                <w:bCs/>
                <w:color w:val="FFFFFF"/>
                <w:sz w:val="20"/>
                <w:szCs w:val="20"/>
              </w:rPr>
              <w:t>Element</w:t>
            </w:r>
          </w:p>
        </w:tc>
        <w:tc>
          <w:tcPr>
            <w:tcW w:w="2520" w:type="dxa"/>
            <w:tcBorders>
              <w:top w:val="single" w:color="D0D8E4" w:sz="1"/>
              <w:left w:val="single" w:color="D0D8E4" w:sz="1"/>
              <w:bottom w:val="single" w:color="D0D8E4" w:sz="1"/>
              <w:right w:val="single" w:color="D0D8E4" w:sz="1"/>
            </w:tcBorders>
            <w:shd w:fill="1B3A6B" w:val="clear"/>
            <w:tcMar>
              <w:top w:w="80" w:type="dxa"/>
              <w:left w:w="120" w:type="dxa"/>
              <w:bottom w:w="80" w:type="dxa"/>
              <w:right w:w="120" w:type="dxa"/>
            </w:tcMar>
          </w:tcPr>
          <w:p w14:paraId="000000C0">
            <w:r>
              <w:rPr>
                <w:rFonts w:ascii="Arial" w:hAnsi="Arial" w:eastAsia="Arial" w:cs="Arial"/>
                <w:b/>
                <w:bCs/>
                <w:color w:val="FFFFFF"/>
                <w:sz w:val="20"/>
                <w:szCs w:val="20"/>
              </w:rPr>
              <w:t>Font</w:t>
            </w:r>
          </w:p>
        </w:tc>
        <w:tc>
          <w:tcPr>
            <w:tcW w:w="2520" w:type="dxa"/>
            <w:tcBorders>
              <w:top w:val="single" w:color="D0D8E4" w:sz="1"/>
              <w:left w:val="single" w:color="D0D8E4" w:sz="1"/>
              <w:bottom w:val="single" w:color="D0D8E4" w:sz="1"/>
              <w:right w:val="single" w:color="D0D8E4" w:sz="1"/>
            </w:tcBorders>
            <w:shd w:fill="1B3A6B" w:val="clear"/>
            <w:tcMar>
              <w:top w:w="80" w:type="dxa"/>
              <w:left w:w="120" w:type="dxa"/>
              <w:bottom w:w="80" w:type="dxa"/>
              <w:right w:w="120" w:type="dxa"/>
            </w:tcMar>
          </w:tcPr>
          <w:p w14:paraId="000000C1">
            <w:r>
              <w:rPr>
                <w:rFonts w:ascii="Arial" w:hAnsi="Arial" w:eastAsia="Arial" w:cs="Arial"/>
                <w:b/>
                <w:bCs/>
                <w:color w:val="FFFFFF"/>
                <w:sz w:val="20"/>
                <w:szCs w:val="20"/>
              </w:rPr>
              <w:t>Size / Weight</w:t>
            </w:r>
          </w:p>
        </w:tc>
        <w:tc>
          <w:tcPr>
            <w:tcW w:w="2160" w:type="dxa"/>
            <w:tcBorders>
              <w:top w:val="single" w:color="D0D8E4" w:sz="1"/>
              <w:left w:val="single" w:color="D0D8E4" w:sz="1"/>
              <w:bottom w:val="single" w:color="D0D8E4" w:sz="1"/>
              <w:right w:val="single" w:color="D0D8E4" w:sz="1"/>
            </w:tcBorders>
            <w:shd w:fill="1B3A6B" w:val="clear"/>
            <w:tcMar>
              <w:top w:w="80" w:type="dxa"/>
              <w:left w:w="120" w:type="dxa"/>
              <w:bottom w:w="80" w:type="dxa"/>
              <w:right w:w="120" w:type="dxa"/>
            </w:tcMar>
          </w:tcPr>
          <w:p w14:paraId="000000C2">
            <w:r>
              <w:rPr>
                <w:rFonts w:ascii="Arial" w:hAnsi="Arial" w:eastAsia="Arial" w:cs="Arial"/>
                <w:b/>
                <w:bCs/>
                <w:color w:val="FFFFFF"/>
                <w:sz w:val="20"/>
                <w:szCs w:val="20"/>
              </w:rPr>
              <w:t>Color</w:t>
            </w:r>
          </w:p>
        </w:tc>
      </w:tr>
      <w:tr w14:paraId="000000C3">
        <w:tc>
          <w:tcPr>
            <w:tcW w:w="216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C4">
            <w:r>
              <w:rPr>
                <w:rFonts w:ascii="Arial" w:hAnsi="Arial" w:eastAsia="Arial" w:cs="Arial"/>
                <w:color w:val="2C3E50"/>
                <w:sz w:val="20"/>
                <w:szCs w:val="20"/>
              </w:rPr>
              <w:t>Page Title (H1)</w:t>
            </w:r>
          </w:p>
        </w:tc>
        <w:tc>
          <w:tcPr>
            <w:tcW w:w="25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C5">
            <w:r>
              <w:rPr>
                <w:rFonts w:ascii="Arial" w:hAnsi="Arial" w:eastAsia="Arial" w:cs="Arial"/>
                <w:color w:val="2C3E50"/>
                <w:sz w:val="20"/>
                <w:szCs w:val="20"/>
              </w:rPr>
              <w:t>Inter or Plus Jakarta Sans</w:t>
            </w:r>
          </w:p>
        </w:tc>
        <w:tc>
          <w:tcPr>
            <w:tcW w:w="25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C6">
            <w:r>
              <w:rPr>
                <w:rFonts w:ascii="Arial" w:hAnsi="Arial" w:eastAsia="Arial" w:cs="Arial"/>
                <w:color w:val="2C3E50"/>
                <w:sz w:val="20"/>
                <w:szCs w:val="20"/>
              </w:rPr>
              <w:t>36–48px / Bold (700)</w:t>
            </w:r>
          </w:p>
        </w:tc>
        <w:tc>
          <w:tcPr>
            <w:tcW w:w="216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C7">
            <w:r>
              <w:rPr>
                <w:rFonts w:ascii="Arial" w:hAnsi="Arial" w:eastAsia="Arial" w:cs="Arial"/>
                <w:color w:val="2C3E50"/>
                <w:sz w:val="20"/>
                <w:szCs w:val="20"/>
              </w:rPr>
              <w:t>#1B3A6B</w:t>
            </w:r>
          </w:p>
        </w:tc>
      </w:tr>
      <w:tr w14:paraId="000000C8">
        <w:tc>
          <w:tcPr>
            <w:tcW w:w="216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C9">
            <w:r>
              <w:rPr>
                <w:rFonts w:ascii="Arial" w:hAnsi="Arial" w:eastAsia="Arial" w:cs="Arial"/>
                <w:color w:val="2C3E50"/>
                <w:sz w:val="20"/>
                <w:szCs w:val="20"/>
              </w:rPr>
              <w:t>Section Heading (H2)</w:t>
            </w:r>
          </w:p>
        </w:tc>
        <w:tc>
          <w:tcPr>
            <w:tcW w:w="252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CA">
            <w:r>
              <w:rPr>
                <w:rFonts w:ascii="Arial" w:hAnsi="Arial" w:eastAsia="Arial" w:cs="Arial"/>
                <w:color w:val="2C3E50"/>
                <w:sz w:val="20"/>
                <w:szCs w:val="20"/>
              </w:rPr>
              <w:t>Inter or Plus Jakarta Sans</w:t>
            </w:r>
          </w:p>
        </w:tc>
        <w:tc>
          <w:tcPr>
            <w:tcW w:w="252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CB">
            <w:r>
              <w:rPr>
                <w:rFonts w:ascii="Arial" w:hAnsi="Arial" w:eastAsia="Arial" w:cs="Arial"/>
                <w:color w:val="2C3E50"/>
                <w:sz w:val="20"/>
                <w:szCs w:val="20"/>
              </w:rPr>
              <w:t>28–32px / SemiBold (600)</w:t>
            </w:r>
          </w:p>
        </w:tc>
        <w:tc>
          <w:tcPr>
            <w:tcW w:w="216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CC">
            <w:r>
              <w:rPr>
                <w:rFonts w:ascii="Arial" w:hAnsi="Arial" w:eastAsia="Arial" w:cs="Arial"/>
                <w:color w:val="2C3E50"/>
                <w:sz w:val="20"/>
                <w:szCs w:val="20"/>
              </w:rPr>
              <w:t>#2E86C1</w:t>
            </w:r>
          </w:p>
        </w:tc>
      </w:tr>
      <w:tr w14:paraId="000000CD">
        <w:tc>
          <w:tcPr>
            <w:tcW w:w="216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CE">
            <w:r>
              <w:rPr>
                <w:rFonts w:ascii="Arial" w:hAnsi="Arial" w:eastAsia="Arial" w:cs="Arial"/>
                <w:color w:val="2C3E50"/>
                <w:sz w:val="20"/>
                <w:szCs w:val="20"/>
              </w:rPr>
              <w:t>Subsection (H3)</w:t>
            </w:r>
          </w:p>
        </w:tc>
        <w:tc>
          <w:tcPr>
            <w:tcW w:w="25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CF">
            <w:r>
              <w:rPr>
                <w:rFonts w:ascii="Arial" w:hAnsi="Arial" w:eastAsia="Arial" w:cs="Arial"/>
                <w:color w:val="2C3E50"/>
                <w:sz w:val="20"/>
                <w:szCs w:val="20"/>
              </w:rPr>
              <w:t>Inter or Plus Jakarta Sans</w:t>
            </w:r>
          </w:p>
        </w:tc>
        <w:tc>
          <w:tcPr>
            <w:tcW w:w="25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D0">
            <w:r>
              <w:rPr>
                <w:rFonts w:ascii="Arial" w:hAnsi="Arial" w:eastAsia="Arial" w:cs="Arial"/>
                <w:color w:val="2C3E50"/>
                <w:sz w:val="20"/>
                <w:szCs w:val="20"/>
              </w:rPr>
              <w:t>22–24px / SemiBold (600)</w:t>
            </w:r>
          </w:p>
        </w:tc>
        <w:tc>
          <w:tcPr>
            <w:tcW w:w="216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D1">
            <w:r>
              <w:rPr>
                <w:rFonts w:ascii="Arial" w:hAnsi="Arial" w:eastAsia="Arial" w:cs="Arial"/>
                <w:color w:val="2C3E50"/>
                <w:sz w:val="20"/>
                <w:szCs w:val="20"/>
              </w:rPr>
              <w:t>#2C3E50</w:t>
            </w:r>
          </w:p>
        </w:tc>
      </w:tr>
      <w:tr w14:paraId="000000D2">
        <w:tc>
          <w:tcPr>
            <w:tcW w:w="216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D3">
            <w:r>
              <w:rPr>
                <w:rFonts w:ascii="Arial" w:hAnsi="Arial" w:eastAsia="Arial" w:cs="Arial"/>
                <w:color w:val="2C3E50"/>
                <w:sz w:val="20"/>
                <w:szCs w:val="20"/>
              </w:rPr>
              <w:t>Body Text</w:t>
            </w:r>
          </w:p>
        </w:tc>
        <w:tc>
          <w:tcPr>
            <w:tcW w:w="252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D4">
            <w:r>
              <w:rPr>
                <w:rFonts w:ascii="Arial" w:hAnsi="Arial" w:eastAsia="Arial" w:cs="Arial"/>
                <w:color w:val="2C3E50"/>
                <w:sz w:val="20"/>
                <w:szCs w:val="20"/>
              </w:rPr>
              <w:t>Inter or Source Serif Pro</w:t>
            </w:r>
          </w:p>
        </w:tc>
        <w:tc>
          <w:tcPr>
            <w:tcW w:w="252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D5">
            <w:r>
              <w:rPr>
                <w:rFonts w:ascii="Arial" w:hAnsi="Arial" w:eastAsia="Arial" w:cs="Arial"/>
                <w:color w:val="2C3E50"/>
                <w:sz w:val="20"/>
                <w:szCs w:val="20"/>
              </w:rPr>
              <w:t>16–17px / Regular (400)</w:t>
            </w:r>
          </w:p>
        </w:tc>
        <w:tc>
          <w:tcPr>
            <w:tcW w:w="216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D6">
            <w:r>
              <w:rPr>
                <w:rFonts w:ascii="Arial" w:hAnsi="Arial" w:eastAsia="Arial" w:cs="Arial"/>
                <w:color w:val="2C3E50"/>
                <w:sz w:val="20"/>
                <w:szCs w:val="20"/>
              </w:rPr>
              <w:t>#2C3E50</w:t>
            </w:r>
          </w:p>
        </w:tc>
      </w:tr>
      <w:tr w14:paraId="000000D7">
        <w:tc>
          <w:tcPr>
            <w:tcW w:w="216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D8">
            <w:r>
              <w:rPr>
                <w:rFonts w:ascii="Arial" w:hAnsi="Arial" w:eastAsia="Arial" w:cs="Arial"/>
                <w:color w:val="2C3E50"/>
                <w:sz w:val="20"/>
                <w:szCs w:val="20"/>
              </w:rPr>
              <w:t>Table / Label Text</w:t>
            </w:r>
          </w:p>
        </w:tc>
        <w:tc>
          <w:tcPr>
            <w:tcW w:w="25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D9">
            <w:r>
              <w:rPr>
                <w:rFonts w:ascii="Arial" w:hAnsi="Arial" w:eastAsia="Arial" w:cs="Arial"/>
                <w:color w:val="2C3E50"/>
                <w:sz w:val="20"/>
                <w:szCs w:val="20"/>
              </w:rPr>
              <w:t>Inter</w:t>
            </w:r>
          </w:p>
        </w:tc>
        <w:tc>
          <w:tcPr>
            <w:tcW w:w="25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DA">
            <w:r>
              <w:rPr>
                <w:rFonts w:ascii="Arial" w:hAnsi="Arial" w:eastAsia="Arial" w:cs="Arial"/>
                <w:color w:val="2C3E50"/>
                <w:sz w:val="20"/>
                <w:szCs w:val="20"/>
              </w:rPr>
              <w:t>14–15px / Medium (500)</w:t>
            </w:r>
          </w:p>
        </w:tc>
        <w:tc>
          <w:tcPr>
            <w:tcW w:w="216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DB">
            <w:r>
              <w:rPr>
                <w:rFonts w:ascii="Arial" w:hAnsi="Arial" w:eastAsia="Arial" w:cs="Arial"/>
                <w:color w:val="2C3E50"/>
                <w:sz w:val="20"/>
                <w:szCs w:val="20"/>
              </w:rPr>
              <w:t>#2C3E50</w:t>
            </w:r>
          </w:p>
        </w:tc>
      </w:tr>
      <w:tr w14:paraId="000000DC">
        <w:tc>
          <w:tcPr>
            <w:tcW w:w="216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DD">
            <w:r>
              <w:rPr>
                <w:rFonts w:ascii="Arial" w:hAnsi="Arial" w:eastAsia="Arial" w:cs="Arial"/>
                <w:color w:val="2C3E50"/>
                <w:sz w:val="20"/>
                <w:szCs w:val="20"/>
              </w:rPr>
              <w:t>Navigation Links</w:t>
            </w:r>
          </w:p>
        </w:tc>
        <w:tc>
          <w:tcPr>
            <w:tcW w:w="252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DE">
            <w:r>
              <w:rPr>
                <w:rFonts w:ascii="Arial" w:hAnsi="Arial" w:eastAsia="Arial" w:cs="Arial"/>
                <w:color w:val="2C3E50"/>
                <w:sz w:val="20"/>
                <w:szCs w:val="20"/>
              </w:rPr>
              <w:t>Inter</w:t>
            </w:r>
          </w:p>
        </w:tc>
        <w:tc>
          <w:tcPr>
            <w:tcW w:w="252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DF">
            <w:r>
              <w:rPr>
                <w:rFonts w:ascii="Arial" w:hAnsi="Arial" w:eastAsia="Arial" w:cs="Arial"/>
                <w:color w:val="2C3E50"/>
                <w:sz w:val="20"/>
                <w:szCs w:val="20"/>
              </w:rPr>
              <w:t>15px / Medium (500)</w:t>
            </w:r>
          </w:p>
        </w:tc>
        <w:tc>
          <w:tcPr>
            <w:tcW w:w="216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E0">
            <w:r>
              <w:rPr>
                <w:rFonts w:ascii="Arial" w:hAnsi="Arial" w:eastAsia="Arial" w:cs="Arial"/>
                <w:color w:val="2C3E50"/>
                <w:sz w:val="20"/>
                <w:szCs w:val="20"/>
              </w:rPr>
              <w:t>#1B3A6B</w:t>
            </w:r>
          </w:p>
        </w:tc>
      </w:tr>
      <w:tr w14:paraId="000000E1">
        <w:tc>
          <w:tcPr>
            <w:tcW w:w="216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E2">
            <w:r>
              <w:rPr>
                <w:rFonts w:ascii="Arial" w:hAnsi="Arial" w:eastAsia="Arial" w:cs="Arial"/>
                <w:color w:val="2C3E50"/>
                <w:sz w:val="20"/>
                <w:szCs w:val="20"/>
              </w:rPr>
              <w:t>Button Text</w:t>
            </w:r>
          </w:p>
        </w:tc>
        <w:tc>
          <w:tcPr>
            <w:tcW w:w="25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E3">
            <w:r>
              <w:rPr>
                <w:rFonts w:ascii="Arial" w:hAnsi="Arial" w:eastAsia="Arial" w:cs="Arial"/>
                <w:color w:val="2C3E50"/>
                <w:sz w:val="20"/>
                <w:szCs w:val="20"/>
              </w:rPr>
              <w:t>Inter</w:t>
            </w:r>
          </w:p>
        </w:tc>
        <w:tc>
          <w:tcPr>
            <w:tcW w:w="25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E4">
            <w:r>
              <w:rPr>
                <w:rFonts w:ascii="Arial" w:hAnsi="Arial" w:eastAsia="Arial" w:cs="Arial"/>
                <w:color w:val="2C3E50"/>
                <w:sz w:val="20"/>
                <w:szCs w:val="20"/>
              </w:rPr>
              <w:t>15px / SemiBold (600)</w:t>
            </w:r>
          </w:p>
        </w:tc>
        <w:tc>
          <w:tcPr>
            <w:tcW w:w="216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E5">
            <w:r>
              <w:rPr>
                <w:rFonts w:ascii="Arial" w:hAnsi="Arial" w:eastAsia="Arial" w:cs="Arial"/>
                <w:color w:val="2C3E50"/>
                <w:sz w:val="20"/>
                <w:szCs w:val="20"/>
              </w:rPr>
              <w:t>White or Navy</w:t>
            </w:r>
          </w:p>
        </w:tc>
      </w:tr>
      <w:tr w14:paraId="000000E6">
        <w:tc>
          <w:tcPr>
            <w:tcW w:w="216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E7">
            <w:r>
              <w:rPr>
                <w:rFonts w:ascii="Arial" w:hAnsi="Arial" w:eastAsia="Arial" w:cs="Arial"/>
                <w:color w:val="2C3E50"/>
                <w:sz w:val="20"/>
                <w:szCs w:val="20"/>
              </w:rPr>
              <w:t>Footer Text</w:t>
            </w:r>
          </w:p>
        </w:tc>
        <w:tc>
          <w:tcPr>
            <w:tcW w:w="252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E8">
            <w:r>
              <w:rPr>
                <w:rFonts w:ascii="Arial" w:hAnsi="Arial" w:eastAsia="Arial" w:cs="Arial"/>
                <w:color w:val="2C3E50"/>
                <w:sz w:val="20"/>
                <w:szCs w:val="20"/>
              </w:rPr>
              <w:t>Inter</w:t>
            </w:r>
          </w:p>
        </w:tc>
        <w:tc>
          <w:tcPr>
            <w:tcW w:w="252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E9">
            <w:r>
              <w:rPr>
                <w:rFonts w:ascii="Arial" w:hAnsi="Arial" w:eastAsia="Arial" w:cs="Arial"/>
                <w:color w:val="2C3E50"/>
                <w:sz w:val="20"/>
                <w:szCs w:val="20"/>
              </w:rPr>
              <w:t>13–14px / Regular (400)</w:t>
            </w:r>
          </w:p>
        </w:tc>
        <w:tc>
          <w:tcPr>
            <w:tcW w:w="216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0EA">
            <w:r>
              <w:rPr>
                <w:rFonts w:ascii="Arial" w:hAnsi="Arial" w:eastAsia="Arial" w:cs="Arial"/>
                <w:color w:val="2C3E50"/>
                <w:sz w:val="20"/>
                <w:szCs w:val="20"/>
              </w:rPr>
              <w:t>#CCDDEE</w:t>
            </w:r>
          </w:p>
        </w:tc>
      </w:tr>
      <w:tr w14:paraId="000000EB">
        <w:tc>
          <w:tcPr>
            <w:tcW w:w="216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EC">
            <w:r>
              <w:rPr>
                <w:rFonts w:ascii="Arial" w:hAnsi="Arial" w:eastAsia="Arial" w:cs="Arial"/>
                <w:color w:val="2C3E50"/>
                <w:sz w:val="20"/>
                <w:szCs w:val="20"/>
              </w:rPr>
              <w:t>Disclaimer / Legal</w:t>
            </w:r>
          </w:p>
        </w:tc>
        <w:tc>
          <w:tcPr>
            <w:tcW w:w="25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ED">
            <w:r>
              <w:rPr>
                <w:rFonts w:ascii="Arial" w:hAnsi="Arial" w:eastAsia="Arial" w:cs="Arial"/>
                <w:color w:val="2C3E50"/>
                <w:sz w:val="20"/>
                <w:szCs w:val="20"/>
              </w:rPr>
              <w:t>Inter</w:t>
            </w:r>
          </w:p>
        </w:tc>
        <w:tc>
          <w:tcPr>
            <w:tcW w:w="25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EE">
            <w:r>
              <w:rPr>
                <w:rFonts w:ascii="Arial" w:hAnsi="Arial" w:eastAsia="Arial" w:cs="Arial"/>
                <w:color w:val="2C3E50"/>
                <w:sz w:val="20"/>
                <w:szCs w:val="20"/>
              </w:rPr>
              <w:t>12px / Regular (400)</w:t>
            </w:r>
          </w:p>
        </w:tc>
        <w:tc>
          <w:tcPr>
            <w:tcW w:w="216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0EF">
            <w:r>
              <w:rPr>
                <w:rFonts w:ascii="Arial" w:hAnsi="Arial" w:eastAsia="Arial" w:cs="Arial"/>
                <w:color w:val="2C3E50"/>
                <w:sz w:val="20"/>
                <w:szCs w:val="20"/>
              </w:rPr>
              <w:t>#888888</w:t>
            </w:r>
          </w:p>
        </w:tc>
      </w:tr>
    </w:tbl>
    <w:p w14:paraId="000000F0">
      <w:pPr>
        <w:spacing w:after="120" w:before="0"/>
      </w:pPr>
    </w:p>
    <w:p w14:paraId="000000F1">
      <w:pPr>
        <w:pStyle w:val="Heading2"/>
        <w:spacing w:after="160" w:before="320"/>
      </w:pPr>
      <w:r>
        <w:rPr>
          <w:rFonts w:ascii="Arial" w:hAnsi="Arial" w:eastAsia="Arial" w:cs="Arial"/>
          <w:b/>
          <w:bCs/>
          <w:color w:val="2E86C1"/>
          <w:sz w:val="28"/>
          <w:szCs w:val="28"/>
        </w:rPr>
        <w:t>3.3 Component Design Standards</w:t>
      </w:r>
    </w:p>
    <w:p w14:paraId="000000F2">
      <w:pPr>
        <w:spacing w:after="120" w:before="0"/>
      </w:pPr>
    </w:p>
    <w:p w14:paraId="000000F3">
      <w:pPr>
        <w:pStyle w:val="Heading3"/>
        <w:spacing w:after="120" w:before="240"/>
      </w:pPr>
      <w:r>
        <w:rPr>
          <w:rFonts w:ascii="Arial" w:hAnsi="Arial" w:eastAsia="Arial" w:cs="Arial"/>
          <w:b/>
          <w:bCs/>
          <w:color w:val="2C3E50"/>
          <w:sz w:val="24"/>
          <w:szCs w:val="24"/>
        </w:rPr>
        <w:t>Buttons</w:t>
      </w:r>
    </w:p>
    <w:p w14:paraId="000000F4">
      <w:pPr>
        <w:pStyle w:val="ListParagraph"/>
        <w:numPr>
          <w:ilvl w:val="0"/>
          <w:numId w:val="2"/>
        </w:numPr>
        <w:spacing w:after="60" w:before="60"/>
      </w:pPr>
      <w:r>
        <w:rPr>
          <w:rFonts w:ascii="Arial" w:hAnsi="Arial" w:eastAsia="Arial" w:cs="Arial"/>
          <w:color w:val="2C3E50"/>
          <w:sz w:val="22"/>
          <w:szCs w:val="22"/>
        </w:rPr>
        <w:t>Primary button: Navy background (#1B3A6B), white text, 8px border radius, 14px 28px padding, no shadow</w:t>
      </w:r>
    </w:p>
    <w:p w14:paraId="000000F5">
      <w:pPr>
        <w:pStyle w:val="ListParagraph"/>
        <w:numPr>
          <w:ilvl w:val="0"/>
          <w:numId w:val="2"/>
        </w:numPr>
        <w:spacing w:after="60" w:before="60"/>
      </w:pPr>
      <w:r>
        <w:rPr>
          <w:rFonts w:ascii="Arial" w:hAnsi="Arial" w:eastAsia="Arial" w:cs="Arial"/>
          <w:color w:val="2C3E50"/>
          <w:sz w:val="22"/>
          <w:szCs w:val="22"/>
        </w:rPr>
        <w:t>Secondary button: White background, navy border (2px), navy text, same radius and padding</w:t>
      </w:r>
    </w:p>
    <w:p w14:paraId="000000F6">
      <w:pPr>
        <w:pStyle w:val="ListParagraph"/>
        <w:numPr>
          <w:ilvl w:val="0"/>
          <w:numId w:val="2"/>
        </w:numPr>
        <w:spacing w:after="60" w:before="60"/>
      </w:pPr>
      <w:r>
        <w:rPr>
          <w:rFonts w:ascii="Arial" w:hAnsi="Arial" w:eastAsia="Arial" w:cs="Arial"/>
          <w:color w:val="2C3E50"/>
          <w:sz w:val="22"/>
          <w:szCs w:val="22"/>
        </w:rPr>
        <w:t>Hover state: Primary darkens 10%, secondary fills with light navy</w:t>
      </w:r>
    </w:p>
    <w:p w14:paraId="000000F7">
      <w:pPr>
        <w:pStyle w:val="ListParagraph"/>
        <w:numPr>
          <w:ilvl w:val="0"/>
          <w:numId w:val="2"/>
        </w:numPr>
        <w:spacing w:after="60" w:before="60"/>
      </w:pPr>
      <w:r>
        <w:rPr>
          <w:rFonts w:ascii="Arial" w:hAnsi="Arial" w:eastAsia="Arial" w:cs="Arial"/>
          <w:color w:val="2C3E50"/>
          <w:sz w:val="22"/>
          <w:szCs w:val="22"/>
        </w:rPr>
        <w:t>Never use more than 2 CTAs per section</w:t>
      </w:r>
    </w:p>
    <w:p w14:paraId="000000F8">
      <w:pPr>
        <w:spacing w:after="120" w:before="0"/>
      </w:pPr>
    </w:p>
    <w:p w14:paraId="000000F9">
      <w:pPr>
        <w:pStyle w:val="Heading3"/>
        <w:spacing w:after="120" w:before="240"/>
      </w:pPr>
      <w:r>
        <w:rPr>
          <w:rFonts w:ascii="Arial" w:hAnsi="Arial" w:eastAsia="Arial" w:cs="Arial"/>
          <w:b/>
          <w:bCs/>
          <w:color w:val="2C3E50"/>
          <w:sz w:val="24"/>
          <w:szCs w:val="24"/>
        </w:rPr>
        <w:t>Cards</w:t>
      </w:r>
    </w:p>
    <w:p w14:paraId="000000FA">
      <w:pPr>
        <w:pStyle w:val="ListParagraph"/>
        <w:numPr>
          <w:ilvl w:val="0"/>
          <w:numId w:val="2"/>
        </w:numPr>
        <w:spacing w:after="60" w:before="60"/>
      </w:pPr>
      <w:r>
        <w:rPr>
          <w:rFonts w:ascii="Arial" w:hAnsi="Arial" w:eastAsia="Arial" w:cs="Arial"/>
          <w:color w:val="2C3E50"/>
          <w:sz w:val="22"/>
          <w:szCs w:val="22"/>
        </w:rPr>
        <w:t>Background: White, 1px border (#D0D8E4), 12px border radius, 20px padding</w:t>
      </w:r>
    </w:p>
    <w:p w14:paraId="000000FB">
      <w:pPr>
        <w:pStyle w:val="ListParagraph"/>
        <w:numPr>
          <w:ilvl w:val="0"/>
          <w:numId w:val="2"/>
        </w:numPr>
        <w:spacing w:after="60" w:before="60"/>
      </w:pPr>
      <w:r>
        <w:rPr>
          <w:rFonts w:ascii="Arial" w:hAnsi="Arial" w:eastAsia="Arial" w:cs="Arial"/>
          <w:color w:val="2C3E50"/>
          <w:sz w:val="22"/>
          <w:szCs w:val="22"/>
        </w:rPr>
        <w:t>Hover state: Subtle box shadow — 0 4px 16px rgba(27, 58, 107, 0.10)</w:t>
      </w:r>
    </w:p>
    <w:p w14:paraId="000000FC">
      <w:pPr>
        <w:pStyle w:val="ListParagraph"/>
        <w:numPr>
          <w:ilvl w:val="0"/>
          <w:numId w:val="2"/>
        </w:numPr>
        <w:spacing w:after="60" w:before="60"/>
      </w:pPr>
      <w:r>
        <w:rPr>
          <w:rFonts w:ascii="Arial" w:hAnsi="Arial" w:eastAsia="Arial" w:cs="Arial"/>
          <w:color w:val="2C3E50"/>
          <w:sz w:val="22"/>
          <w:szCs w:val="22"/>
        </w:rPr>
        <w:t>Icon: 40x40px, accent blue, top of card</w:t>
      </w:r>
    </w:p>
    <w:p w14:paraId="000000FD">
      <w:pPr>
        <w:pStyle w:val="ListParagraph"/>
        <w:numPr>
          <w:ilvl w:val="0"/>
          <w:numId w:val="2"/>
        </w:numPr>
        <w:spacing w:after="60" w:before="60"/>
      </w:pPr>
      <w:r>
        <w:rPr>
          <w:rFonts w:ascii="Arial" w:hAnsi="Arial" w:eastAsia="Arial" w:cs="Arial"/>
          <w:color w:val="2C3E50"/>
          <w:sz w:val="22"/>
          <w:szCs w:val="22"/>
        </w:rPr>
        <w:t>Title: H3 style, followed by 2–3 line description, then CTA link or button</w:t>
      </w:r>
    </w:p>
    <w:p w14:paraId="000000FE">
      <w:pPr>
        <w:spacing w:after="120" w:before="0"/>
      </w:pPr>
    </w:p>
    <w:p w14:paraId="000000FF">
      <w:pPr>
        <w:pStyle w:val="Heading3"/>
        <w:spacing w:after="120" w:before="240"/>
      </w:pPr>
      <w:r>
        <w:rPr>
          <w:rFonts w:ascii="Arial" w:hAnsi="Arial" w:eastAsia="Arial" w:cs="Arial"/>
          <w:b/>
          <w:bCs/>
          <w:color w:val="2C3E50"/>
          <w:sz w:val="24"/>
          <w:szCs w:val="24"/>
        </w:rPr>
        <w:t>Navigation Bar</w:t>
      </w:r>
    </w:p>
    <w:p w14:paraId="00000100">
      <w:pPr>
        <w:pStyle w:val="ListParagraph"/>
        <w:numPr>
          <w:ilvl w:val="0"/>
          <w:numId w:val="2"/>
        </w:numPr>
        <w:spacing w:after="60" w:before="60"/>
      </w:pPr>
      <w:r>
        <w:rPr>
          <w:rFonts w:ascii="Arial" w:hAnsi="Arial" w:eastAsia="Arial" w:cs="Arial"/>
          <w:color w:val="2C3E50"/>
          <w:sz w:val="22"/>
          <w:szCs w:val="22"/>
        </w:rPr>
        <w:t>Sticky top navigation — stays fixed as user scrolls</w:t>
      </w:r>
    </w:p>
    <w:p w14:paraId="00000101">
      <w:pPr>
        <w:pStyle w:val="ListParagraph"/>
        <w:numPr>
          <w:ilvl w:val="0"/>
          <w:numId w:val="2"/>
        </w:numPr>
        <w:spacing w:after="60" w:before="60"/>
      </w:pPr>
      <w:r>
        <w:rPr>
          <w:rFonts w:ascii="Arial" w:hAnsi="Arial" w:eastAsia="Arial" w:cs="Arial"/>
          <w:color w:val="2C3E50"/>
          <w:sz w:val="22"/>
          <w:szCs w:val="22"/>
        </w:rPr>
        <w:t>Background: White with 1px navy bottom border</w:t>
      </w:r>
    </w:p>
    <w:p w14:paraId="00000102">
      <w:pPr>
        <w:pStyle w:val="ListParagraph"/>
        <w:numPr>
          <w:ilvl w:val="0"/>
          <w:numId w:val="2"/>
        </w:numPr>
        <w:spacing w:after="60" w:before="60"/>
      </w:pPr>
      <w:r>
        <w:rPr>
          <w:rFonts w:ascii="Arial" w:hAnsi="Arial" w:eastAsia="Arial" w:cs="Arial"/>
          <w:color w:val="2C3E50"/>
          <w:sz w:val="22"/>
          <w:szCs w:val="22"/>
        </w:rPr>
        <w:t>Left: Finovly logo (SVG)</w:t>
      </w:r>
    </w:p>
    <w:p w14:paraId="00000103">
      <w:pPr>
        <w:pStyle w:val="ListParagraph"/>
        <w:numPr>
          <w:ilvl w:val="0"/>
          <w:numId w:val="2"/>
        </w:numPr>
        <w:spacing w:after="60" w:before="60"/>
      </w:pPr>
      <w:r>
        <w:rPr>
          <w:rFonts w:ascii="Arial" w:hAnsi="Arial" w:eastAsia="Arial" w:cs="Arial"/>
          <w:color w:val="2C3E50"/>
          <w:sz w:val="22"/>
          <w:szCs w:val="22"/>
        </w:rPr>
        <w:t>Center: Nav links — Banking | Taxes | Send Money | Investing | Calculators | Visa Guides</w:t>
      </w:r>
    </w:p>
    <w:p w14:paraId="00000104">
      <w:pPr>
        <w:pStyle w:val="ListParagraph"/>
        <w:numPr>
          <w:ilvl w:val="0"/>
          <w:numId w:val="2"/>
        </w:numPr>
        <w:spacing w:after="60" w:before="60"/>
      </w:pPr>
      <w:r>
        <w:rPr>
          <w:rFonts w:ascii="Arial" w:hAnsi="Arial" w:eastAsia="Arial" w:cs="Arial"/>
          <w:color w:val="2C3E50"/>
          <w:sz w:val="22"/>
          <w:szCs w:val="22"/>
        </w:rPr>
        <w:t>Right: Single CTA button — "Free Calculators" in navy</w:t>
      </w:r>
    </w:p>
    <w:p w14:paraId="00000105">
      <w:pPr>
        <w:pStyle w:val="ListParagraph"/>
        <w:numPr>
          <w:ilvl w:val="0"/>
          <w:numId w:val="2"/>
        </w:numPr>
        <w:spacing w:after="60" w:before="60"/>
      </w:pPr>
      <w:r>
        <w:rPr>
          <w:rFonts w:ascii="Arial" w:hAnsi="Arial" w:eastAsia="Arial" w:cs="Arial"/>
          <w:color w:val="2C3E50"/>
          <w:sz w:val="22"/>
          <w:szCs w:val="22"/>
        </w:rPr>
        <w:t>Mobile: Hamburger menu, full-screen drawer, same links stacked vertically</w:t>
      </w:r>
    </w:p>
    <w:p w14:paraId="00000106">
      <w:pPr>
        <w:spacing w:after="120" w:before="0"/>
      </w:pPr>
    </w:p>
    <w:p w14:paraId="00000107">
      <w:pPr>
        <w:pStyle w:val="Heading3"/>
        <w:spacing w:after="120" w:before="240"/>
      </w:pPr>
      <w:r>
        <w:rPr>
          <w:rFonts w:ascii="Arial" w:hAnsi="Arial" w:eastAsia="Arial" w:cs="Arial"/>
          <w:b/>
          <w:bCs/>
          <w:color w:val="2C3E50"/>
          <w:sz w:val="24"/>
          <w:szCs w:val="24"/>
        </w:rPr>
        <w:t>Calculator Pages</w:t>
      </w:r>
    </w:p>
    <w:p w14:paraId="00000108">
      <w:pPr>
        <w:pStyle w:val="ListParagraph"/>
        <w:numPr>
          <w:ilvl w:val="0"/>
          <w:numId w:val="2"/>
        </w:numPr>
        <w:spacing w:after="60" w:before="60"/>
      </w:pPr>
      <w:r>
        <w:rPr>
          <w:rFonts w:ascii="Arial" w:hAnsi="Arial" w:eastAsia="Arial" w:cs="Arial"/>
          <w:color w:val="2C3E50"/>
          <w:sz w:val="22"/>
          <w:szCs w:val="22"/>
        </w:rPr>
        <w:t>Clean white background, max-width 800px centered</w:t>
      </w:r>
    </w:p>
    <w:p w14:paraId="00000109">
      <w:pPr>
        <w:pStyle w:val="ListParagraph"/>
        <w:numPr>
          <w:ilvl w:val="0"/>
          <w:numId w:val="2"/>
        </w:numPr>
        <w:spacing w:after="60" w:before="60"/>
      </w:pPr>
      <w:r>
        <w:rPr>
          <w:rFonts w:ascii="Arial" w:hAnsi="Arial" w:eastAsia="Arial" w:cs="Arial"/>
          <w:color w:val="2C3E50"/>
          <w:sz w:val="22"/>
          <w:szCs w:val="22"/>
        </w:rPr>
        <w:t>Input fields: Light gray background (#F5F7FA), 8px border radius, 1px border, 14px font</w:t>
      </w:r>
    </w:p>
    <w:p w14:paraId="0000010A">
      <w:pPr>
        <w:pStyle w:val="ListParagraph"/>
        <w:numPr>
          <w:ilvl w:val="0"/>
          <w:numId w:val="2"/>
        </w:numPr>
        <w:spacing w:after="60" w:before="60"/>
      </w:pPr>
      <w:r>
        <w:rPr>
          <w:rFonts w:ascii="Arial" w:hAnsi="Arial" w:eastAsia="Arial" w:cs="Arial"/>
          <w:color w:val="2C3E50"/>
          <w:sz w:val="22"/>
          <w:szCs w:val="22"/>
        </w:rPr>
        <w:t>Calculate button: Full-width on mobile, fixed width on desktop, navy fill</w:t>
      </w:r>
    </w:p>
    <w:p w14:paraId="0000010B">
      <w:pPr>
        <w:pStyle w:val="ListParagraph"/>
        <w:numPr>
          <w:ilvl w:val="0"/>
          <w:numId w:val="2"/>
        </w:numPr>
        <w:spacing w:after="60" w:before="60"/>
      </w:pPr>
      <w:r>
        <w:rPr>
          <w:rFonts w:ascii="Arial" w:hAnsi="Arial" w:eastAsia="Arial" w:cs="Arial"/>
          <w:color w:val="2C3E50"/>
          <w:sz w:val="22"/>
          <w:szCs w:val="22"/>
        </w:rPr>
        <w:t>Results area: Light blue (#E8EFF9) box below inputs, bold result figure, supporting explanation text</w:t>
      </w:r>
    </w:p>
    <w:p w14:paraId="0000010C">
      <w:pPr>
        <w:pStyle w:val="ListParagraph"/>
        <w:numPr>
          <w:ilvl w:val="0"/>
          <w:numId w:val="2"/>
        </w:numPr>
        <w:spacing w:after="60" w:before="60"/>
      </w:pPr>
      <w:r>
        <w:rPr>
          <w:rFonts w:ascii="Arial" w:hAnsi="Arial" w:eastAsia="Arial" w:cs="Arial"/>
          <w:color w:val="2C3E50"/>
          <w:sz w:val="22"/>
          <w:szCs w:val="22"/>
        </w:rPr>
        <w:t>Below calculator: Brief explanation of what the result means, then a comparison table or affiliate recommendation</w:t>
      </w:r>
    </w:p>
    <w:p w14:paraId="0000010D">
      <w:r>
        <w:br w:type="page"/>
      </w:r>
    </w:p>
    <w:p w14:paraId="0000010E">
      <w:pPr>
        <w:pStyle w:val="Heading1"/>
        <w:spacing w:after="200" w:before="400"/>
      </w:pPr>
      <w:r>
        <w:rPr>
          <w:rFonts w:ascii="Arial" w:hAnsi="Arial" w:eastAsia="Arial" w:cs="Arial"/>
          <w:b/>
          <w:bCs/>
          <w:color w:val="1B3A6B"/>
          <w:sz w:val="36"/>
          <w:szCs w:val="36"/>
        </w:rPr>
        <w:t>4. Content Implementation Plan</w:t>
      </w:r>
    </w:p>
    <w:p w14:paraId="0000010F">
      <w:pPr>
        <w:pBdr>
          <w:bottom w:val="single" w:color="D0D8E4" w:sz="4" w:space="1"/>
        </w:pBdr>
        <w:spacing w:after="200" w:before="200"/>
      </w:pPr>
    </w:p>
    <w:p w14:paraId="00000110">
      <w:pPr>
        <w:pStyle w:val="Heading2"/>
        <w:spacing w:after="160" w:before="320"/>
      </w:pPr>
      <w:r>
        <w:rPr>
          <w:rFonts w:ascii="Arial" w:hAnsi="Arial" w:eastAsia="Arial" w:cs="Arial"/>
          <w:b/>
          <w:bCs/>
          <w:color w:val="2E86C1"/>
          <w:sz w:val="28"/>
          <w:szCs w:val="28"/>
        </w:rPr>
        <w:t>4.1 Content Priority Order</w:t>
      </w:r>
    </w:p>
    <w:p w14:paraId="00000111">
      <w:pPr>
        <w:spacing w:after="120" w:before="80"/>
      </w:pPr>
      <w:r>
        <w:rPr>
          <w:rFonts w:ascii="Arial" w:hAnsi="Arial" w:eastAsia="Arial" w:cs="Arial"/>
          <w:color w:val="2C3E50"/>
          <w:sz w:val="22"/>
          <w:szCs w:val="22"/>
        </w:rPr>
        <w:t>The content team should build in this exact sequence. Pillar pages and calculators take priority because they attract the most organic traffic and backlinks.</w:t>
      </w:r>
    </w:p>
    <w:p w14:paraId="00000112">
      <w:pPr>
        <w:spacing w:after="120" w:before="0"/>
      </w:pPr>
    </w:p>
    <w:p w14:paraId="00000113">
      <w:pPr>
        <w:pStyle w:val="Heading3"/>
        <w:spacing w:after="120" w:before="240"/>
      </w:pPr>
      <w:r>
        <w:rPr>
          <w:rFonts w:ascii="Arial" w:hAnsi="Arial" w:eastAsia="Arial" w:cs="Arial"/>
          <w:b/>
          <w:bCs/>
          <w:color w:val="2C3E50"/>
          <w:sz w:val="24"/>
          <w:szCs w:val="24"/>
        </w:rPr>
        <w:t>Phase 1 — Foundation Content (Month 1–2)</w:t>
      </w:r>
    </w:p>
    <w:p w14:paraId="00000114">
      <w:pPr>
        <w:spacing w:after="120" w:before="80"/>
      </w:pPr>
      <w:r>
        <w:rPr>
          <w:rFonts w:ascii="Arial" w:hAnsi="Arial" w:eastAsia="Arial" w:cs="Arial"/>
          <w:color w:val="2C3E50"/>
          <w:sz w:val="22"/>
          <w:szCs w:val="22"/>
        </w:rPr>
        <w:t>Build these first. Nothing else should be published until these are live.</w:t>
      </w:r>
    </w:p>
    <w:p w14:paraId="00000115">
      <w:pPr>
        <w:spacing w:after="120" w:before="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880"/>
        <w:gridCol w:w="1440"/>
      </w:tblGrid>
      <w:tr w14:paraId="00000116">
        <w:tc>
          <w:tcPr>
            <w:tcW w:w="3600" w:type="dxa"/>
            <w:tcBorders>
              <w:top w:val="single" w:color="D0D8E4" w:sz="1"/>
              <w:left w:val="single" w:color="D0D8E4" w:sz="1"/>
              <w:bottom w:val="single" w:color="D0D8E4" w:sz="1"/>
              <w:right w:val="single" w:color="D0D8E4" w:sz="1"/>
            </w:tcBorders>
            <w:shd w:fill="1B3A6B" w:val="clear"/>
            <w:tcMar>
              <w:top w:w="80" w:type="dxa"/>
              <w:left w:w="120" w:type="dxa"/>
              <w:bottom w:w="80" w:type="dxa"/>
              <w:right w:w="120" w:type="dxa"/>
            </w:tcMar>
          </w:tcPr>
          <w:p w14:paraId="00000117">
            <w:r>
              <w:rPr>
                <w:rFonts w:ascii="Arial" w:hAnsi="Arial" w:eastAsia="Arial" w:cs="Arial"/>
                <w:b/>
                <w:bCs/>
                <w:color w:val="FFFFFF"/>
                <w:sz w:val="20"/>
                <w:szCs w:val="20"/>
              </w:rPr>
              <w:t>Content Piece</w:t>
            </w:r>
          </w:p>
        </w:tc>
        <w:tc>
          <w:tcPr>
            <w:tcW w:w="1440" w:type="dxa"/>
            <w:tcBorders>
              <w:top w:val="single" w:color="D0D8E4" w:sz="1"/>
              <w:left w:val="single" w:color="D0D8E4" w:sz="1"/>
              <w:bottom w:val="single" w:color="D0D8E4" w:sz="1"/>
              <w:right w:val="single" w:color="D0D8E4" w:sz="1"/>
            </w:tcBorders>
            <w:shd w:fill="1B3A6B" w:val="clear"/>
            <w:tcMar>
              <w:top w:w="80" w:type="dxa"/>
              <w:left w:w="120" w:type="dxa"/>
              <w:bottom w:w="80" w:type="dxa"/>
              <w:right w:w="120" w:type="dxa"/>
            </w:tcMar>
          </w:tcPr>
          <w:p w14:paraId="00000118">
            <w:r>
              <w:rPr>
                <w:rFonts w:ascii="Arial" w:hAnsi="Arial" w:eastAsia="Arial" w:cs="Arial"/>
                <w:b/>
                <w:bCs/>
                <w:color w:val="FFFFFF"/>
                <w:sz w:val="20"/>
                <w:szCs w:val="20"/>
              </w:rPr>
              <w:t>Type</w:t>
            </w:r>
          </w:p>
        </w:tc>
        <w:tc>
          <w:tcPr>
            <w:tcW w:w="2880" w:type="dxa"/>
            <w:tcBorders>
              <w:top w:val="single" w:color="D0D8E4" w:sz="1"/>
              <w:left w:val="single" w:color="D0D8E4" w:sz="1"/>
              <w:bottom w:val="single" w:color="D0D8E4" w:sz="1"/>
              <w:right w:val="single" w:color="D0D8E4" w:sz="1"/>
            </w:tcBorders>
            <w:shd w:fill="1B3A6B" w:val="clear"/>
            <w:tcMar>
              <w:top w:w="80" w:type="dxa"/>
              <w:left w:w="120" w:type="dxa"/>
              <w:bottom w:w="80" w:type="dxa"/>
              <w:right w:w="120" w:type="dxa"/>
            </w:tcMar>
          </w:tcPr>
          <w:p w14:paraId="00000119">
            <w:r>
              <w:rPr>
                <w:rFonts w:ascii="Arial" w:hAnsi="Arial" w:eastAsia="Arial" w:cs="Arial"/>
                <w:b/>
                <w:bCs/>
                <w:color w:val="FFFFFF"/>
                <w:sz w:val="20"/>
                <w:szCs w:val="20"/>
              </w:rPr>
              <w:t>Target Keyword</w:t>
            </w:r>
          </w:p>
        </w:tc>
        <w:tc>
          <w:tcPr>
            <w:tcW w:w="1440" w:type="dxa"/>
            <w:tcBorders>
              <w:top w:val="single" w:color="D0D8E4" w:sz="1"/>
              <w:left w:val="single" w:color="D0D8E4" w:sz="1"/>
              <w:bottom w:val="single" w:color="D0D8E4" w:sz="1"/>
              <w:right w:val="single" w:color="D0D8E4" w:sz="1"/>
            </w:tcBorders>
            <w:shd w:fill="1B3A6B" w:val="clear"/>
            <w:tcMar>
              <w:top w:w="80" w:type="dxa"/>
              <w:left w:w="120" w:type="dxa"/>
              <w:bottom w:w="80" w:type="dxa"/>
              <w:right w:w="120" w:type="dxa"/>
            </w:tcMar>
          </w:tcPr>
          <w:p w14:paraId="0000011A">
            <w:r>
              <w:rPr>
                <w:rFonts w:ascii="Arial" w:hAnsi="Arial" w:eastAsia="Arial" w:cs="Arial"/>
                <w:b/>
                <w:bCs/>
                <w:color w:val="FFFFFF"/>
                <w:sz w:val="20"/>
                <w:szCs w:val="20"/>
              </w:rPr>
              <w:t>Word Count</w:t>
            </w:r>
          </w:p>
        </w:tc>
      </w:tr>
      <w:tr w14:paraId="0000011B">
        <w:tc>
          <w:tcPr>
            <w:tcW w:w="360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1C">
            <w:r>
              <w:rPr>
                <w:rFonts w:ascii="Arial" w:hAnsi="Arial" w:eastAsia="Arial" w:cs="Arial"/>
                <w:color w:val="2C3E50"/>
                <w:sz w:val="20"/>
                <w:szCs w:val="20"/>
              </w:rPr>
              <w:t>Complete Financial Guide for H1B Visa Holders</w:t>
            </w:r>
          </w:p>
        </w:tc>
        <w:tc>
          <w:tcPr>
            <w:tcW w:w="144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1D">
            <w:r>
              <w:rPr>
                <w:rFonts w:ascii="Arial" w:hAnsi="Arial" w:eastAsia="Arial" w:cs="Arial"/>
                <w:color w:val="2C3E50"/>
                <w:sz w:val="20"/>
                <w:szCs w:val="20"/>
              </w:rPr>
              <w:t>Pillar Page</w:t>
            </w:r>
          </w:p>
        </w:tc>
        <w:tc>
          <w:tcPr>
            <w:tcW w:w="288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1E">
            <w:r>
              <w:rPr>
                <w:rFonts w:ascii="Arial" w:hAnsi="Arial" w:eastAsia="Arial" w:cs="Arial"/>
                <w:color w:val="2C3E50"/>
                <w:sz w:val="20"/>
                <w:szCs w:val="20"/>
              </w:rPr>
              <w:t>H1B visa financial guide</w:t>
            </w:r>
          </w:p>
        </w:tc>
        <w:tc>
          <w:tcPr>
            <w:tcW w:w="144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1F">
            <w:r>
              <w:rPr>
                <w:rFonts w:ascii="Arial" w:hAnsi="Arial" w:eastAsia="Arial" w:cs="Arial"/>
                <w:color w:val="2C3E50"/>
                <w:sz w:val="20"/>
                <w:szCs w:val="20"/>
              </w:rPr>
              <w:t>3,500–4,500</w:t>
            </w:r>
          </w:p>
        </w:tc>
      </w:tr>
      <w:tr w14:paraId="00000120">
        <w:tc>
          <w:tcPr>
            <w:tcW w:w="360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21">
            <w:r>
              <w:rPr>
                <w:rFonts w:ascii="Arial" w:hAnsi="Arial" w:eastAsia="Arial" w:cs="Arial"/>
                <w:color w:val="2C3E50"/>
                <w:sz w:val="20"/>
                <w:szCs w:val="20"/>
              </w:rPr>
              <w:t>Complete Financial Guide for F1 International Students</w:t>
            </w:r>
          </w:p>
        </w:tc>
        <w:tc>
          <w:tcPr>
            <w:tcW w:w="144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22">
            <w:r>
              <w:rPr>
                <w:rFonts w:ascii="Arial" w:hAnsi="Arial" w:eastAsia="Arial" w:cs="Arial"/>
                <w:color w:val="2C3E50"/>
                <w:sz w:val="20"/>
                <w:szCs w:val="20"/>
              </w:rPr>
              <w:t>Pillar Page</w:t>
            </w:r>
          </w:p>
        </w:tc>
        <w:tc>
          <w:tcPr>
            <w:tcW w:w="288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23">
            <w:r>
              <w:rPr>
                <w:rFonts w:ascii="Arial" w:hAnsi="Arial" w:eastAsia="Arial" w:cs="Arial"/>
                <w:color w:val="2C3E50"/>
                <w:sz w:val="20"/>
                <w:szCs w:val="20"/>
              </w:rPr>
              <w:t>F1 student financial guide USA</w:t>
            </w:r>
          </w:p>
        </w:tc>
        <w:tc>
          <w:tcPr>
            <w:tcW w:w="144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24">
            <w:r>
              <w:rPr>
                <w:rFonts w:ascii="Arial" w:hAnsi="Arial" w:eastAsia="Arial" w:cs="Arial"/>
                <w:color w:val="2C3E50"/>
                <w:sz w:val="20"/>
                <w:szCs w:val="20"/>
              </w:rPr>
              <w:t>3,000–4,000</w:t>
            </w:r>
          </w:p>
        </w:tc>
      </w:tr>
      <w:tr w14:paraId="00000125">
        <w:tc>
          <w:tcPr>
            <w:tcW w:w="360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26">
            <w:r>
              <w:rPr>
                <w:rFonts w:ascii="Arial" w:hAnsi="Arial" w:eastAsia="Arial" w:cs="Arial"/>
                <w:color w:val="2C3E50"/>
                <w:sz w:val="20"/>
                <w:szCs w:val="20"/>
              </w:rPr>
              <w:t>How to Build Credit in USA as an Immigrant</w:t>
            </w:r>
          </w:p>
        </w:tc>
        <w:tc>
          <w:tcPr>
            <w:tcW w:w="144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27">
            <w:r>
              <w:rPr>
                <w:rFonts w:ascii="Arial" w:hAnsi="Arial" w:eastAsia="Arial" w:cs="Arial"/>
                <w:color w:val="2C3E50"/>
                <w:sz w:val="20"/>
                <w:szCs w:val="20"/>
              </w:rPr>
              <w:t>Pillar Page</w:t>
            </w:r>
          </w:p>
        </w:tc>
        <w:tc>
          <w:tcPr>
            <w:tcW w:w="288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28">
            <w:r>
              <w:rPr>
                <w:rFonts w:ascii="Arial" w:hAnsi="Arial" w:eastAsia="Arial" w:cs="Arial"/>
                <w:color w:val="2C3E50"/>
                <w:sz w:val="20"/>
                <w:szCs w:val="20"/>
              </w:rPr>
              <w:t>build credit USA immigrant</w:t>
            </w:r>
          </w:p>
        </w:tc>
        <w:tc>
          <w:tcPr>
            <w:tcW w:w="144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29">
            <w:r>
              <w:rPr>
                <w:rFonts w:ascii="Arial" w:hAnsi="Arial" w:eastAsia="Arial" w:cs="Arial"/>
                <w:color w:val="2C3E50"/>
                <w:sz w:val="20"/>
                <w:szCs w:val="20"/>
              </w:rPr>
              <w:t>2,500–3,500</w:t>
            </w:r>
          </w:p>
        </w:tc>
      </w:tr>
      <w:tr w14:paraId="0000012A">
        <w:tc>
          <w:tcPr>
            <w:tcW w:w="360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2B">
            <w:r>
              <w:rPr>
                <w:rFonts w:ascii="Arial" w:hAnsi="Arial" w:eastAsia="Arial" w:cs="Arial"/>
                <w:color w:val="2C3E50"/>
                <w:sz w:val="20"/>
                <w:szCs w:val="20"/>
              </w:rPr>
              <w:t>Remittance Fee Calculator</w:t>
            </w:r>
          </w:p>
        </w:tc>
        <w:tc>
          <w:tcPr>
            <w:tcW w:w="144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2C">
            <w:r>
              <w:rPr>
                <w:rFonts w:ascii="Arial" w:hAnsi="Arial" w:eastAsia="Arial" w:cs="Arial"/>
                <w:color w:val="2C3E50"/>
                <w:sz w:val="20"/>
                <w:szCs w:val="20"/>
              </w:rPr>
              <w:t>Calculator Tool</w:t>
            </w:r>
          </w:p>
        </w:tc>
        <w:tc>
          <w:tcPr>
            <w:tcW w:w="288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2D">
            <w:r>
              <w:rPr>
                <w:rFonts w:ascii="Arial" w:hAnsi="Arial" w:eastAsia="Arial" w:cs="Arial"/>
                <w:color w:val="2C3E50"/>
                <w:sz w:val="20"/>
                <w:szCs w:val="20"/>
              </w:rPr>
              <w:t>remittance fee calculator</w:t>
            </w:r>
          </w:p>
        </w:tc>
        <w:tc>
          <w:tcPr>
            <w:tcW w:w="144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2E">
            <w:r>
              <w:rPr>
                <w:rFonts w:ascii="Arial" w:hAnsi="Arial" w:eastAsia="Arial" w:cs="Arial"/>
                <w:color w:val="2C3E50"/>
                <w:sz w:val="20"/>
                <w:szCs w:val="20"/>
              </w:rPr>
              <w:t>Tool + 800w guide</w:t>
            </w:r>
          </w:p>
        </w:tc>
      </w:tr>
      <w:tr w14:paraId="0000012F">
        <w:tc>
          <w:tcPr>
            <w:tcW w:w="360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30">
            <w:r>
              <w:rPr>
                <w:rFonts w:ascii="Arial" w:hAnsi="Arial" w:eastAsia="Arial" w:cs="Arial"/>
                <w:color w:val="2C3E50"/>
                <w:sz w:val="20"/>
                <w:szCs w:val="20"/>
              </w:rPr>
              <w:t>H1B Tax Estimator Calculator</w:t>
            </w:r>
          </w:p>
        </w:tc>
        <w:tc>
          <w:tcPr>
            <w:tcW w:w="144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31">
            <w:r>
              <w:rPr>
                <w:rFonts w:ascii="Arial" w:hAnsi="Arial" w:eastAsia="Arial" w:cs="Arial"/>
                <w:color w:val="2C3E50"/>
                <w:sz w:val="20"/>
                <w:szCs w:val="20"/>
              </w:rPr>
              <w:t>Calculator Tool</w:t>
            </w:r>
          </w:p>
        </w:tc>
        <w:tc>
          <w:tcPr>
            <w:tcW w:w="288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32">
            <w:r>
              <w:rPr>
                <w:rFonts w:ascii="Arial" w:hAnsi="Arial" w:eastAsia="Arial" w:cs="Arial"/>
                <w:color w:val="2C3E50"/>
                <w:sz w:val="20"/>
                <w:szCs w:val="20"/>
              </w:rPr>
              <w:t>H1B tax calculator</w:t>
            </w:r>
          </w:p>
        </w:tc>
        <w:tc>
          <w:tcPr>
            <w:tcW w:w="144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33">
            <w:r>
              <w:rPr>
                <w:rFonts w:ascii="Arial" w:hAnsi="Arial" w:eastAsia="Arial" w:cs="Arial"/>
                <w:color w:val="2C3E50"/>
                <w:sz w:val="20"/>
                <w:szCs w:val="20"/>
              </w:rPr>
              <w:t>Tool + 800w guide</w:t>
            </w:r>
          </w:p>
        </w:tc>
      </w:tr>
      <w:tr w14:paraId="00000134">
        <w:tc>
          <w:tcPr>
            <w:tcW w:w="360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35">
            <w:r>
              <w:rPr>
                <w:rFonts w:ascii="Arial" w:hAnsi="Arial" w:eastAsia="Arial" w:cs="Arial"/>
                <w:color w:val="2C3E50"/>
                <w:sz w:val="20"/>
                <w:szCs w:val="20"/>
              </w:rPr>
              <w:t>Substantial Presence Test Calculator</w:t>
            </w:r>
          </w:p>
        </w:tc>
        <w:tc>
          <w:tcPr>
            <w:tcW w:w="144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36">
            <w:r>
              <w:rPr>
                <w:rFonts w:ascii="Arial" w:hAnsi="Arial" w:eastAsia="Arial" w:cs="Arial"/>
                <w:color w:val="2C3E50"/>
                <w:sz w:val="20"/>
                <w:szCs w:val="20"/>
              </w:rPr>
              <w:t>Calculator Tool</w:t>
            </w:r>
          </w:p>
        </w:tc>
        <w:tc>
          <w:tcPr>
            <w:tcW w:w="288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37">
            <w:r>
              <w:rPr>
                <w:rFonts w:ascii="Arial" w:hAnsi="Arial" w:eastAsia="Arial" w:cs="Arial"/>
                <w:color w:val="2C3E50"/>
                <w:sz w:val="20"/>
                <w:szCs w:val="20"/>
              </w:rPr>
              <w:t>substantial presence test calculator</w:t>
            </w:r>
          </w:p>
        </w:tc>
        <w:tc>
          <w:tcPr>
            <w:tcW w:w="144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38">
            <w:r>
              <w:rPr>
                <w:rFonts w:ascii="Arial" w:hAnsi="Arial" w:eastAsia="Arial" w:cs="Arial"/>
                <w:color w:val="2C3E50"/>
                <w:sz w:val="20"/>
                <w:szCs w:val="20"/>
              </w:rPr>
              <w:t>Tool + 600w guide</w:t>
            </w:r>
          </w:p>
        </w:tc>
      </w:tr>
    </w:tbl>
    <w:p w14:paraId="00000139">
      <w:pPr>
        <w:spacing w:after="120" w:before="0"/>
      </w:pPr>
    </w:p>
    <w:p w14:paraId="0000013A">
      <w:pPr>
        <w:pStyle w:val="Heading3"/>
        <w:spacing w:after="120" w:before="240"/>
      </w:pPr>
      <w:r>
        <w:rPr>
          <w:rFonts w:ascii="Arial" w:hAnsi="Arial" w:eastAsia="Arial" w:cs="Arial"/>
          <w:b/>
          <w:bCs/>
          <w:color w:val="2C3E50"/>
          <w:sz w:val="24"/>
          <w:szCs w:val="24"/>
        </w:rPr>
        <w:t>Phase 2 — Cluster Content (Month 2–3)</w:t>
      </w:r>
    </w:p>
    <w:p w14:paraId="0000013B">
      <w:pPr>
        <w:spacing w:after="120" w:before="80"/>
      </w:pPr>
      <w:r>
        <w:rPr>
          <w:rFonts w:ascii="Arial" w:hAnsi="Arial" w:eastAsia="Arial" w:cs="Arial"/>
          <w:color w:val="2C3E50"/>
          <w:sz w:val="22"/>
          <w:szCs w:val="22"/>
        </w:rPr>
        <w:t>These supporting posts link back to pillar pages and target long-tail keywords.</w:t>
      </w:r>
    </w:p>
    <w:p w14:paraId="0000013C">
      <w:pPr>
        <w:spacing w:after="120" w:before="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3120"/>
        <w:gridCol w:w="2640"/>
      </w:tblGrid>
      <w:tr w14:paraId="0000013D">
        <w:tc>
          <w:tcPr>
            <w:tcW w:w="3600" w:type="dxa"/>
            <w:tcBorders>
              <w:top w:val="single" w:color="D0D8E4" w:sz="1"/>
              <w:left w:val="single" w:color="D0D8E4" w:sz="1"/>
              <w:bottom w:val="single" w:color="D0D8E4" w:sz="1"/>
              <w:right w:val="single" w:color="D0D8E4" w:sz="1"/>
            </w:tcBorders>
            <w:shd w:fill="1B3A6B" w:val="clear"/>
            <w:tcMar>
              <w:top w:w="80" w:type="dxa"/>
              <w:left w:w="120" w:type="dxa"/>
              <w:bottom w:w="80" w:type="dxa"/>
              <w:right w:w="120" w:type="dxa"/>
            </w:tcMar>
          </w:tcPr>
          <w:p w14:paraId="0000013E">
            <w:r>
              <w:rPr>
                <w:rFonts w:ascii="Arial" w:hAnsi="Arial" w:eastAsia="Arial" w:cs="Arial"/>
                <w:b/>
                <w:bCs/>
                <w:color w:val="FFFFFF"/>
                <w:sz w:val="20"/>
                <w:szCs w:val="20"/>
              </w:rPr>
              <w:t>Article Title</w:t>
            </w:r>
          </w:p>
        </w:tc>
        <w:tc>
          <w:tcPr>
            <w:tcW w:w="3120" w:type="dxa"/>
            <w:tcBorders>
              <w:top w:val="single" w:color="D0D8E4" w:sz="1"/>
              <w:left w:val="single" w:color="D0D8E4" w:sz="1"/>
              <w:bottom w:val="single" w:color="D0D8E4" w:sz="1"/>
              <w:right w:val="single" w:color="D0D8E4" w:sz="1"/>
            </w:tcBorders>
            <w:shd w:fill="1B3A6B" w:val="clear"/>
            <w:tcMar>
              <w:top w:w="80" w:type="dxa"/>
              <w:left w:w="120" w:type="dxa"/>
              <w:bottom w:w="80" w:type="dxa"/>
              <w:right w:w="120" w:type="dxa"/>
            </w:tcMar>
          </w:tcPr>
          <w:p w14:paraId="0000013F">
            <w:r>
              <w:rPr>
                <w:rFonts w:ascii="Arial" w:hAnsi="Arial" w:eastAsia="Arial" w:cs="Arial"/>
                <w:b/>
                <w:bCs/>
                <w:color w:val="FFFFFF"/>
                <w:sz w:val="20"/>
                <w:szCs w:val="20"/>
              </w:rPr>
              <w:t>Target Keyword</w:t>
            </w:r>
          </w:p>
        </w:tc>
        <w:tc>
          <w:tcPr>
            <w:tcW w:w="2640" w:type="dxa"/>
            <w:tcBorders>
              <w:top w:val="single" w:color="D0D8E4" w:sz="1"/>
              <w:left w:val="single" w:color="D0D8E4" w:sz="1"/>
              <w:bottom w:val="single" w:color="D0D8E4" w:sz="1"/>
              <w:right w:val="single" w:color="D0D8E4" w:sz="1"/>
            </w:tcBorders>
            <w:shd w:fill="1B3A6B" w:val="clear"/>
            <w:tcMar>
              <w:top w:w="80" w:type="dxa"/>
              <w:left w:w="120" w:type="dxa"/>
              <w:bottom w:w="80" w:type="dxa"/>
              <w:right w:w="120" w:type="dxa"/>
            </w:tcMar>
          </w:tcPr>
          <w:p w14:paraId="00000140">
            <w:r>
              <w:rPr>
                <w:rFonts w:ascii="Arial" w:hAnsi="Arial" w:eastAsia="Arial" w:cs="Arial"/>
                <w:b/>
                <w:bCs/>
                <w:color w:val="FFFFFF"/>
                <w:sz w:val="20"/>
                <w:szCs w:val="20"/>
              </w:rPr>
              <w:t>Links To</w:t>
            </w:r>
          </w:p>
        </w:tc>
      </w:tr>
      <w:tr w14:paraId="00000141">
        <w:tc>
          <w:tcPr>
            <w:tcW w:w="360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42">
            <w:r>
              <w:rPr>
                <w:rFonts w:ascii="Arial" w:hAnsi="Arial" w:eastAsia="Arial" w:cs="Arial"/>
                <w:color w:val="2C3E50"/>
                <w:sz w:val="20"/>
                <w:szCs w:val="20"/>
              </w:rPr>
              <w:t>ITIN vs SSN — What is the Difference?</w:t>
            </w:r>
          </w:p>
        </w:tc>
        <w:tc>
          <w:tcPr>
            <w:tcW w:w="31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43">
            <w:r>
              <w:rPr>
                <w:rFonts w:ascii="Arial" w:hAnsi="Arial" w:eastAsia="Arial" w:cs="Arial"/>
                <w:color w:val="2C3E50"/>
                <w:sz w:val="20"/>
                <w:szCs w:val="20"/>
              </w:rPr>
              <w:t>ITIN vs SSN difference</w:t>
            </w:r>
          </w:p>
        </w:tc>
        <w:tc>
          <w:tcPr>
            <w:tcW w:w="264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44">
            <w:r>
              <w:rPr>
                <w:rFonts w:ascii="Arial" w:hAnsi="Arial" w:eastAsia="Arial" w:cs="Arial"/>
                <w:color w:val="2C3E50"/>
                <w:sz w:val="20"/>
                <w:szCs w:val="20"/>
              </w:rPr>
              <w:t>H1B Pillar Page</w:t>
            </w:r>
          </w:p>
        </w:tc>
      </w:tr>
      <w:tr w14:paraId="00000145">
        <w:tc>
          <w:tcPr>
            <w:tcW w:w="360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46">
            <w:r>
              <w:rPr>
                <w:rFonts w:ascii="Arial" w:hAnsi="Arial" w:eastAsia="Arial" w:cs="Arial"/>
                <w:color w:val="2C3E50"/>
                <w:sz w:val="20"/>
                <w:szCs w:val="20"/>
              </w:rPr>
              <w:t>Can H1B Holders Invest in US Stocks?</w:t>
            </w:r>
          </w:p>
        </w:tc>
        <w:tc>
          <w:tcPr>
            <w:tcW w:w="312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47">
            <w:r>
              <w:rPr>
                <w:rFonts w:ascii="Arial" w:hAnsi="Arial" w:eastAsia="Arial" w:cs="Arial"/>
                <w:color w:val="2C3E50"/>
                <w:sz w:val="20"/>
                <w:szCs w:val="20"/>
              </w:rPr>
              <w:t>can H1B holder invest in stocks</w:t>
            </w:r>
          </w:p>
        </w:tc>
        <w:tc>
          <w:tcPr>
            <w:tcW w:w="264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48">
            <w:r>
              <w:rPr>
                <w:rFonts w:ascii="Arial" w:hAnsi="Arial" w:eastAsia="Arial" w:cs="Arial"/>
                <w:color w:val="2C3E50"/>
                <w:sz w:val="20"/>
                <w:szCs w:val="20"/>
              </w:rPr>
              <w:t>Investing Section</w:t>
            </w:r>
          </w:p>
        </w:tc>
      </w:tr>
      <w:tr w14:paraId="00000149">
        <w:tc>
          <w:tcPr>
            <w:tcW w:w="360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4A">
            <w:r>
              <w:rPr>
                <w:rFonts w:ascii="Arial" w:hAnsi="Arial" w:eastAsia="Arial" w:cs="Arial"/>
                <w:color w:val="2C3E50"/>
                <w:sz w:val="20"/>
                <w:szCs w:val="20"/>
              </w:rPr>
              <w:t>Best Bank Accounts for Immigrants with No Credit History</w:t>
            </w:r>
          </w:p>
        </w:tc>
        <w:tc>
          <w:tcPr>
            <w:tcW w:w="31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4B">
            <w:r>
              <w:rPr>
                <w:rFonts w:ascii="Arial" w:hAnsi="Arial" w:eastAsia="Arial" w:cs="Arial"/>
                <w:color w:val="2C3E50"/>
                <w:sz w:val="20"/>
                <w:szCs w:val="20"/>
              </w:rPr>
              <w:t>best bank for immigrants USA</w:t>
            </w:r>
          </w:p>
        </w:tc>
        <w:tc>
          <w:tcPr>
            <w:tcW w:w="264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4C">
            <w:r>
              <w:rPr>
                <w:rFonts w:ascii="Arial" w:hAnsi="Arial" w:eastAsia="Arial" w:cs="Arial"/>
                <w:color w:val="2C3E50"/>
                <w:sz w:val="20"/>
                <w:szCs w:val="20"/>
              </w:rPr>
              <w:t>Banking Section</w:t>
            </w:r>
          </w:p>
        </w:tc>
      </w:tr>
      <w:tr w14:paraId="0000014D">
        <w:tc>
          <w:tcPr>
            <w:tcW w:w="360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4E">
            <w:r>
              <w:rPr>
                <w:rFonts w:ascii="Arial" w:hAnsi="Arial" w:eastAsia="Arial" w:cs="Arial"/>
                <w:color w:val="2C3E50"/>
                <w:sz w:val="20"/>
                <w:szCs w:val="20"/>
              </w:rPr>
              <w:t>Wise vs Remitly vs Western Union — Full Comparison 2025</w:t>
            </w:r>
          </w:p>
        </w:tc>
        <w:tc>
          <w:tcPr>
            <w:tcW w:w="312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4F">
            <w:r>
              <w:rPr>
                <w:rFonts w:ascii="Arial" w:hAnsi="Arial" w:eastAsia="Arial" w:cs="Arial"/>
                <w:color w:val="2C3E50"/>
                <w:sz w:val="20"/>
                <w:szCs w:val="20"/>
              </w:rPr>
              <w:t>Wise vs Remitly comparison</w:t>
            </w:r>
          </w:p>
        </w:tc>
        <w:tc>
          <w:tcPr>
            <w:tcW w:w="264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50">
            <w:r>
              <w:rPr>
                <w:rFonts w:ascii="Arial" w:hAnsi="Arial" w:eastAsia="Arial" w:cs="Arial"/>
                <w:color w:val="2C3E50"/>
                <w:sz w:val="20"/>
                <w:szCs w:val="20"/>
              </w:rPr>
              <w:t>Send Money Section</w:t>
            </w:r>
          </w:p>
        </w:tc>
      </w:tr>
      <w:tr w14:paraId="00000151">
        <w:tc>
          <w:tcPr>
            <w:tcW w:w="360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52">
            <w:r>
              <w:rPr>
                <w:rFonts w:ascii="Arial" w:hAnsi="Arial" w:eastAsia="Arial" w:cs="Arial"/>
                <w:color w:val="2C3E50"/>
                <w:sz w:val="20"/>
                <w:szCs w:val="20"/>
              </w:rPr>
              <w:t>What Happens to Your 401k If You Leave the USA?</w:t>
            </w:r>
          </w:p>
        </w:tc>
        <w:tc>
          <w:tcPr>
            <w:tcW w:w="31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53">
            <w:r>
              <w:rPr>
                <w:rFonts w:ascii="Arial" w:hAnsi="Arial" w:eastAsia="Arial" w:cs="Arial"/>
                <w:color w:val="2C3E50"/>
                <w:sz w:val="20"/>
                <w:szCs w:val="20"/>
              </w:rPr>
              <w:t>what happens to 401k if deported</w:t>
            </w:r>
          </w:p>
        </w:tc>
        <w:tc>
          <w:tcPr>
            <w:tcW w:w="264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54">
            <w:r>
              <w:rPr>
                <w:rFonts w:ascii="Arial" w:hAnsi="Arial" w:eastAsia="Arial" w:cs="Arial"/>
                <w:color w:val="2C3E50"/>
                <w:sz w:val="20"/>
                <w:szCs w:val="20"/>
              </w:rPr>
              <w:t>Investing Section</w:t>
            </w:r>
          </w:p>
        </w:tc>
      </w:tr>
      <w:tr w14:paraId="00000155">
        <w:tc>
          <w:tcPr>
            <w:tcW w:w="360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56">
            <w:r>
              <w:rPr>
                <w:rFonts w:ascii="Arial" w:hAnsi="Arial" w:eastAsia="Arial" w:cs="Arial"/>
                <w:color w:val="2C3E50"/>
                <w:sz w:val="20"/>
                <w:szCs w:val="20"/>
              </w:rPr>
              <w:t>Can F1 Students Open a Roth IRA?</w:t>
            </w:r>
          </w:p>
        </w:tc>
        <w:tc>
          <w:tcPr>
            <w:tcW w:w="312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57">
            <w:r>
              <w:rPr>
                <w:rFonts w:ascii="Arial" w:hAnsi="Arial" w:eastAsia="Arial" w:cs="Arial"/>
                <w:color w:val="2C3E50"/>
                <w:sz w:val="20"/>
                <w:szCs w:val="20"/>
              </w:rPr>
              <w:t>can F1 student open Roth IRA</w:t>
            </w:r>
          </w:p>
        </w:tc>
        <w:tc>
          <w:tcPr>
            <w:tcW w:w="264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58">
            <w:r>
              <w:rPr>
                <w:rFonts w:ascii="Arial" w:hAnsi="Arial" w:eastAsia="Arial" w:cs="Arial"/>
                <w:color w:val="2C3E50"/>
                <w:sz w:val="20"/>
                <w:szCs w:val="20"/>
              </w:rPr>
              <w:t>F1 Pillar Page</w:t>
            </w:r>
          </w:p>
        </w:tc>
      </w:tr>
      <w:tr w14:paraId="00000159">
        <w:tc>
          <w:tcPr>
            <w:tcW w:w="360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5A">
            <w:r>
              <w:rPr>
                <w:rFonts w:ascii="Arial" w:hAnsi="Arial" w:eastAsia="Arial" w:cs="Arial"/>
                <w:color w:val="2C3E50"/>
                <w:sz w:val="20"/>
                <w:szCs w:val="20"/>
              </w:rPr>
              <w:t>How to File Taxes as a Non-Resident Alien</w:t>
            </w:r>
          </w:p>
        </w:tc>
        <w:tc>
          <w:tcPr>
            <w:tcW w:w="31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5B">
            <w:r>
              <w:rPr>
                <w:rFonts w:ascii="Arial" w:hAnsi="Arial" w:eastAsia="Arial" w:cs="Arial"/>
                <w:color w:val="2C3E50"/>
                <w:sz w:val="20"/>
                <w:szCs w:val="20"/>
              </w:rPr>
              <w:t>non resident alien tax filing USA</w:t>
            </w:r>
          </w:p>
        </w:tc>
        <w:tc>
          <w:tcPr>
            <w:tcW w:w="264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5C">
            <w:r>
              <w:rPr>
                <w:rFonts w:ascii="Arial" w:hAnsi="Arial" w:eastAsia="Arial" w:cs="Arial"/>
                <w:color w:val="2C3E50"/>
                <w:sz w:val="20"/>
                <w:szCs w:val="20"/>
              </w:rPr>
              <w:t>Tax Section</w:t>
            </w:r>
          </w:p>
        </w:tc>
      </w:tr>
      <w:tr w14:paraId="0000015D">
        <w:tc>
          <w:tcPr>
            <w:tcW w:w="360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5E">
            <w:r>
              <w:rPr>
                <w:rFonts w:ascii="Arial" w:hAnsi="Arial" w:eastAsia="Arial" w:cs="Arial"/>
                <w:color w:val="2C3E50"/>
                <w:sz w:val="20"/>
                <w:szCs w:val="20"/>
              </w:rPr>
              <w:t>Financial Checklist for New Immigrants — First 90 Days</w:t>
            </w:r>
          </w:p>
        </w:tc>
        <w:tc>
          <w:tcPr>
            <w:tcW w:w="312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5F">
            <w:r>
              <w:rPr>
                <w:rFonts w:ascii="Arial" w:hAnsi="Arial" w:eastAsia="Arial" w:cs="Arial"/>
                <w:color w:val="2C3E50"/>
                <w:sz w:val="20"/>
                <w:szCs w:val="20"/>
              </w:rPr>
              <w:t>financial checklist new immigrants USA</w:t>
            </w:r>
          </w:p>
        </w:tc>
        <w:tc>
          <w:tcPr>
            <w:tcW w:w="264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60">
            <w:r>
              <w:rPr>
                <w:rFonts w:ascii="Arial" w:hAnsi="Arial" w:eastAsia="Arial" w:cs="Arial"/>
                <w:color w:val="2C3E50"/>
                <w:sz w:val="20"/>
                <w:szCs w:val="20"/>
              </w:rPr>
              <w:t>Homepage / All Pillars</w:t>
            </w:r>
          </w:p>
        </w:tc>
      </w:tr>
    </w:tbl>
    <w:p w14:paraId="00000161">
      <w:pPr>
        <w:spacing w:after="120" w:before="0"/>
      </w:pPr>
    </w:p>
    <w:p w14:paraId="00000162">
      <w:pPr>
        <w:pStyle w:val="Heading2"/>
        <w:spacing w:after="160" w:before="320"/>
      </w:pPr>
      <w:r>
        <w:rPr>
          <w:rFonts w:ascii="Arial" w:hAnsi="Arial" w:eastAsia="Arial" w:cs="Arial"/>
          <w:b/>
          <w:bCs/>
          <w:color w:val="2E86C1"/>
          <w:sz w:val="28"/>
          <w:szCs w:val="28"/>
        </w:rPr>
        <w:t>4.2 Content Standards for Every Page</w:t>
      </w:r>
    </w:p>
    <w:p w14:paraId="00000163">
      <w:pPr>
        <w:spacing w:after="120" w:before="80"/>
      </w:pPr>
      <w:r>
        <w:rPr>
          <w:rFonts w:ascii="Arial" w:hAnsi="Arial" w:eastAsia="Arial" w:cs="Arial"/>
          <w:color w:val="2C3E50"/>
          <w:sz w:val="22"/>
          <w:szCs w:val="22"/>
        </w:rPr>
        <w:t>Every piece of content published on Finovly must meet these standards:</w:t>
      </w:r>
    </w:p>
    <w:p w14:paraId="00000164">
      <w:pPr>
        <w:spacing w:after="120" w:before="0"/>
      </w:pPr>
    </w:p>
    <w:p w14:paraId="00000165">
      <w:pPr>
        <w:pStyle w:val="Heading3"/>
        <w:spacing w:after="120" w:before="240"/>
      </w:pPr>
      <w:r>
        <w:rPr>
          <w:rFonts w:ascii="Arial" w:hAnsi="Arial" w:eastAsia="Arial" w:cs="Arial"/>
          <w:b/>
          <w:bCs/>
          <w:color w:val="2C3E50"/>
          <w:sz w:val="24"/>
          <w:szCs w:val="24"/>
        </w:rPr>
        <w:t>Structure Requirements</w:t>
      </w:r>
    </w:p>
    <w:p w14:paraId="00000166">
      <w:pPr>
        <w:pStyle w:val="ListParagraph"/>
        <w:numPr>
          <w:ilvl w:val="0"/>
          <w:numId w:val="2"/>
        </w:numPr>
        <w:spacing w:after="60" w:before="60"/>
      </w:pPr>
      <w:r>
        <w:rPr>
          <w:rFonts w:ascii="Arial" w:hAnsi="Arial" w:eastAsia="Arial" w:cs="Arial"/>
          <w:color w:val="2C3E50"/>
          <w:sz w:val="22"/>
          <w:szCs w:val="22"/>
        </w:rPr>
        <w:t>Every article must have: a clear intro that states who the article is for, what they will learn, and why it matters</w:t>
      </w:r>
    </w:p>
    <w:p w14:paraId="00000167">
      <w:pPr>
        <w:pStyle w:val="ListParagraph"/>
        <w:numPr>
          <w:ilvl w:val="0"/>
          <w:numId w:val="2"/>
        </w:numPr>
        <w:spacing w:after="60" w:before="60"/>
      </w:pPr>
      <w:r>
        <w:rPr>
          <w:rFonts w:ascii="Arial" w:hAnsi="Arial" w:eastAsia="Arial" w:cs="Arial"/>
          <w:color w:val="2C3E50"/>
          <w:sz w:val="22"/>
          <w:szCs w:val="22"/>
        </w:rPr>
        <w:t>Use H2 and H3 headings throughout — never more than 300 words between headings</w:t>
      </w:r>
    </w:p>
    <w:p w14:paraId="00000168">
      <w:pPr>
        <w:pStyle w:val="ListParagraph"/>
        <w:numPr>
          <w:ilvl w:val="0"/>
          <w:numId w:val="2"/>
        </w:numPr>
        <w:spacing w:after="60" w:before="60"/>
      </w:pPr>
      <w:r>
        <w:rPr>
          <w:rFonts w:ascii="Arial" w:hAnsi="Arial" w:eastAsia="Arial" w:cs="Arial"/>
          <w:color w:val="2C3E50"/>
          <w:sz w:val="22"/>
          <w:szCs w:val="22"/>
        </w:rPr>
        <w:t>Include a TL;DR summary box at the top of long guides (3+ minute reads)</w:t>
      </w:r>
    </w:p>
    <w:p w14:paraId="00000169">
      <w:pPr>
        <w:pStyle w:val="ListParagraph"/>
        <w:numPr>
          <w:ilvl w:val="0"/>
          <w:numId w:val="2"/>
        </w:numPr>
        <w:spacing w:after="60" w:before="60"/>
      </w:pPr>
      <w:r>
        <w:rPr>
          <w:rFonts w:ascii="Arial" w:hAnsi="Arial" w:eastAsia="Arial" w:cs="Arial"/>
          <w:color w:val="2C3E50"/>
          <w:sz w:val="22"/>
          <w:szCs w:val="22"/>
        </w:rPr>
        <w:t>End every article with a clear next step — link to a calculator, related guide, or affiliate product</w:t>
      </w:r>
    </w:p>
    <w:p w14:paraId="0000016A">
      <w:pPr>
        <w:pStyle w:val="ListParagraph"/>
        <w:numPr>
          <w:ilvl w:val="0"/>
          <w:numId w:val="2"/>
        </w:numPr>
        <w:spacing w:after="60" w:before="60"/>
      </w:pPr>
      <w:r>
        <w:rPr>
          <w:rFonts w:ascii="Arial" w:hAnsi="Arial" w:eastAsia="Arial" w:cs="Arial"/>
          <w:color w:val="2C3E50"/>
          <w:sz w:val="22"/>
          <w:szCs w:val="22"/>
        </w:rPr>
        <w:t>Include a FAQ section at the bottom with 4–6 common questions (helps with featured snippets)</w:t>
      </w:r>
    </w:p>
    <w:p w14:paraId="0000016B">
      <w:pPr>
        <w:spacing w:after="120" w:before="0"/>
      </w:pPr>
    </w:p>
    <w:p w14:paraId="0000016C">
      <w:pPr>
        <w:pStyle w:val="Heading3"/>
        <w:spacing w:after="120" w:before="240"/>
      </w:pPr>
      <w:r>
        <w:rPr>
          <w:rFonts w:ascii="Arial" w:hAnsi="Arial" w:eastAsia="Arial" w:cs="Arial"/>
          <w:b/>
          <w:bCs/>
          <w:color w:val="2C3E50"/>
          <w:sz w:val="24"/>
          <w:szCs w:val="24"/>
        </w:rPr>
        <w:t>SEO Requirements</w:t>
      </w:r>
    </w:p>
    <w:p w14:paraId="0000016D">
      <w:pPr>
        <w:pStyle w:val="ListParagraph"/>
        <w:numPr>
          <w:ilvl w:val="0"/>
          <w:numId w:val="2"/>
        </w:numPr>
        <w:spacing w:after="60" w:before="60"/>
      </w:pPr>
      <w:r>
        <w:rPr>
          <w:rFonts w:ascii="Arial" w:hAnsi="Arial" w:eastAsia="Arial" w:cs="Arial"/>
          <w:color w:val="2C3E50"/>
          <w:sz w:val="22"/>
          <w:szCs w:val="22"/>
        </w:rPr>
        <w:t>Primary keyword must appear in: page title, H1, first 100 words, meta description, and at least one H2</w:t>
      </w:r>
    </w:p>
    <w:p w14:paraId="0000016E">
      <w:pPr>
        <w:pStyle w:val="ListParagraph"/>
        <w:numPr>
          <w:ilvl w:val="0"/>
          <w:numId w:val="2"/>
        </w:numPr>
        <w:spacing w:after="60" w:before="60"/>
      </w:pPr>
      <w:r>
        <w:rPr>
          <w:rFonts w:ascii="Arial" w:hAnsi="Arial" w:eastAsia="Arial" w:cs="Arial"/>
          <w:color w:val="2C3E50"/>
          <w:sz w:val="22"/>
          <w:szCs w:val="22"/>
        </w:rPr>
        <w:t>Meta description: 140–160 characters, include primary keyword, include a benefit or number</w:t>
      </w:r>
    </w:p>
    <w:p w14:paraId="0000016F">
      <w:pPr>
        <w:pStyle w:val="ListParagraph"/>
        <w:numPr>
          <w:ilvl w:val="0"/>
          <w:numId w:val="2"/>
        </w:numPr>
        <w:spacing w:after="60" w:before="60"/>
      </w:pPr>
      <w:r>
        <w:rPr>
          <w:rFonts w:ascii="Arial" w:hAnsi="Arial" w:eastAsia="Arial" w:cs="Arial"/>
          <w:color w:val="2C3E50"/>
          <w:sz w:val="22"/>
          <w:szCs w:val="22"/>
        </w:rPr>
        <w:t>Internal links: minimum 3 per article, linking to relevant pillar pages or calculators</w:t>
      </w:r>
    </w:p>
    <w:p w14:paraId="00000170">
      <w:pPr>
        <w:pStyle w:val="ListParagraph"/>
        <w:numPr>
          <w:ilvl w:val="0"/>
          <w:numId w:val="2"/>
        </w:numPr>
        <w:spacing w:after="60" w:before="60"/>
      </w:pPr>
      <w:r>
        <w:rPr>
          <w:rFonts w:ascii="Arial" w:hAnsi="Arial" w:eastAsia="Arial" w:cs="Arial"/>
          <w:color w:val="2C3E50"/>
          <w:sz w:val="22"/>
          <w:szCs w:val="22"/>
        </w:rPr>
        <w:t>Image alt text: descriptive and keyword-relevant for every image</w:t>
      </w:r>
    </w:p>
    <w:p w14:paraId="00000171">
      <w:pPr>
        <w:pStyle w:val="ListParagraph"/>
        <w:numPr>
          <w:ilvl w:val="0"/>
          <w:numId w:val="2"/>
        </w:numPr>
        <w:spacing w:after="60" w:before="60"/>
      </w:pPr>
      <w:r>
        <w:rPr>
          <w:rFonts w:ascii="Arial" w:hAnsi="Arial" w:eastAsia="Arial" w:cs="Arial"/>
          <w:color w:val="2C3E50"/>
          <w:sz w:val="22"/>
          <w:szCs w:val="22"/>
        </w:rPr>
        <w:t>Minimum word count: 1,500 for supporting posts, 3,000 for pillar pages</w:t>
      </w:r>
    </w:p>
    <w:p w14:paraId="00000172">
      <w:pPr>
        <w:spacing w:after="120" w:before="0"/>
      </w:pPr>
    </w:p>
    <w:p w14:paraId="00000173">
      <w:pPr>
        <w:pStyle w:val="Heading3"/>
        <w:spacing w:after="120" w:before="240"/>
      </w:pPr>
      <w:r>
        <w:rPr>
          <w:rFonts w:ascii="Arial" w:hAnsi="Arial" w:eastAsia="Arial" w:cs="Arial"/>
          <w:b/>
          <w:bCs/>
          <w:color w:val="2C3E50"/>
          <w:sz w:val="24"/>
          <w:szCs w:val="24"/>
        </w:rPr>
        <w:t>Tone &amp; Voice</w:t>
      </w:r>
    </w:p>
    <w:p w14:paraId="00000174">
      <w:pPr>
        <w:pStyle w:val="ListParagraph"/>
        <w:numPr>
          <w:ilvl w:val="0"/>
          <w:numId w:val="2"/>
        </w:numPr>
        <w:spacing w:after="60" w:before="60"/>
      </w:pPr>
      <w:r>
        <w:rPr>
          <w:rFonts w:ascii="Arial" w:hAnsi="Arial" w:eastAsia="Arial" w:cs="Arial"/>
          <w:color w:val="2C3E50"/>
          <w:sz w:val="22"/>
          <w:szCs w:val="22"/>
        </w:rPr>
        <w:t>Write as if explaining to a smart friend who just arrived in the US — no condescension, no jargon without explanation</w:t>
      </w:r>
    </w:p>
    <w:p w14:paraId="00000175">
      <w:pPr>
        <w:pStyle w:val="ListParagraph"/>
        <w:numPr>
          <w:ilvl w:val="0"/>
          <w:numId w:val="2"/>
        </w:numPr>
        <w:spacing w:after="60" w:before="60"/>
      </w:pPr>
      <w:r>
        <w:rPr>
          <w:rFonts w:ascii="Arial" w:hAnsi="Arial" w:eastAsia="Arial" w:cs="Arial"/>
          <w:color w:val="2C3E50"/>
          <w:sz w:val="22"/>
          <w:szCs w:val="22"/>
        </w:rPr>
        <w:t>Use second person throughout: "you", "your", "when you arrive"</w:t>
      </w:r>
    </w:p>
    <w:p w14:paraId="00000176">
      <w:pPr>
        <w:pStyle w:val="ListParagraph"/>
        <w:numPr>
          <w:ilvl w:val="0"/>
          <w:numId w:val="2"/>
        </w:numPr>
        <w:spacing w:after="60" w:before="60"/>
      </w:pPr>
      <w:r>
        <w:rPr>
          <w:rFonts w:ascii="Arial" w:hAnsi="Arial" w:eastAsia="Arial" w:cs="Arial"/>
          <w:color w:val="2C3E50"/>
          <w:sz w:val="22"/>
          <w:szCs w:val="22"/>
        </w:rPr>
        <w:t>Acknowledge complexity: "The US tax system is confusing even for Americans — here is how it applies to you"</w:t>
      </w:r>
    </w:p>
    <w:p w14:paraId="00000177">
      <w:pPr>
        <w:pStyle w:val="ListParagraph"/>
        <w:numPr>
          <w:ilvl w:val="0"/>
          <w:numId w:val="2"/>
        </w:numPr>
        <w:spacing w:after="60" w:before="60"/>
      </w:pPr>
      <w:r>
        <w:rPr>
          <w:rFonts w:ascii="Arial" w:hAnsi="Arial" w:eastAsia="Arial" w:cs="Arial"/>
          <w:color w:val="2C3E50"/>
          <w:sz w:val="22"/>
          <w:szCs w:val="22"/>
        </w:rPr>
        <w:t>Be specific: avoid generic advice like "consult a professional" without giving them a starting point</w:t>
      </w:r>
    </w:p>
    <w:p w14:paraId="00000178">
      <w:pPr>
        <w:pStyle w:val="ListParagraph"/>
        <w:numPr>
          <w:ilvl w:val="0"/>
          <w:numId w:val="2"/>
        </w:numPr>
        <w:spacing w:after="60" w:before="60"/>
      </w:pPr>
      <w:r>
        <w:rPr>
          <w:rFonts w:ascii="Arial" w:hAnsi="Arial" w:eastAsia="Arial" w:cs="Arial"/>
          <w:color w:val="2C3E50"/>
          <w:sz w:val="22"/>
          <w:szCs w:val="22"/>
        </w:rPr>
        <w:t>Include real numbers, examples, and scenarios whenever possible</w:t>
      </w:r>
    </w:p>
    <w:p w14:paraId="00000179">
      <w:r>
        <w:br w:type="page"/>
      </w:r>
    </w:p>
    <w:p w14:paraId="0000017A">
      <w:pPr>
        <w:pStyle w:val="Heading1"/>
        <w:spacing w:after="200" w:before="400"/>
      </w:pPr>
      <w:r>
        <w:rPr>
          <w:rFonts w:ascii="Arial" w:hAnsi="Arial" w:eastAsia="Arial" w:cs="Arial"/>
          <w:b/>
          <w:bCs/>
          <w:color w:val="1B3A6B"/>
          <w:sz w:val="36"/>
          <w:szCs w:val="36"/>
        </w:rPr>
        <w:t>5. Calculator Build Specifications</w:t>
      </w:r>
    </w:p>
    <w:p w14:paraId="0000017B">
      <w:pPr>
        <w:pBdr>
          <w:bottom w:val="single" w:color="D0D8E4" w:sz="4" w:space="1"/>
        </w:pBdr>
        <w:spacing w:after="200" w:before="200"/>
      </w:pPr>
    </w:p>
    <w:p w14:paraId="0000017C">
      <w:pPr>
        <w:spacing w:after="120" w:before="80"/>
      </w:pPr>
      <w:r>
        <w:rPr>
          <w:rFonts w:ascii="Arial" w:hAnsi="Arial" w:eastAsia="Arial" w:cs="Arial"/>
          <w:color w:val="2C3E50"/>
          <w:sz w:val="22"/>
          <w:szCs w:val="22"/>
        </w:rPr>
        <w:t>Calculators are Finovly's biggest competitive advantage. They rank faster than articles, earn backlinks naturally, and drive return visits. The developer should prioritize these above all other technical work.</w:t>
      </w:r>
    </w:p>
    <w:p w14:paraId="0000017D">
      <w:pPr>
        <w:spacing w:after="120" w:before="0"/>
      </w:pPr>
    </w:p>
    <w:p w14:paraId="0000017E">
      <w:pPr>
        <w:pStyle w:val="Heading2"/>
        <w:spacing w:after="160" w:before="320"/>
      </w:pPr>
      <w:r>
        <w:rPr>
          <w:rFonts w:ascii="Arial" w:hAnsi="Arial" w:eastAsia="Arial" w:cs="Arial"/>
          <w:b/>
          <w:bCs/>
          <w:color w:val="2E86C1"/>
          <w:sz w:val="28"/>
          <w:szCs w:val="28"/>
        </w:rPr>
        <w:t>5.1 Remittance Fee Calculator</w:t>
      </w:r>
    </w:p>
    <w:p w14:paraId="0000017F">
      <w:pPr>
        <w:pStyle w:val="Heading3"/>
        <w:spacing w:after="120" w:before="240"/>
      </w:pPr>
      <w:r>
        <w:rPr>
          <w:rFonts w:ascii="Arial" w:hAnsi="Arial" w:eastAsia="Arial" w:cs="Arial"/>
          <w:b/>
          <w:bCs/>
          <w:color w:val="2C3E50"/>
          <w:sz w:val="24"/>
          <w:szCs w:val="24"/>
        </w:rPr>
        <w:t>What it does</w:t>
      </w:r>
    </w:p>
    <w:p w14:paraId="00000180">
      <w:pPr>
        <w:spacing w:after="120" w:before="80"/>
      </w:pPr>
      <w:r>
        <w:rPr>
          <w:rFonts w:ascii="Arial" w:hAnsi="Arial" w:eastAsia="Arial" w:cs="Arial"/>
          <w:color w:val="2C3E50"/>
          <w:sz w:val="22"/>
          <w:szCs w:val="22"/>
        </w:rPr>
        <w:t>Compares the total cost of sending a fixed amount of money from the USA to a selected country across multiple transfer services (Wise, Remitly, Western Union, PayPal). Shows exchange rate, fees, and total received in destination currency.</w:t>
      </w:r>
    </w:p>
    <w:p w14:paraId="00000181">
      <w:pPr>
        <w:spacing w:after="120" w:before="0"/>
      </w:pPr>
    </w:p>
    <w:p w14:paraId="00000182">
      <w:pPr>
        <w:pStyle w:val="Heading3"/>
        <w:spacing w:after="120" w:before="240"/>
      </w:pPr>
      <w:r>
        <w:rPr>
          <w:rFonts w:ascii="Arial" w:hAnsi="Arial" w:eastAsia="Arial" w:cs="Arial"/>
          <w:b/>
          <w:bCs/>
          <w:color w:val="2C3E50"/>
          <w:sz w:val="24"/>
          <w:szCs w:val="24"/>
        </w:rPr>
        <w:t>Input fields</w:t>
      </w:r>
    </w:p>
    <w:p w14:paraId="00000183">
      <w:pPr>
        <w:pStyle w:val="ListParagraph"/>
        <w:numPr>
          <w:ilvl w:val="0"/>
          <w:numId w:val="2"/>
        </w:numPr>
        <w:spacing w:after="60" w:before="60"/>
      </w:pPr>
      <w:r>
        <w:rPr>
          <w:rFonts w:ascii="Arial" w:hAnsi="Arial" w:eastAsia="Arial" w:cs="Arial"/>
          <w:color w:val="2C3E50"/>
          <w:sz w:val="22"/>
          <w:szCs w:val="22"/>
        </w:rPr>
        <w:t>Amount to send (USD) — number input, default $500</w:t>
      </w:r>
    </w:p>
    <w:p w14:paraId="00000184">
      <w:pPr>
        <w:pStyle w:val="ListParagraph"/>
        <w:numPr>
          <w:ilvl w:val="0"/>
          <w:numId w:val="2"/>
        </w:numPr>
        <w:spacing w:after="60" w:before="60"/>
      </w:pPr>
      <w:r>
        <w:rPr>
          <w:rFonts w:ascii="Arial" w:hAnsi="Arial" w:eastAsia="Arial" w:cs="Arial"/>
          <w:color w:val="2C3E50"/>
          <w:sz w:val="22"/>
          <w:szCs w:val="22"/>
        </w:rPr>
        <w:t>Destination country — dropdown (start with top 10: India, Mexico, Philippines, Nigeria, China, Pakistan, Bangladesh, Guatemala, Dominican Republic, El Salvador)</w:t>
      </w:r>
    </w:p>
    <w:p w14:paraId="00000185">
      <w:pPr>
        <w:pStyle w:val="ListParagraph"/>
        <w:numPr>
          <w:ilvl w:val="0"/>
          <w:numId w:val="2"/>
        </w:numPr>
        <w:spacing w:after="60" w:before="60"/>
      </w:pPr>
      <w:r>
        <w:rPr>
          <w:rFonts w:ascii="Arial" w:hAnsi="Arial" w:eastAsia="Arial" w:cs="Arial"/>
          <w:color w:val="2C3E50"/>
          <w:sz w:val="22"/>
          <w:szCs w:val="22"/>
        </w:rPr>
        <w:t>Transfer speed preference — radio buttons: Instant / 1–3 days / 3–5 days</w:t>
      </w:r>
    </w:p>
    <w:p w14:paraId="00000186">
      <w:pPr>
        <w:spacing w:after="120" w:before="0"/>
      </w:pPr>
    </w:p>
    <w:p w14:paraId="00000187">
      <w:pPr>
        <w:pStyle w:val="Heading3"/>
        <w:spacing w:after="120" w:before="240"/>
      </w:pPr>
      <w:r>
        <w:rPr>
          <w:rFonts w:ascii="Arial" w:hAnsi="Arial" w:eastAsia="Arial" w:cs="Arial"/>
          <w:b/>
          <w:bCs/>
          <w:color w:val="2C3E50"/>
          <w:sz w:val="24"/>
          <w:szCs w:val="24"/>
        </w:rPr>
        <w:t>Output display</w:t>
      </w:r>
    </w:p>
    <w:p w14:paraId="00000188">
      <w:pPr>
        <w:pStyle w:val="ListParagraph"/>
        <w:numPr>
          <w:ilvl w:val="0"/>
          <w:numId w:val="2"/>
        </w:numPr>
        <w:spacing w:after="60" w:before="60"/>
      </w:pPr>
      <w:r>
        <w:rPr>
          <w:rFonts w:ascii="Arial" w:hAnsi="Arial" w:eastAsia="Arial" w:cs="Arial"/>
          <w:color w:val="2C3E50"/>
          <w:sz w:val="22"/>
          <w:szCs w:val="22"/>
        </w:rPr>
        <w:t>Results table: Service name | Fee | Exchange rate | Amount received | Transfer speed | Link to service</w:t>
      </w:r>
    </w:p>
    <w:p w14:paraId="00000189">
      <w:pPr>
        <w:pStyle w:val="ListParagraph"/>
        <w:numPr>
          <w:ilvl w:val="0"/>
          <w:numId w:val="2"/>
        </w:numPr>
        <w:spacing w:after="60" w:before="60"/>
      </w:pPr>
      <w:r>
        <w:rPr>
          <w:rFonts w:ascii="Arial" w:hAnsi="Arial" w:eastAsia="Arial" w:cs="Arial"/>
          <w:color w:val="2C3E50"/>
          <w:sz w:val="22"/>
          <w:szCs w:val="22"/>
        </w:rPr>
        <w:t>Highlight the cheapest option in green</w:t>
      </w:r>
    </w:p>
    <w:p w14:paraId="0000018A">
      <w:pPr>
        <w:pStyle w:val="ListParagraph"/>
        <w:numPr>
          <w:ilvl w:val="0"/>
          <w:numId w:val="2"/>
        </w:numPr>
        <w:spacing w:after="60" w:before="60"/>
      </w:pPr>
      <w:r>
        <w:rPr>
          <w:rFonts w:ascii="Arial" w:hAnsi="Arial" w:eastAsia="Arial" w:cs="Arial"/>
          <w:color w:val="2C3E50"/>
          <w:sz w:val="22"/>
          <w:szCs w:val="22"/>
        </w:rPr>
        <w:t>Show total savings vs most expensive option</w:t>
      </w:r>
    </w:p>
    <w:p w14:paraId="0000018B">
      <w:pPr>
        <w:pStyle w:val="ListParagraph"/>
        <w:numPr>
          <w:ilvl w:val="0"/>
          <w:numId w:val="2"/>
        </w:numPr>
        <w:spacing w:after="60" w:before="60"/>
      </w:pPr>
      <w:r>
        <w:rPr>
          <w:rFonts w:ascii="Arial" w:hAnsi="Arial" w:eastAsia="Arial" w:cs="Arial"/>
          <w:color w:val="2C3E50"/>
          <w:sz w:val="22"/>
          <w:szCs w:val="22"/>
        </w:rPr>
        <w:t>Add affiliate links to each service (Wise, Remitly, Western Union)</w:t>
      </w:r>
    </w:p>
    <w:p w14:paraId="0000018C">
      <w:pPr>
        <w:spacing w:after="120" w:before="0"/>
      </w:pPr>
    </w:p>
    <w:p w14:paraId="0000018D">
      <w:pPr>
        <w:pStyle w:val="Heading3"/>
        <w:spacing w:after="120" w:before="240"/>
      </w:pPr>
      <w:r>
        <w:rPr>
          <w:rFonts w:ascii="Arial" w:hAnsi="Arial" w:eastAsia="Arial" w:cs="Arial"/>
          <w:b/>
          <w:bCs/>
          <w:color w:val="2C3E50"/>
          <w:sz w:val="24"/>
          <w:szCs w:val="24"/>
        </w:rPr>
        <w:t>Data approach</w:t>
      </w:r>
    </w:p>
    <w:p w14:paraId="0000018E">
      <w:pPr>
        <w:pStyle w:val="ListParagraph"/>
        <w:numPr>
          <w:ilvl w:val="0"/>
          <w:numId w:val="2"/>
        </w:numPr>
        <w:spacing w:after="60" w:before="60"/>
      </w:pPr>
      <w:r>
        <w:rPr>
          <w:rFonts w:ascii="Arial" w:hAnsi="Arial" w:eastAsia="Arial" w:cs="Arial"/>
          <w:color w:val="2C3E50"/>
          <w:sz w:val="22"/>
          <w:szCs w:val="22"/>
        </w:rPr>
        <w:t>Hardcode approximate rates and fees per provider per country — update monthly</w:t>
      </w:r>
    </w:p>
    <w:p w14:paraId="0000018F">
      <w:pPr>
        <w:pStyle w:val="ListParagraph"/>
        <w:numPr>
          <w:ilvl w:val="0"/>
          <w:numId w:val="2"/>
        </w:numPr>
        <w:spacing w:after="60" w:before="60"/>
      </w:pPr>
      <w:r>
        <w:rPr>
          <w:rFonts w:ascii="Arial" w:hAnsi="Arial" w:eastAsia="Arial" w:cs="Arial"/>
          <w:color w:val="2C3E50"/>
          <w:sz w:val="22"/>
          <w:szCs w:val="22"/>
        </w:rPr>
        <w:t>Add a "Rates last updated: [date]" disclaimer below the calculator</w:t>
      </w:r>
    </w:p>
    <w:p w14:paraId="00000190">
      <w:pPr>
        <w:pStyle w:val="ListParagraph"/>
        <w:numPr>
          <w:ilvl w:val="0"/>
          <w:numId w:val="2"/>
        </w:numPr>
        <w:spacing w:after="60" w:before="60"/>
      </w:pPr>
      <w:r>
        <w:rPr>
          <w:rFonts w:ascii="Arial" w:hAnsi="Arial" w:eastAsia="Arial" w:cs="Arial"/>
          <w:color w:val="2C3E50"/>
          <w:sz w:val="22"/>
          <w:szCs w:val="22"/>
        </w:rPr>
        <w:t>Note: Do not use live API calls initially — static data tables are fine to launch</w:t>
      </w:r>
    </w:p>
    <w:p w14:paraId="00000191">
      <w:pPr>
        <w:spacing w:after="120" w:before="0"/>
      </w:pPr>
    </w:p>
    <w:p w14:paraId="00000192">
      <w:pPr>
        <w:pStyle w:val="Heading2"/>
        <w:spacing w:after="160" w:before="320"/>
      </w:pPr>
      <w:r>
        <w:rPr>
          <w:rFonts w:ascii="Arial" w:hAnsi="Arial" w:eastAsia="Arial" w:cs="Arial"/>
          <w:b/>
          <w:bCs/>
          <w:color w:val="2E86C1"/>
          <w:sz w:val="28"/>
          <w:szCs w:val="28"/>
        </w:rPr>
        <w:t>5.2 H1B Tax Estimator</w:t>
      </w:r>
    </w:p>
    <w:p w14:paraId="00000193">
      <w:pPr>
        <w:pStyle w:val="Heading3"/>
        <w:spacing w:after="120" w:before="240"/>
      </w:pPr>
      <w:r>
        <w:rPr>
          <w:rFonts w:ascii="Arial" w:hAnsi="Arial" w:eastAsia="Arial" w:cs="Arial"/>
          <w:b/>
          <w:bCs/>
          <w:color w:val="2C3E50"/>
          <w:sz w:val="24"/>
          <w:szCs w:val="24"/>
        </w:rPr>
        <w:t>What it does</w:t>
      </w:r>
    </w:p>
    <w:p w14:paraId="00000194">
      <w:pPr>
        <w:spacing w:after="120" w:before="80"/>
      </w:pPr>
      <w:r>
        <w:rPr>
          <w:rFonts w:ascii="Arial" w:hAnsi="Arial" w:eastAsia="Arial" w:cs="Arial"/>
          <w:color w:val="2C3E50"/>
          <w:sz w:val="22"/>
          <w:szCs w:val="22"/>
        </w:rPr>
        <w:t>Estimates federal and state income tax owed for an H1B visa holder based on their salary, filing status, state, and whether they have dependents. Helps users understand their effective tax rate and net take-home pay.</w:t>
      </w:r>
    </w:p>
    <w:p w14:paraId="00000195">
      <w:pPr>
        <w:spacing w:after="120" w:before="0"/>
      </w:pPr>
    </w:p>
    <w:p w14:paraId="00000196">
      <w:pPr>
        <w:pStyle w:val="Heading3"/>
        <w:spacing w:after="120" w:before="240"/>
      </w:pPr>
      <w:r>
        <w:rPr>
          <w:rFonts w:ascii="Arial" w:hAnsi="Arial" w:eastAsia="Arial" w:cs="Arial"/>
          <w:b/>
          <w:bCs/>
          <w:color w:val="2C3E50"/>
          <w:sz w:val="24"/>
          <w:szCs w:val="24"/>
        </w:rPr>
        <w:t>Input fields</w:t>
      </w:r>
    </w:p>
    <w:p w14:paraId="00000197">
      <w:pPr>
        <w:pStyle w:val="ListParagraph"/>
        <w:numPr>
          <w:ilvl w:val="0"/>
          <w:numId w:val="2"/>
        </w:numPr>
        <w:spacing w:after="60" w:before="60"/>
      </w:pPr>
      <w:r>
        <w:rPr>
          <w:rFonts w:ascii="Arial" w:hAnsi="Arial" w:eastAsia="Arial" w:cs="Arial"/>
          <w:color w:val="2C3E50"/>
          <w:sz w:val="22"/>
          <w:szCs w:val="22"/>
        </w:rPr>
        <w:t>Annual gross salary (USD)</w:t>
      </w:r>
    </w:p>
    <w:p w14:paraId="00000198">
      <w:pPr>
        <w:pStyle w:val="ListParagraph"/>
        <w:numPr>
          <w:ilvl w:val="0"/>
          <w:numId w:val="2"/>
        </w:numPr>
        <w:spacing w:after="60" w:before="60"/>
      </w:pPr>
      <w:r>
        <w:rPr>
          <w:rFonts w:ascii="Arial" w:hAnsi="Arial" w:eastAsia="Arial" w:cs="Arial"/>
          <w:color w:val="2C3E50"/>
          <w:sz w:val="22"/>
          <w:szCs w:val="22"/>
        </w:rPr>
        <w:t>State of employment — dropdown</w:t>
      </w:r>
    </w:p>
    <w:p w14:paraId="00000199">
      <w:pPr>
        <w:pStyle w:val="ListParagraph"/>
        <w:numPr>
          <w:ilvl w:val="0"/>
          <w:numId w:val="2"/>
        </w:numPr>
        <w:spacing w:after="60" w:before="60"/>
      </w:pPr>
      <w:r>
        <w:rPr>
          <w:rFonts w:ascii="Arial" w:hAnsi="Arial" w:eastAsia="Arial" w:cs="Arial"/>
          <w:color w:val="2C3E50"/>
          <w:sz w:val="22"/>
          <w:szCs w:val="22"/>
        </w:rPr>
        <w:t>Filing status — Single / Married Filing Jointly / Married Filing Separately</w:t>
      </w:r>
    </w:p>
    <w:p w14:paraId="0000019A">
      <w:pPr>
        <w:pStyle w:val="ListParagraph"/>
        <w:numPr>
          <w:ilvl w:val="0"/>
          <w:numId w:val="2"/>
        </w:numPr>
        <w:spacing w:after="60" w:before="60"/>
      </w:pPr>
      <w:r>
        <w:rPr>
          <w:rFonts w:ascii="Arial" w:hAnsi="Arial" w:eastAsia="Arial" w:cs="Arial"/>
          <w:color w:val="2C3E50"/>
          <w:sz w:val="22"/>
          <w:szCs w:val="22"/>
        </w:rPr>
        <w:t>Number of dependents — 0 / 1 / 2 / 3+</w:t>
      </w:r>
    </w:p>
    <w:p w14:paraId="0000019B">
      <w:pPr>
        <w:pStyle w:val="ListParagraph"/>
        <w:numPr>
          <w:ilvl w:val="0"/>
          <w:numId w:val="2"/>
        </w:numPr>
        <w:spacing w:after="60" w:before="60"/>
      </w:pPr>
      <w:r>
        <w:rPr>
          <w:rFonts w:ascii="Arial" w:hAnsi="Arial" w:eastAsia="Arial" w:cs="Arial"/>
          <w:color w:val="2C3E50"/>
          <w:sz w:val="22"/>
          <w:szCs w:val="22"/>
        </w:rPr>
        <w:t>Pre-tax deductions (401k contribution, HSA) — optional, number input</w:t>
      </w:r>
    </w:p>
    <w:p w14:paraId="0000019C">
      <w:pPr>
        <w:spacing w:after="120" w:before="0"/>
      </w:pPr>
    </w:p>
    <w:p w14:paraId="0000019D">
      <w:pPr>
        <w:pStyle w:val="Heading3"/>
        <w:spacing w:after="120" w:before="240"/>
      </w:pPr>
      <w:r>
        <w:rPr>
          <w:rFonts w:ascii="Arial" w:hAnsi="Arial" w:eastAsia="Arial" w:cs="Arial"/>
          <w:b/>
          <w:bCs/>
          <w:color w:val="2C3E50"/>
          <w:sz w:val="24"/>
          <w:szCs w:val="24"/>
        </w:rPr>
        <w:t>Output display</w:t>
      </w:r>
    </w:p>
    <w:p w14:paraId="0000019E">
      <w:pPr>
        <w:pStyle w:val="ListParagraph"/>
        <w:numPr>
          <w:ilvl w:val="0"/>
          <w:numId w:val="2"/>
        </w:numPr>
        <w:spacing w:after="60" w:before="60"/>
      </w:pPr>
      <w:r>
        <w:rPr>
          <w:rFonts w:ascii="Arial" w:hAnsi="Arial" w:eastAsia="Arial" w:cs="Arial"/>
          <w:color w:val="2C3E50"/>
          <w:sz w:val="22"/>
          <w:szCs w:val="22"/>
        </w:rPr>
        <w:t>Gross income</w:t>
      </w:r>
    </w:p>
    <w:p w14:paraId="0000019F">
      <w:pPr>
        <w:pStyle w:val="ListParagraph"/>
        <w:numPr>
          <w:ilvl w:val="0"/>
          <w:numId w:val="2"/>
        </w:numPr>
        <w:spacing w:after="60" w:before="60"/>
      </w:pPr>
      <w:r>
        <w:rPr>
          <w:rFonts w:ascii="Arial" w:hAnsi="Arial" w:eastAsia="Arial" w:cs="Arial"/>
          <w:color w:val="2C3E50"/>
          <w:sz w:val="22"/>
          <w:szCs w:val="22"/>
        </w:rPr>
        <w:t>Total estimated federal tax</w:t>
      </w:r>
    </w:p>
    <w:p w14:paraId="000001A0">
      <w:pPr>
        <w:pStyle w:val="ListParagraph"/>
        <w:numPr>
          <w:ilvl w:val="0"/>
          <w:numId w:val="2"/>
        </w:numPr>
        <w:spacing w:after="60" w:before="60"/>
      </w:pPr>
      <w:r>
        <w:rPr>
          <w:rFonts w:ascii="Arial" w:hAnsi="Arial" w:eastAsia="Arial" w:cs="Arial"/>
          <w:color w:val="2C3E50"/>
          <w:sz w:val="22"/>
          <w:szCs w:val="22"/>
        </w:rPr>
        <w:t>Estimated state tax</w:t>
      </w:r>
    </w:p>
    <w:p w14:paraId="000001A1">
      <w:pPr>
        <w:pStyle w:val="ListParagraph"/>
        <w:numPr>
          <w:ilvl w:val="0"/>
          <w:numId w:val="2"/>
        </w:numPr>
        <w:spacing w:after="60" w:before="60"/>
      </w:pPr>
      <w:r>
        <w:rPr>
          <w:rFonts w:ascii="Arial" w:hAnsi="Arial" w:eastAsia="Arial" w:cs="Arial"/>
          <w:color w:val="2C3E50"/>
          <w:sz w:val="22"/>
          <w:szCs w:val="22"/>
        </w:rPr>
        <w:t>FICA (Social Security + Medicare)</w:t>
      </w:r>
    </w:p>
    <w:p w14:paraId="000001A2">
      <w:pPr>
        <w:pStyle w:val="ListParagraph"/>
        <w:numPr>
          <w:ilvl w:val="0"/>
          <w:numId w:val="2"/>
        </w:numPr>
        <w:spacing w:after="60" w:before="60"/>
      </w:pPr>
      <w:r>
        <w:rPr>
          <w:rFonts w:ascii="Arial" w:hAnsi="Arial" w:eastAsia="Arial" w:cs="Arial"/>
          <w:color w:val="2C3E50"/>
          <w:sz w:val="22"/>
          <w:szCs w:val="22"/>
        </w:rPr>
        <w:t>Estimated net annual take-home</w:t>
      </w:r>
    </w:p>
    <w:p w14:paraId="000001A3">
      <w:pPr>
        <w:pStyle w:val="ListParagraph"/>
        <w:numPr>
          <w:ilvl w:val="0"/>
          <w:numId w:val="2"/>
        </w:numPr>
        <w:spacing w:after="60" w:before="60"/>
      </w:pPr>
      <w:r>
        <w:rPr>
          <w:rFonts w:ascii="Arial" w:hAnsi="Arial" w:eastAsia="Arial" w:cs="Arial"/>
          <w:color w:val="2C3E50"/>
          <w:sz w:val="22"/>
          <w:szCs w:val="22"/>
        </w:rPr>
        <w:t>Estimated monthly take-home</w:t>
      </w:r>
    </w:p>
    <w:p w14:paraId="000001A4">
      <w:pPr>
        <w:pStyle w:val="ListParagraph"/>
        <w:numPr>
          <w:ilvl w:val="0"/>
          <w:numId w:val="2"/>
        </w:numPr>
        <w:spacing w:after="60" w:before="60"/>
      </w:pPr>
      <w:r>
        <w:rPr>
          <w:rFonts w:ascii="Arial" w:hAnsi="Arial" w:eastAsia="Arial" w:cs="Arial"/>
          <w:color w:val="2C3E50"/>
          <w:sz w:val="22"/>
          <w:szCs w:val="22"/>
        </w:rPr>
        <w:t>Effective tax rate</w:t>
      </w:r>
    </w:p>
    <w:p w14:paraId="000001A5">
      <w:pPr>
        <w:pStyle w:val="ListParagraph"/>
        <w:numPr>
          <w:ilvl w:val="0"/>
          <w:numId w:val="2"/>
        </w:numPr>
        <w:spacing w:after="60" w:before="60"/>
      </w:pPr>
      <w:r>
        <w:rPr>
          <w:rFonts w:ascii="Arial" w:hAnsi="Arial" w:eastAsia="Arial" w:cs="Arial"/>
          <w:color w:val="2C3E50"/>
          <w:sz w:val="22"/>
          <w:szCs w:val="22"/>
        </w:rPr>
        <w:t>Below result: CTA to Sprintax or TurboTax (affiliate link)</w:t>
      </w:r>
    </w:p>
    <w:p w14:paraId="000001A6">
      <w:pPr>
        <w:spacing w:after="120" w:before="0"/>
      </w:pPr>
    </w:p>
    <w:p w14:paraId="000001A7">
      <w:pPr>
        <w:pStyle w:val="Heading2"/>
        <w:spacing w:after="160" w:before="320"/>
      </w:pPr>
      <w:r>
        <w:rPr>
          <w:rFonts w:ascii="Arial" w:hAnsi="Arial" w:eastAsia="Arial" w:cs="Arial"/>
          <w:b/>
          <w:bCs/>
          <w:color w:val="2E86C1"/>
          <w:sz w:val="28"/>
          <w:szCs w:val="28"/>
        </w:rPr>
        <w:t>5.3 Substantial Presence Test Calculator</w:t>
      </w:r>
    </w:p>
    <w:p w14:paraId="000001A8">
      <w:pPr>
        <w:pStyle w:val="Heading3"/>
        <w:spacing w:after="120" w:before="240"/>
      </w:pPr>
      <w:r>
        <w:rPr>
          <w:rFonts w:ascii="Arial" w:hAnsi="Arial" w:eastAsia="Arial" w:cs="Arial"/>
          <w:b/>
          <w:bCs/>
          <w:color w:val="2C3E50"/>
          <w:sz w:val="24"/>
          <w:szCs w:val="24"/>
        </w:rPr>
        <w:t>What it does</w:t>
      </w:r>
    </w:p>
    <w:p w14:paraId="000001A9">
      <w:pPr>
        <w:spacing w:after="120" w:before="80"/>
      </w:pPr>
      <w:r>
        <w:rPr>
          <w:rFonts w:ascii="Arial" w:hAnsi="Arial" w:eastAsia="Arial" w:cs="Arial"/>
          <w:color w:val="2C3E50"/>
          <w:sz w:val="22"/>
          <w:szCs w:val="22"/>
        </w:rPr>
        <w:t>Determines whether a foreign national qualifies as a US tax resident under the IRS Substantial Presence Test based on days spent in the US over a 3-year period.</w:t>
      </w:r>
    </w:p>
    <w:p w14:paraId="000001AA">
      <w:pPr>
        <w:spacing w:after="120" w:before="0"/>
      </w:pPr>
    </w:p>
    <w:p w14:paraId="000001AB">
      <w:pPr>
        <w:pStyle w:val="Heading3"/>
        <w:spacing w:after="120" w:before="240"/>
      </w:pPr>
      <w:r>
        <w:rPr>
          <w:rFonts w:ascii="Arial" w:hAnsi="Arial" w:eastAsia="Arial" w:cs="Arial"/>
          <w:b/>
          <w:bCs/>
          <w:color w:val="2C3E50"/>
          <w:sz w:val="24"/>
          <w:szCs w:val="24"/>
        </w:rPr>
        <w:t>Input fields</w:t>
      </w:r>
    </w:p>
    <w:p w14:paraId="000001AC">
      <w:pPr>
        <w:pStyle w:val="ListParagraph"/>
        <w:numPr>
          <w:ilvl w:val="0"/>
          <w:numId w:val="2"/>
        </w:numPr>
        <w:spacing w:after="60" w:before="60"/>
      </w:pPr>
      <w:r>
        <w:rPr>
          <w:rFonts w:ascii="Arial" w:hAnsi="Arial" w:eastAsia="Arial" w:cs="Arial"/>
          <w:color w:val="2C3E50"/>
          <w:sz w:val="22"/>
          <w:szCs w:val="22"/>
        </w:rPr>
        <w:t>Days in the US this year — number input</w:t>
      </w:r>
    </w:p>
    <w:p w14:paraId="000001AD">
      <w:pPr>
        <w:pStyle w:val="ListParagraph"/>
        <w:numPr>
          <w:ilvl w:val="0"/>
          <w:numId w:val="2"/>
        </w:numPr>
        <w:spacing w:after="60" w:before="60"/>
      </w:pPr>
      <w:r>
        <w:rPr>
          <w:rFonts w:ascii="Arial" w:hAnsi="Arial" w:eastAsia="Arial" w:cs="Arial"/>
          <w:color w:val="2C3E50"/>
          <w:sz w:val="22"/>
          <w:szCs w:val="22"/>
        </w:rPr>
        <w:t>Days in the US last year — number input</w:t>
      </w:r>
    </w:p>
    <w:p w14:paraId="000001AE">
      <w:pPr>
        <w:pStyle w:val="ListParagraph"/>
        <w:numPr>
          <w:ilvl w:val="0"/>
          <w:numId w:val="2"/>
        </w:numPr>
        <w:spacing w:after="60" w:before="60"/>
      </w:pPr>
      <w:r>
        <w:rPr>
          <w:rFonts w:ascii="Arial" w:hAnsi="Arial" w:eastAsia="Arial" w:cs="Arial"/>
          <w:color w:val="2C3E50"/>
          <w:sz w:val="22"/>
          <w:szCs w:val="22"/>
        </w:rPr>
        <w:t>Days in the US two years ago — number input</w:t>
      </w:r>
    </w:p>
    <w:p w14:paraId="000001AF">
      <w:pPr>
        <w:pStyle w:val="ListParagraph"/>
        <w:numPr>
          <w:ilvl w:val="0"/>
          <w:numId w:val="2"/>
        </w:numPr>
        <w:spacing w:after="60" w:before="60"/>
      </w:pPr>
      <w:r>
        <w:rPr>
          <w:rFonts w:ascii="Arial" w:hAnsi="Arial" w:eastAsia="Arial" w:cs="Arial"/>
          <w:color w:val="2C3E50"/>
          <w:sz w:val="22"/>
          <w:szCs w:val="22"/>
        </w:rPr>
        <w:t>Visa type — dropdown (affects exempt days)</w:t>
      </w:r>
    </w:p>
    <w:p w14:paraId="000001B0">
      <w:pPr>
        <w:spacing w:after="120" w:before="0"/>
      </w:pPr>
    </w:p>
    <w:p w14:paraId="000001B1">
      <w:pPr>
        <w:pStyle w:val="Heading3"/>
        <w:spacing w:after="120" w:before="240"/>
      </w:pPr>
      <w:r>
        <w:rPr>
          <w:rFonts w:ascii="Arial" w:hAnsi="Arial" w:eastAsia="Arial" w:cs="Arial"/>
          <w:b/>
          <w:bCs/>
          <w:color w:val="2C3E50"/>
          <w:sz w:val="24"/>
          <w:szCs w:val="24"/>
        </w:rPr>
        <w:t>Output display</w:t>
      </w:r>
    </w:p>
    <w:p w14:paraId="000001B2">
      <w:pPr>
        <w:pStyle w:val="ListParagraph"/>
        <w:numPr>
          <w:ilvl w:val="0"/>
          <w:numId w:val="2"/>
        </w:numPr>
        <w:spacing w:after="60" w:before="60"/>
      </w:pPr>
      <w:r>
        <w:rPr>
          <w:rFonts w:ascii="Arial" w:hAnsi="Arial" w:eastAsia="Arial" w:cs="Arial"/>
          <w:color w:val="2C3E50"/>
          <w:sz w:val="22"/>
          <w:szCs w:val="22"/>
        </w:rPr>
        <w:t>Calculated weighted day count using IRS formula (current year x1 + last year x1/3 + two years ago x1/6)</w:t>
      </w:r>
    </w:p>
    <w:p w14:paraId="000001B3">
      <w:pPr>
        <w:pStyle w:val="ListParagraph"/>
        <w:numPr>
          <w:ilvl w:val="0"/>
          <w:numId w:val="2"/>
        </w:numPr>
        <w:spacing w:after="60" w:before="60"/>
      </w:pPr>
      <w:r>
        <w:rPr>
          <w:rFonts w:ascii="Arial" w:hAnsi="Arial" w:eastAsia="Arial" w:cs="Arial"/>
          <w:color w:val="2C3E50"/>
          <w:sz w:val="22"/>
          <w:szCs w:val="22"/>
        </w:rPr>
        <w:t>Pass / Fail result with explanation</w:t>
      </w:r>
    </w:p>
    <w:p w14:paraId="000001B4">
      <w:pPr>
        <w:pStyle w:val="ListParagraph"/>
        <w:numPr>
          <w:ilvl w:val="0"/>
          <w:numId w:val="2"/>
        </w:numPr>
        <w:spacing w:after="60" w:before="60"/>
      </w:pPr>
      <w:r>
        <w:rPr>
          <w:rFonts w:ascii="Arial" w:hAnsi="Arial" w:eastAsia="Arial" w:cs="Arial"/>
          <w:color w:val="2C3E50"/>
          <w:sz w:val="22"/>
          <w:szCs w:val="22"/>
        </w:rPr>
        <w:t>If fail: explanation of what nonresident alien status means for taxes</w:t>
      </w:r>
    </w:p>
    <w:p w14:paraId="000001B5">
      <w:pPr>
        <w:pStyle w:val="ListParagraph"/>
        <w:numPr>
          <w:ilvl w:val="0"/>
          <w:numId w:val="2"/>
        </w:numPr>
        <w:spacing w:after="60" w:before="60"/>
      </w:pPr>
      <w:r>
        <w:rPr>
          <w:rFonts w:ascii="Arial" w:hAnsi="Arial" w:eastAsia="Arial" w:cs="Arial"/>
          <w:color w:val="2C3E50"/>
          <w:sz w:val="22"/>
          <w:szCs w:val="22"/>
        </w:rPr>
        <w:t>If pass: explanation of resident alien tax obligations</w:t>
      </w:r>
    </w:p>
    <w:p w14:paraId="000001B6">
      <w:pPr>
        <w:pStyle w:val="ListParagraph"/>
        <w:numPr>
          <w:ilvl w:val="0"/>
          <w:numId w:val="2"/>
        </w:numPr>
        <w:spacing w:after="60" w:before="60"/>
      </w:pPr>
      <w:r>
        <w:rPr>
          <w:rFonts w:ascii="Arial" w:hAnsi="Arial" w:eastAsia="Arial" w:cs="Arial"/>
          <w:color w:val="2C3E50"/>
          <w:sz w:val="22"/>
          <w:szCs w:val="22"/>
        </w:rPr>
        <w:t>CTA: Link to relevant tax guide on Finovly + Sprintax affiliate link</w:t>
      </w:r>
    </w:p>
    <w:p w14:paraId="000001B7">
      <w:pPr>
        <w:spacing w:after="120" w:before="0"/>
      </w:pPr>
    </w:p>
    <w:p w14:paraId="000001B8">
      <w:pPr>
        <w:pStyle w:val="Heading2"/>
        <w:spacing w:after="160" w:before="320"/>
      </w:pPr>
      <w:r>
        <w:rPr>
          <w:rFonts w:ascii="Arial" w:hAnsi="Arial" w:eastAsia="Arial" w:cs="Arial"/>
          <w:b/>
          <w:bCs/>
          <w:color w:val="2E86C1"/>
          <w:sz w:val="28"/>
          <w:szCs w:val="28"/>
        </w:rPr>
        <w:t>5.4 F1 OPT Tax Calculator</w:t>
      </w:r>
    </w:p>
    <w:p w14:paraId="000001B9">
      <w:pPr>
        <w:pStyle w:val="Heading3"/>
        <w:spacing w:after="120" w:before="240"/>
      </w:pPr>
      <w:r>
        <w:rPr>
          <w:rFonts w:ascii="Arial" w:hAnsi="Arial" w:eastAsia="Arial" w:cs="Arial"/>
          <w:b/>
          <w:bCs/>
          <w:color w:val="2C3E50"/>
          <w:sz w:val="24"/>
          <w:szCs w:val="24"/>
        </w:rPr>
        <w:t>What it does</w:t>
      </w:r>
    </w:p>
    <w:p w14:paraId="000001BA">
      <w:pPr>
        <w:spacing w:after="120" w:before="80"/>
      </w:pPr>
      <w:r>
        <w:rPr>
          <w:rFonts w:ascii="Arial" w:hAnsi="Arial" w:eastAsia="Arial" w:cs="Arial"/>
          <w:color w:val="2C3E50"/>
          <w:sz w:val="22"/>
          <w:szCs w:val="22"/>
        </w:rPr>
        <w:t>Estimates federal tax withholding for F1 students on OPT or CPT income, who are typically nonresident aliens exempt from FICA taxes.</w:t>
      </w:r>
    </w:p>
    <w:p w14:paraId="000001BB">
      <w:pPr>
        <w:spacing w:after="120" w:before="0"/>
      </w:pPr>
    </w:p>
    <w:p w14:paraId="000001BC">
      <w:pPr>
        <w:pStyle w:val="Heading3"/>
        <w:spacing w:after="120" w:before="240"/>
      </w:pPr>
      <w:r>
        <w:rPr>
          <w:rFonts w:ascii="Arial" w:hAnsi="Arial" w:eastAsia="Arial" w:cs="Arial"/>
          <w:b/>
          <w:bCs/>
          <w:color w:val="2C3E50"/>
          <w:sz w:val="24"/>
          <w:szCs w:val="24"/>
        </w:rPr>
        <w:t>Input fields</w:t>
      </w:r>
    </w:p>
    <w:p w14:paraId="000001BD">
      <w:pPr>
        <w:pStyle w:val="ListParagraph"/>
        <w:numPr>
          <w:ilvl w:val="0"/>
          <w:numId w:val="2"/>
        </w:numPr>
        <w:spacing w:after="60" w:before="60"/>
      </w:pPr>
      <w:r>
        <w:rPr>
          <w:rFonts w:ascii="Arial" w:hAnsi="Arial" w:eastAsia="Arial" w:cs="Arial"/>
          <w:color w:val="2C3E50"/>
          <w:sz w:val="22"/>
          <w:szCs w:val="22"/>
        </w:rPr>
        <w:t>Annual OPT / CPT income</w:t>
      </w:r>
    </w:p>
    <w:p w14:paraId="000001BE">
      <w:pPr>
        <w:pStyle w:val="ListParagraph"/>
        <w:numPr>
          <w:ilvl w:val="0"/>
          <w:numId w:val="2"/>
        </w:numPr>
        <w:spacing w:after="60" w:before="60"/>
      </w:pPr>
      <w:r>
        <w:rPr>
          <w:rFonts w:ascii="Arial" w:hAnsi="Arial" w:eastAsia="Arial" w:cs="Arial"/>
          <w:color w:val="2C3E50"/>
          <w:sz w:val="22"/>
          <w:szCs w:val="22"/>
        </w:rPr>
        <w:t>State of employment</w:t>
      </w:r>
    </w:p>
    <w:p w14:paraId="000001BF">
      <w:pPr>
        <w:pStyle w:val="ListParagraph"/>
        <w:numPr>
          <w:ilvl w:val="0"/>
          <w:numId w:val="2"/>
        </w:numPr>
        <w:spacing w:after="60" w:before="60"/>
      </w:pPr>
      <w:r>
        <w:rPr>
          <w:rFonts w:ascii="Arial" w:hAnsi="Arial" w:eastAsia="Arial" w:cs="Arial"/>
          <w:color w:val="2C3E50"/>
          <w:sz w:val="22"/>
          <w:szCs w:val="22"/>
        </w:rPr>
        <w:t>Years in F1 status (affects FICA exemption)</w:t>
      </w:r>
    </w:p>
    <w:p w14:paraId="000001C0">
      <w:pPr>
        <w:pStyle w:val="ListParagraph"/>
        <w:numPr>
          <w:ilvl w:val="0"/>
          <w:numId w:val="2"/>
        </w:numPr>
        <w:spacing w:after="60" w:before="60"/>
      </w:pPr>
      <w:r>
        <w:rPr>
          <w:rFonts w:ascii="Arial" w:hAnsi="Arial" w:eastAsia="Arial" w:cs="Arial"/>
          <w:color w:val="2C3E50"/>
          <w:sz w:val="22"/>
          <w:szCs w:val="22"/>
        </w:rPr>
        <w:t>Any treaty benefits (checkbox + country dropdown)</w:t>
      </w:r>
    </w:p>
    <w:p w14:paraId="000001C1">
      <w:pPr>
        <w:spacing w:after="120" w:before="0"/>
      </w:pPr>
    </w:p>
    <w:p w14:paraId="000001C2">
      <w:pPr>
        <w:pStyle w:val="Heading3"/>
        <w:spacing w:after="120" w:before="240"/>
      </w:pPr>
      <w:r>
        <w:rPr>
          <w:rFonts w:ascii="Arial" w:hAnsi="Arial" w:eastAsia="Arial" w:cs="Arial"/>
          <w:b/>
          <w:bCs/>
          <w:color w:val="2C3E50"/>
          <w:sz w:val="24"/>
          <w:szCs w:val="24"/>
        </w:rPr>
        <w:t>Output display</w:t>
      </w:r>
    </w:p>
    <w:p w14:paraId="000001C3">
      <w:pPr>
        <w:pStyle w:val="ListParagraph"/>
        <w:numPr>
          <w:ilvl w:val="0"/>
          <w:numId w:val="2"/>
        </w:numPr>
        <w:spacing w:after="60" w:before="60"/>
      </w:pPr>
      <w:r>
        <w:rPr>
          <w:rFonts w:ascii="Arial" w:hAnsi="Arial" w:eastAsia="Arial" w:cs="Arial"/>
          <w:color w:val="2C3E50"/>
          <w:sz w:val="22"/>
          <w:szCs w:val="22"/>
        </w:rPr>
        <w:t>Federal tax estimate</w:t>
      </w:r>
    </w:p>
    <w:p w14:paraId="000001C4">
      <w:pPr>
        <w:pStyle w:val="ListParagraph"/>
        <w:numPr>
          <w:ilvl w:val="0"/>
          <w:numId w:val="2"/>
        </w:numPr>
        <w:spacing w:after="60" w:before="60"/>
      </w:pPr>
      <w:r>
        <w:rPr>
          <w:rFonts w:ascii="Arial" w:hAnsi="Arial" w:eastAsia="Arial" w:cs="Arial"/>
          <w:color w:val="2C3E50"/>
          <w:sz w:val="22"/>
          <w:szCs w:val="22"/>
        </w:rPr>
        <w:t>State tax estimate</w:t>
      </w:r>
    </w:p>
    <w:p w14:paraId="000001C5">
      <w:pPr>
        <w:pStyle w:val="ListParagraph"/>
        <w:numPr>
          <w:ilvl w:val="0"/>
          <w:numId w:val="2"/>
        </w:numPr>
        <w:spacing w:after="60" w:before="60"/>
      </w:pPr>
      <w:r>
        <w:rPr>
          <w:rFonts w:ascii="Arial" w:hAnsi="Arial" w:eastAsia="Arial" w:cs="Arial"/>
          <w:color w:val="2C3E50"/>
          <w:sz w:val="22"/>
          <w:szCs w:val="22"/>
        </w:rPr>
        <w:t>FICA liability (usually $0 with explanation)</w:t>
      </w:r>
    </w:p>
    <w:p w14:paraId="000001C6">
      <w:pPr>
        <w:pStyle w:val="ListParagraph"/>
        <w:numPr>
          <w:ilvl w:val="0"/>
          <w:numId w:val="2"/>
        </w:numPr>
        <w:spacing w:after="60" w:before="60"/>
      </w:pPr>
      <w:r>
        <w:rPr>
          <w:rFonts w:ascii="Arial" w:hAnsi="Arial" w:eastAsia="Arial" w:cs="Arial"/>
          <w:color w:val="2C3E50"/>
          <w:sz w:val="22"/>
          <w:szCs w:val="22"/>
        </w:rPr>
        <w:t>Net take-home</w:t>
      </w:r>
    </w:p>
    <w:p w14:paraId="000001C7">
      <w:pPr>
        <w:pStyle w:val="ListParagraph"/>
        <w:numPr>
          <w:ilvl w:val="0"/>
          <w:numId w:val="2"/>
        </w:numPr>
        <w:spacing w:after="60" w:before="60"/>
      </w:pPr>
      <w:r>
        <w:rPr>
          <w:rFonts w:ascii="Arial" w:hAnsi="Arial" w:eastAsia="Arial" w:cs="Arial"/>
          <w:color w:val="2C3E50"/>
          <w:sz w:val="22"/>
          <w:szCs w:val="22"/>
        </w:rPr>
        <w:t>Reminder about quarterly estimated tax payments if applicable</w:t>
      </w:r>
    </w:p>
    <w:p w14:paraId="000001C8">
      <w:pPr>
        <w:pStyle w:val="ListParagraph"/>
        <w:numPr>
          <w:ilvl w:val="0"/>
          <w:numId w:val="2"/>
        </w:numPr>
        <w:spacing w:after="60" w:before="60"/>
      </w:pPr>
      <w:r>
        <w:rPr>
          <w:rFonts w:ascii="Arial" w:hAnsi="Arial" w:eastAsia="Arial" w:cs="Arial"/>
          <w:color w:val="2C3E50"/>
          <w:sz w:val="22"/>
          <w:szCs w:val="22"/>
        </w:rPr>
        <w:t>CTA: Sprintax affiliate link (specialized nonresident tax software)</w:t>
      </w:r>
    </w:p>
    <w:p w14:paraId="000001C9">
      <w:pPr>
        <w:spacing w:after="120" w:before="0"/>
      </w:pPr>
    </w:p>
    <w:p w14:paraId="000001CA">
      <w:pPr>
        <w:pStyle w:val="Heading2"/>
        <w:spacing w:after="160" w:before="320"/>
      </w:pPr>
      <w:r>
        <w:rPr>
          <w:rFonts w:ascii="Arial" w:hAnsi="Arial" w:eastAsia="Arial" w:cs="Arial"/>
          <w:b/>
          <w:bCs/>
          <w:color w:val="2E86C1"/>
          <w:sz w:val="28"/>
          <w:szCs w:val="28"/>
        </w:rPr>
        <w:t>5.5 General Calculator UI Standards</w:t>
      </w:r>
    </w:p>
    <w:p w14:paraId="000001CB">
      <w:pPr>
        <w:pStyle w:val="ListParagraph"/>
        <w:numPr>
          <w:ilvl w:val="0"/>
          <w:numId w:val="2"/>
        </w:numPr>
        <w:spacing w:after="60" w:before="60"/>
      </w:pPr>
      <w:r>
        <w:rPr>
          <w:rFonts w:ascii="Arial" w:hAnsi="Arial" w:eastAsia="Arial" w:cs="Arial"/>
          <w:color w:val="2C3E50"/>
          <w:sz w:val="22"/>
          <w:szCs w:val="22"/>
        </w:rPr>
        <w:t>All calculators must be mobile-responsive — inputs stack vertically on small screens</w:t>
      </w:r>
    </w:p>
    <w:p w14:paraId="000001CC">
      <w:pPr>
        <w:pStyle w:val="ListParagraph"/>
        <w:numPr>
          <w:ilvl w:val="0"/>
          <w:numId w:val="2"/>
        </w:numPr>
        <w:spacing w:after="60" w:before="60"/>
      </w:pPr>
      <w:r>
        <w:rPr>
          <w:rFonts w:ascii="Arial" w:hAnsi="Arial" w:eastAsia="Arial" w:cs="Arial"/>
          <w:color w:val="2C3E50"/>
          <w:sz w:val="22"/>
          <w:szCs w:val="22"/>
        </w:rPr>
        <w:t>Show a loading state when calculating (even if instant) — it signals the tool is working</w:t>
      </w:r>
    </w:p>
    <w:p w14:paraId="000001CD">
      <w:pPr>
        <w:pStyle w:val="ListParagraph"/>
        <w:numPr>
          <w:ilvl w:val="0"/>
          <w:numId w:val="2"/>
        </w:numPr>
        <w:spacing w:after="60" w:before="60"/>
      </w:pPr>
      <w:r>
        <w:rPr>
          <w:rFonts w:ascii="Arial" w:hAnsi="Arial" w:eastAsia="Arial" w:cs="Arial"/>
          <w:color w:val="2C3E50"/>
          <w:sz w:val="22"/>
          <w:szCs w:val="22"/>
        </w:rPr>
        <w:t>Never show an error without a helpful message explaining what went wrong</w:t>
      </w:r>
    </w:p>
    <w:p w14:paraId="000001CE">
      <w:pPr>
        <w:pStyle w:val="ListParagraph"/>
        <w:numPr>
          <w:ilvl w:val="0"/>
          <w:numId w:val="2"/>
        </w:numPr>
        <w:spacing w:after="60" w:before="60"/>
      </w:pPr>
      <w:r>
        <w:rPr>
          <w:rFonts w:ascii="Arial" w:hAnsi="Arial" w:eastAsia="Arial" w:cs="Arial"/>
          <w:color w:val="2C3E50"/>
          <w:sz w:val="22"/>
          <w:szCs w:val="22"/>
        </w:rPr>
        <w:t>All calculator pages must have a written guide below the tool (minimum 600 words) explaining the topic</w:t>
      </w:r>
    </w:p>
    <w:p w14:paraId="000001CF">
      <w:pPr>
        <w:pStyle w:val="ListParagraph"/>
        <w:numPr>
          <w:ilvl w:val="0"/>
          <w:numId w:val="2"/>
        </w:numPr>
        <w:spacing w:after="60" w:before="60"/>
      </w:pPr>
      <w:r>
        <w:rPr>
          <w:rFonts w:ascii="Arial" w:hAnsi="Arial" w:eastAsia="Arial" w:cs="Arial"/>
          <w:color w:val="2C3E50"/>
          <w:sz w:val="22"/>
          <w:szCs w:val="22"/>
        </w:rPr>
        <w:t>Add schema markup (FAQPage or HowTo) to every calculator page for SEO</w:t>
      </w:r>
    </w:p>
    <w:p w14:paraId="000001D0">
      <w:r>
        <w:br w:type="page"/>
      </w:r>
    </w:p>
    <w:p w14:paraId="000001D1">
      <w:pPr>
        <w:pStyle w:val="Heading1"/>
        <w:spacing w:after="200" w:before="400"/>
      </w:pPr>
      <w:r>
        <w:rPr>
          <w:rFonts w:ascii="Arial" w:hAnsi="Arial" w:eastAsia="Arial" w:cs="Arial"/>
          <w:b/>
          <w:bCs/>
          <w:color w:val="1B3A6B"/>
          <w:sz w:val="36"/>
          <w:szCs w:val="36"/>
        </w:rPr>
        <w:t>6. SEO Technical Requirements</w:t>
      </w:r>
    </w:p>
    <w:p w14:paraId="000001D2">
      <w:pPr>
        <w:pBdr>
          <w:bottom w:val="single" w:color="D0D8E4" w:sz="4" w:space="1"/>
        </w:pBdr>
        <w:spacing w:after="200" w:before="200"/>
      </w:pPr>
    </w:p>
    <w:p w14:paraId="000001D3">
      <w:pPr>
        <w:pStyle w:val="Heading2"/>
        <w:spacing w:after="160" w:before="320"/>
      </w:pPr>
      <w:r>
        <w:rPr>
          <w:rFonts w:ascii="Arial" w:hAnsi="Arial" w:eastAsia="Arial" w:cs="Arial"/>
          <w:b/>
          <w:bCs/>
          <w:color w:val="2E86C1"/>
          <w:sz w:val="28"/>
          <w:szCs w:val="28"/>
        </w:rPr>
        <w:t>6.1 On-Page SEO Checklist</w:t>
      </w:r>
    </w:p>
    <w:p w14:paraId="000001D4">
      <w:pPr>
        <w:spacing w:after="120" w:before="80"/>
      </w:pPr>
      <w:r>
        <w:rPr>
          <w:rFonts w:ascii="Arial" w:hAnsi="Arial" w:eastAsia="Arial" w:cs="Arial"/>
          <w:color w:val="2C3E50"/>
          <w:sz w:val="22"/>
          <w:szCs w:val="22"/>
        </w:rPr>
        <w:t>The developer and content team are jointly responsible for ensuring every published page meets these requirements before going live.</w:t>
      </w:r>
    </w:p>
    <w:p w14:paraId="000001D5">
      <w:pPr>
        <w:spacing w:after="120" w:before="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520"/>
      </w:tblGrid>
      <w:tr w14:paraId="000001D6">
        <w:tc>
          <w:tcPr>
            <w:tcW w:w="2160" w:type="dxa"/>
            <w:tcBorders>
              <w:top w:val="single" w:color="D0D8E4" w:sz="1"/>
              <w:left w:val="single" w:color="D0D8E4" w:sz="1"/>
              <w:bottom w:val="single" w:color="D0D8E4" w:sz="1"/>
              <w:right w:val="single" w:color="D0D8E4" w:sz="1"/>
            </w:tcBorders>
            <w:shd w:fill="1B3A6B" w:val="clear"/>
            <w:tcMar>
              <w:top w:w="80" w:type="dxa"/>
              <w:left w:w="120" w:type="dxa"/>
              <w:bottom w:w="80" w:type="dxa"/>
              <w:right w:w="120" w:type="dxa"/>
            </w:tcMar>
          </w:tcPr>
          <w:p w14:paraId="000001D7">
            <w:r>
              <w:rPr>
                <w:rFonts w:ascii="Arial" w:hAnsi="Arial" w:eastAsia="Arial" w:cs="Arial"/>
                <w:b/>
                <w:bCs/>
                <w:color w:val="FFFFFF"/>
                <w:sz w:val="20"/>
                <w:szCs w:val="20"/>
              </w:rPr>
              <w:t>SEO Element</w:t>
            </w:r>
          </w:p>
        </w:tc>
        <w:tc>
          <w:tcPr>
            <w:tcW w:w="4680" w:type="dxa"/>
            <w:tcBorders>
              <w:top w:val="single" w:color="D0D8E4" w:sz="1"/>
              <w:left w:val="single" w:color="D0D8E4" w:sz="1"/>
              <w:bottom w:val="single" w:color="D0D8E4" w:sz="1"/>
              <w:right w:val="single" w:color="D0D8E4" w:sz="1"/>
            </w:tcBorders>
            <w:shd w:fill="1B3A6B" w:val="clear"/>
            <w:tcMar>
              <w:top w:w="80" w:type="dxa"/>
              <w:left w:w="120" w:type="dxa"/>
              <w:bottom w:w="80" w:type="dxa"/>
              <w:right w:w="120" w:type="dxa"/>
            </w:tcMar>
          </w:tcPr>
          <w:p w14:paraId="000001D8">
            <w:r>
              <w:rPr>
                <w:rFonts w:ascii="Arial" w:hAnsi="Arial" w:eastAsia="Arial" w:cs="Arial"/>
                <w:b/>
                <w:bCs/>
                <w:color w:val="FFFFFF"/>
                <w:sz w:val="20"/>
                <w:szCs w:val="20"/>
              </w:rPr>
              <w:t>Requirement</w:t>
            </w:r>
          </w:p>
        </w:tc>
        <w:tc>
          <w:tcPr>
            <w:tcW w:w="2520" w:type="dxa"/>
            <w:tcBorders>
              <w:top w:val="single" w:color="D0D8E4" w:sz="1"/>
              <w:left w:val="single" w:color="D0D8E4" w:sz="1"/>
              <w:bottom w:val="single" w:color="D0D8E4" w:sz="1"/>
              <w:right w:val="single" w:color="D0D8E4" w:sz="1"/>
            </w:tcBorders>
            <w:shd w:fill="1B3A6B" w:val="clear"/>
            <w:tcMar>
              <w:top w:w="80" w:type="dxa"/>
              <w:left w:w="120" w:type="dxa"/>
              <w:bottom w:w="80" w:type="dxa"/>
              <w:right w:w="120" w:type="dxa"/>
            </w:tcMar>
          </w:tcPr>
          <w:p w14:paraId="000001D9">
            <w:r>
              <w:rPr>
                <w:rFonts w:ascii="Arial" w:hAnsi="Arial" w:eastAsia="Arial" w:cs="Arial"/>
                <w:b/>
                <w:bCs/>
                <w:color w:val="FFFFFF"/>
                <w:sz w:val="20"/>
                <w:szCs w:val="20"/>
              </w:rPr>
              <w:t>Who is Responsible</w:t>
            </w:r>
          </w:p>
        </w:tc>
      </w:tr>
      <w:tr w14:paraId="000001DA">
        <w:tc>
          <w:tcPr>
            <w:tcW w:w="216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DB">
            <w:r>
              <w:rPr>
                <w:rFonts w:ascii="Arial" w:hAnsi="Arial" w:eastAsia="Arial" w:cs="Arial"/>
                <w:color w:val="2C3E50"/>
                <w:sz w:val="20"/>
                <w:szCs w:val="20"/>
              </w:rPr>
              <w:t>Page Title</w:t>
            </w:r>
          </w:p>
        </w:tc>
        <w:tc>
          <w:tcPr>
            <w:tcW w:w="468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DC">
            <w:r>
              <w:rPr>
                <w:rFonts w:ascii="Arial" w:hAnsi="Arial" w:eastAsia="Arial" w:cs="Arial"/>
                <w:color w:val="2C3E50"/>
                <w:sz w:val="20"/>
                <w:szCs w:val="20"/>
              </w:rPr>
              <w:t>50–60 characters | Include primary keyword | Include brand name at end</w:t>
            </w:r>
          </w:p>
        </w:tc>
        <w:tc>
          <w:tcPr>
            <w:tcW w:w="25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DD">
            <w:r>
              <w:rPr>
                <w:rFonts w:ascii="Arial" w:hAnsi="Arial" w:eastAsia="Arial" w:cs="Arial"/>
                <w:color w:val="2C3E50"/>
                <w:sz w:val="20"/>
                <w:szCs w:val="20"/>
              </w:rPr>
              <w:t>Content Writer</w:t>
            </w:r>
          </w:p>
        </w:tc>
      </w:tr>
      <w:tr w14:paraId="000001DE">
        <w:tc>
          <w:tcPr>
            <w:tcW w:w="216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DF">
            <w:r>
              <w:rPr>
                <w:rFonts w:ascii="Arial" w:hAnsi="Arial" w:eastAsia="Arial" w:cs="Arial"/>
                <w:color w:val="2C3E50"/>
                <w:sz w:val="20"/>
                <w:szCs w:val="20"/>
              </w:rPr>
              <w:t>Meta Description</w:t>
            </w:r>
          </w:p>
        </w:tc>
        <w:tc>
          <w:tcPr>
            <w:tcW w:w="468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E0">
            <w:r>
              <w:rPr>
                <w:rFonts w:ascii="Arial" w:hAnsi="Arial" w:eastAsia="Arial" w:cs="Arial"/>
                <w:color w:val="2C3E50"/>
                <w:sz w:val="20"/>
                <w:szCs w:val="20"/>
              </w:rPr>
              <w:t>140–160 characters | Include keyword | Include a benefit or number</w:t>
            </w:r>
          </w:p>
        </w:tc>
        <w:tc>
          <w:tcPr>
            <w:tcW w:w="252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E1">
            <w:r>
              <w:rPr>
                <w:rFonts w:ascii="Arial" w:hAnsi="Arial" w:eastAsia="Arial" w:cs="Arial"/>
                <w:color w:val="2C3E50"/>
                <w:sz w:val="20"/>
                <w:szCs w:val="20"/>
              </w:rPr>
              <w:t>Content Writer</w:t>
            </w:r>
          </w:p>
        </w:tc>
      </w:tr>
      <w:tr w14:paraId="000001E2">
        <w:tc>
          <w:tcPr>
            <w:tcW w:w="216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E3">
            <w:r>
              <w:rPr>
                <w:rFonts w:ascii="Arial" w:hAnsi="Arial" w:eastAsia="Arial" w:cs="Arial"/>
                <w:color w:val="2C3E50"/>
                <w:sz w:val="20"/>
                <w:szCs w:val="20"/>
              </w:rPr>
              <w:t>H1 Tag</w:t>
            </w:r>
          </w:p>
        </w:tc>
        <w:tc>
          <w:tcPr>
            <w:tcW w:w="468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E4">
            <w:r>
              <w:rPr>
                <w:rFonts w:ascii="Arial" w:hAnsi="Arial" w:eastAsia="Arial" w:cs="Arial"/>
                <w:color w:val="2C3E50"/>
                <w:sz w:val="20"/>
                <w:szCs w:val="20"/>
              </w:rPr>
              <w:t>Exactly one per page | Contains primary keyword | Matches search intent</w:t>
            </w:r>
          </w:p>
        </w:tc>
        <w:tc>
          <w:tcPr>
            <w:tcW w:w="25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E5">
            <w:r>
              <w:rPr>
                <w:rFonts w:ascii="Arial" w:hAnsi="Arial" w:eastAsia="Arial" w:cs="Arial"/>
                <w:color w:val="2C3E50"/>
                <w:sz w:val="20"/>
                <w:szCs w:val="20"/>
              </w:rPr>
              <w:t>Content Writer</w:t>
            </w:r>
          </w:p>
        </w:tc>
      </w:tr>
      <w:tr w14:paraId="000001E6">
        <w:tc>
          <w:tcPr>
            <w:tcW w:w="216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E7">
            <w:r>
              <w:rPr>
                <w:rFonts w:ascii="Arial" w:hAnsi="Arial" w:eastAsia="Arial" w:cs="Arial"/>
                <w:color w:val="2C3E50"/>
                <w:sz w:val="20"/>
                <w:szCs w:val="20"/>
              </w:rPr>
              <w:t>URL Slug</w:t>
            </w:r>
          </w:p>
        </w:tc>
        <w:tc>
          <w:tcPr>
            <w:tcW w:w="468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E8">
            <w:r>
              <w:rPr>
                <w:rFonts w:ascii="Arial" w:hAnsi="Arial" w:eastAsia="Arial" w:cs="Arial"/>
                <w:color w:val="2C3E50"/>
                <w:sz w:val="20"/>
                <w:szCs w:val="20"/>
              </w:rPr>
              <w:t>Short, lowercase, hyphenated | Contains primary keyword | No stop words</w:t>
            </w:r>
          </w:p>
        </w:tc>
        <w:tc>
          <w:tcPr>
            <w:tcW w:w="252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E9">
            <w:r>
              <w:rPr>
                <w:rFonts w:ascii="Arial" w:hAnsi="Arial" w:eastAsia="Arial" w:cs="Arial"/>
                <w:color w:val="2C3E50"/>
                <w:sz w:val="20"/>
                <w:szCs w:val="20"/>
              </w:rPr>
              <w:t>Developer</w:t>
            </w:r>
          </w:p>
        </w:tc>
      </w:tr>
      <w:tr w14:paraId="000001EA">
        <w:tc>
          <w:tcPr>
            <w:tcW w:w="216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EB">
            <w:r>
              <w:rPr>
                <w:rFonts w:ascii="Arial" w:hAnsi="Arial" w:eastAsia="Arial" w:cs="Arial"/>
                <w:color w:val="2C3E50"/>
                <w:sz w:val="20"/>
                <w:szCs w:val="20"/>
              </w:rPr>
              <w:t>Internal Links</w:t>
            </w:r>
          </w:p>
        </w:tc>
        <w:tc>
          <w:tcPr>
            <w:tcW w:w="468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EC">
            <w:r>
              <w:rPr>
                <w:rFonts w:ascii="Arial" w:hAnsi="Arial" w:eastAsia="Arial" w:cs="Arial"/>
                <w:color w:val="2C3E50"/>
                <w:sz w:val="20"/>
                <w:szCs w:val="20"/>
              </w:rPr>
              <w:t>Minimum 3 per article pointing to relevant pillar pages or calculators</w:t>
            </w:r>
          </w:p>
        </w:tc>
        <w:tc>
          <w:tcPr>
            <w:tcW w:w="25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ED">
            <w:r>
              <w:rPr>
                <w:rFonts w:ascii="Arial" w:hAnsi="Arial" w:eastAsia="Arial" w:cs="Arial"/>
                <w:color w:val="2C3E50"/>
                <w:sz w:val="20"/>
                <w:szCs w:val="20"/>
              </w:rPr>
              <w:t>Content Writer</w:t>
            </w:r>
          </w:p>
        </w:tc>
      </w:tr>
      <w:tr w14:paraId="000001EE">
        <w:tc>
          <w:tcPr>
            <w:tcW w:w="216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EF">
            <w:r>
              <w:rPr>
                <w:rFonts w:ascii="Arial" w:hAnsi="Arial" w:eastAsia="Arial" w:cs="Arial"/>
                <w:color w:val="2C3E50"/>
                <w:sz w:val="20"/>
                <w:szCs w:val="20"/>
              </w:rPr>
              <w:t>Image Alt Text</w:t>
            </w:r>
          </w:p>
        </w:tc>
        <w:tc>
          <w:tcPr>
            <w:tcW w:w="468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F0">
            <w:r>
              <w:rPr>
                <w:rFonts w:ascii="Arial" w:hAnsi="Arial" w:eastAsia="Arial" w:cs="Arial"/>
                <w:color w:val="2C3E50"/>
                <w:sz w:val="20"/>
                <w:szCs w:val="20"/>
              </w:rPr>
              <w:t>Descriptive, keyword-relevant, under 125 characters</w:t>
            </w:r>
          </w:p>
        </w:tc>
        <w:tc>
          <w:tcPr>
            <w:tcW w:w="252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F1">
            <w:r>
              <w:rPr>
                <w:rFonts w:ascii="Arial" w:hAnsi="Arial" w:eastAsia="Arial" w:cs="Arial"/>
                <w:color w:val="2C3E50"/>
                <w:sz w:val="20"/>
                <w:szCs w:val="20"/>
              </w:rPr>
              <w:t>Content Writer</w:t>
            </w:r>
          </w:p>
        </w:tc>
      </w:tr>
      <w:tr w14:paraId="000001F2">
        <w:tc>
          <w:tcPr>
            <w:tcW w:w="216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F3">
            <w:r>
              <w:rPr>
                <w:rFonts w:ascii="Arial" w:hAnsi="Arial" w:eastAsia="Arial" w:cs="Arial"/>
                <w:color w:val="2C3E50"/>
                <w:sz w:val="20"/>
                <w:szCs w:val="20"/>
              </w:rPr>
              <w:t>Schema Markup</w:t>
            </w:r>
          </w:p>
        </w:tc>
        <w:tc>
          <w:tcPr>
            <w:tcW w:w="468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F4">
            <w:r>
              <w:rPr>
                <w:rFonts w:ascii="Arial" w:hAnsi="Arial" w:eastAsia="Arial" w:cs="Arial"/>
                <w:color w:val="2C3E50"/>
                <w:sz w:val="20"/>
                <w:szCs w:val="20"/>
              </w:rPr>
              <w:t>Article schema on blog posts | FAQ schema on guides | HowTo on calculators</w:t>
            </w:r>
          </w:p>
        </w:tc>
        <w:tc>
          <w:tcPr>
            <w:tcW w:w="25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F5">
            <w:r>
              <w:rPr>
                <w:rFonts w:ascii="Arial" w:hAnsi="Arial" w:eastAsia="Arial" w:cs="Arial"/>
                <w:color w:val="2C3E50"/>
                <w:sz w:val="20"/>
                <w:szCs w:val="20"/>
              </w:rPr>
              <w:t>Developer</w:t>
            </w:r>
          </w:p>
        </w:tc>
      </w:tr>
      <w:tr w14:paraId="000001F6">
        <w:tc>
          <w:tcPr>
            <w:tcW w:w="216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F7">
            <w:r>
              <w:rPr>
                <w:rFonts w:ascii="Arial" w:hAnsi="Arial" w:eastAsia="Arial" w:cs="Arial"/>
                <w:color w:val="2C3E50"/>
                <w:sz w:val="20"/>
                <w:szCs w:val="20"/>
              </w:rPr>
              <w:t>Page Speed</w:t>
            </w:r>
          </w:p>
        </w:tc>
        <w:tc>
          <w:tcPr>
            <w:tcW w:w="468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F8">
            <w:r>
              <w:rPr>
                <w:rFonts w:ascii="Arial" w:hAnsi="Arial" w:eastAsia="Arial" w:cs="Arial"/>
                <w:color w:val="2C3E50"/>
                <w:sz w:val="20"/>
                <w:szCs w:val="20"/>
              </w:rPr>
              <w:t>Core Web Vitals pass | LCP under 2.5s | CLS under 0.1 | FID under 100ms</w:t>
            </w:r>
          </w:p>
        </w:tc>
        <w:tc>
          <w:tcPr>
            <w:tcW w:w="252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F9">
            <w:r>
              <w:rPr>
                <w:rFonts w:ascii="Arial" w:hAnsi="Arial" w:eastAsia="Arial" w:cs="Arial"/>
                <w:color w:val="2C3E50"/>
                <w:sz w:val="20"/>
                <w:szCs w:val="20"/>
              </w:rPr>
              <w:t>Developer</w:t>
            </w:r>
          </w:p>
        </w:tc>
      </w:tr>
      <w:tr w14:paraId="000001FA">
        <w:tc>
          <w:tcPr>
            <w:tcW w:w="216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FB">
            <w:r>
              <w:rPr>
                <w:rFonts w:ascii="Arial" w:hAnsi="Arial" w:eastAsia="Arial" w:cs="Arial"/>
                <w:color w:val="2C3E50"/>
                <w:sz w:val="20"/>
                <w:szCs w:val="20"/>
              </w:rPr>
              <w:t>Mobile Responsiveness</w:t>
            </w:r>
          </w:p>
        </w:tc>
        <w:tc>
          <w:tcPr>
            <w:tcW w:w="468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FC">
            <w:r>
              <w:rPr>
                <w:rFonts w:ascii="Arial" w:hAnsi="Arial" w:eastAsia="Arial" w:cs="Arial"/>
                <w:color w:val="2C3E50"/>
                <w:sz w:val="20"/>
                <w:szCs w:val="20"/>
              </w:rPr>
              <w:t>All pages fully functional and readable on 375px viewport</w:t>
            </w:r>
          </w:p>
        </w:tc>
        <w:tc>
          <w:tcPr>
            <w:tcW w:w="25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1FD">
            <w:r>
              <w:rPr>
                <w:rFonts w:ascii="Arial" w:hAnsi="Arial" w:eastAsia="Arial" w:cs="Arial"/>
                <w:color w:val="2C3E50"/>
                <w:sz w:val="20"/>
                <w:szCs w:val="20"/>
              </w:rPr>
              <w:t>Developer</w:t>
            </w:r>
          </w:p>
        </w:tc>
      </w:tr>
      <w:tr w14:paraId="000001FE">
        <w:tc>
          <w:tcPr>
            <w:tcW w:w="216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1FF">
            <w:r>
              <w:rPr>
                <w:rFonts w:ascii="Arial" w:hAnsi="Arial" w:eastAsia="Arial" w:cs="Arial"/>
                <w:color w:val="2C3E50"/>
                <w:sz w:val="20"/>
                <w:szCs w:val="20"/>
              </w:rPr>
              <w:t>Canonical Tag</w:t>
            </w:r>
          </w:p>
        </w:tc>
        <w:tc>
          <w:tcPr>
            <w:tcW w:w="468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00">
            <w:r>
              <w:rPr>
                <w:rFonts w:ascii="Arial" w:hAnsi="Arial" w:eastAsia="Arial" w:cs="Arial"/>
                <w:color w:val="2C3E50"/>
                <w:sz w:val="20"/>
                <w:szCs w:val="20"/>
              </w:rPr>
              <w:t>Every page must have a self-referencing canonical tag</w:t>
            </w:r>
          </w:p>
        </w:tc>
        <w:tc>
          <w:tcPr>
            <w:tcW w:w="252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01">
            <w:r>
              <w:rPr>
                <w:rFonts w:ascii="Arial" w:hAnsi="Arial" w:eastAsia="Arial" w:cs="Arial"/>
                <w:color w:val="2C3E50"/>
                <w:sz w:val="20"/>
                <w:szCs w:val="20"/>
              </w:rPr>
              <w:t>Developer</w:t>
            </w:r>
          </w:p>
        </w:tc>
      </w:tr>
      <w:tr w14:paraId="00000202">
        <w:tc>
          <w:tcPr>
            <w:tcW w:w="216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03">
            <w:r>
              <w:rPr>
                <w:rFonts w:ascii="Arial" w:hAnsi="Arial" w:eastAsia="Arial" w:cs="Arial"/>
                <w:color w:val="2C3E50"/>
                <w:sz w:val="20"/>
                <w:szCs w:val="20"/>
              </w:rPr>
              <w:t>XML Sitemap</w:t>
            </w:r>
          </w:p>
        </w:tc>
        <w:tc>
          <w:tcPr>
            <w:tcW w:w="468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04">
            <w:r>
              <w:rPr>
                <w:rFonts w:ascii="Arial" w:hAnsi="Arial" w:eastAsia="Arial" w:cs="Arial"/>
                <w:color w:val="2C3E50"/>
                <w:sz w:val="20"/>
                <w:szCs w:val="20"/>
              </w:rPr>
              <w:t>Auto-generated, submitted to Google Search Console</w:t>
            </w:r>
          </w:p>
        </w:tc>
        <w:tc>
          <w:tcPr>
            <w:tcW w:w="25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05">
            <w:r>
              <w:rPr>
                <w:rFonts w:ascii="Arial" w:hAnsi="Arial" w:eastAsia="Arial" w:cs="Arial"/>
                <w:color w:val="2C3E50"/>
                <w:sz w:val="20"/>
                <w:szCs w:val="20"/>
              </w:rPr>
              <w:t>Developer</w:t>
            </w:r>
          </w:p>
        </w:tc>
      </w:tr>
      <w:tr w14:paraId="00000206">
        <w:tc>
          <w:tcPr>
            <w:tcW w:w="216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07">
            <w:r>
              <w:rPr>
                <w:rFonts w:ascii="Arial" w:hAnsi="Arial" w:eastAsia="Arial" w:cs="Arial"/>
                <w:color w:val="2C3E50"/>
                <w:sz w:val="20"/>
                <w:szCs w:val="20"/>
              </w:rPr>
              <w:t>Robots.txt</w:t>
            </w:r>
          </w:p>
        </w:tc>
        <w:tc>
          <w:tcPr>
            <w:tcW w:w="468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08">
            <w:r>
              <w:rPr>
                <w:rFonts w:ascii="Arial" w:hAnsi="Arial" w:eastAsia="Arial" w:cs="Arial"/>
                <w:color w:val="2C3E50"/>
                <w:sz w:val="20"/>
                <w:szCs w:val="20"/>
              </w:rPr>
              <w:t>Must not block any content pages or calculator pages</w:t>
            </w:r>
          </w:p>
        </w:tc>
        <w:tc>
          <w:tcPr>
            <w:tcW w:w="252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09">
            <w:r>
              <w:rPr>
                <w:rFonts w:ascii="Arial" w:hAnsi="Arial" w:eastAsia="Arial" w:cs="Arial"/>
                <w:color w:val="2C3E50"/>
                <w:sz w:val="20"/>
                <w:szCs w:val="20"/>
              </w:rPr>
              <w:t>Developer</w:t>
            </w:r>
          </w:p>
        </w:tc>
      </w:tr>
    </w:tbl>
    <w:p w14:paraId="0000020A">
      <w:pPr>
        <w:spacing w:after="120" w:before="0"/>
      </w:pPr>
    </w:p>
    <w:p w14:paraId="0000020B">
      <w:pPr>
        <w:pStyle w:val="Heading2"/>
        <w:spacing w:after="160" w:before="320"/>
      </w:pPr>
      <w:r>
        <w:rPr>
          <w:rFonts w:ascii="Arial" w:hAnsi="Arial" w:eastAsia="Arial" w:cs="Arial"/>
          <w:b/>
          <w:bCs/>
          <w:color w:val="2E86C1"/>
          <w:sz w:val="28"/>
          <w:szCs w:val="28"/>
        </w:rPr>
        <w:t>6.2 Site Speed Requirements</w:t>
      </w:r>
    </w:p>
    <w:p w14:paraId="0000020C">
      <w:pPr>
        <w:pStyle w:val="ListParagraph"/>
        <w:numPr>
          <w:ilvl w:val="0"/>
          <w:numId w:val="2"/>
        </w:numPr>
        <w:spacing w:after="60" w:before="60"/>
      </w:pPr>
      <w:r>
        <w:rPr>
          <w:rFonts w:ascii="Arial" w:hAnsi="Arial" w:eastAsia="Arial" w:cs="Arial"/>
          <w:color w:val="2C3E50"/>
          <w:sz w:val="22"/>
          <w:szCs w:val="22"/>
        </w:rPr>
        <w:t>Images: Compress all images to under 150KB — use WebP format</w:t>
      </w:r>
    </w:p>
    <w:p w14:paraId="0000020D">
      <w:pPr>
        <w:pStyle w:val="ListParagraph"/>
        <w:numPr>
          <w:ilvl w:val="0"/>
          <w:numId w:val="2"/>
        </w:numPr>
        <w:spacing w:after="60" w:before="60"/>
      </w:pPr>
      <w:r>
        <w:rPr>
          <w:rFonts w:ascii="Arial" w:hAnsi="Arial" w:eastAsia="Arial" w:cs="Arial"/>
          <w:color w:val="2C3E50"/>
          <w:sz w:val="22"/>
          <w:szCs w:val="22"/>
        </w:rPr>
        <w:t>Lazy loading: Enable for all images below the fold</w:t>
      </w:r>
    </w:p>
    <w:p w14:paraId="0000020E">
      <w:pPr>
        <w:pStyle w:val="ListParagraph"/>
        <w:numPr>
          <w:ilvl w:val="0"/>
          <w:numId w:val="2"/>
        </w:numPr>
        <w:spacing w:after="60" w:before="60"/>
      </w:pPr>
      <w:r>
        <w:rPr>
          <w:rFonts w:ascii="Arial" w:hAnsi="Arial" w:eastAsia="Arial" w:cs="Arial"/>
          <w:color w:val="2C3E50"/>
          <w:sz w:val="22"/>
          <w:szCs w:val="22"/>
        </w:rPr>
        <w:t>Caching: Enable server-side caching on Hostinger</w:t>
      </w:r>
    </w:p>
    <w:p w14:paraId="0000020F">
      <w:pPr>
        <w:pStyle w:val="ListParagraph"/>
        <w:numPr>
          <w:ilvl w:val="0"/>
          <w:numId w:val="2"/>
        </w:numPr>
        <w:spacing w:after="60" w:before="60"/>
      </w:pPr>
      <w:r>
        <w:rPr>
          <w:rFonts w:ascii="Arial" w:hAnsi="Arial" w:eastAsia="Arial" w:cs="Arial"/>
          <w:color w:val="2C3E50"/>
          <w:sz w:val="22"/>
          <w:szCs w:val="22"/>
        </w:rPr>
        <w:t>CDN: Enable Hostinger's built-in CDN for static assets</w:t>
      </w:r>
    </w:p>
    <w:p w14:paraId="00000210">
      <w:pPr>
        <w:pStyle w:val="ListParagraph"/>
        <w:numPr>
          <w:ilvl w:val="0"/>
          <w:numId w:val="2"/>
        </w:numPr>
        <w:spacing w:after="60" w:before="60"/>
      </w:pPr>
      <w:r>
        <w:rPr>
          <w:rFonts w:ascii="Arial" w:hAnsi="Arial" w:eastAsia="Arial" w:cs="Arial"/>
          <w:color w:val="2C3E50"/>
          <w:sz w:val="22"/>
          <w:szCs w:val="22"/>
        </w:rPr>
        <w:t>Minification: Minify CSS, JS, and HTML — most WordPress themes handle this with a plugin</w:t>
      </w:r>
    </w:p>
    <w:p w14:paraId="00000211">
      <w:pPr>
        <w:pStyle w:val="ListParagraph"/>
        <w:numPr>
          <w:ilvl w:val="0"/>
          <w:numId w:val="2"/>
        </w:numPr>
        <w:spacing w:after="60" w:before="60"/>
      </w:pPr>
      <w:r>
        <w:rPr>
          <w:rFonts w:ascii="Arial" w:hAnsi="Arial" w:eastAsia="Arial" w:cs="Arial"/>
          <w:color w:val="2C3E50"/>
          <w:sz w:val="22"/>
          <w:szCs w:val="22"/>
        </w:rPr>
        <w:t>Google Fonts: Self-host or use font-display: swap to prevent render blocking</w:t>
      </w:r>
    </w:p>
    <w:p w14:paraId="00000212">
      <w:pPr>
        <w:spacing w:after="120" w:before="0"/>
      </w:pPr>
    </w:p>
    <w:p w14:paraId="00000213">
      <w:pPr>
        <w:pStyle w:val="Heading2"/>
        <w:spacing w:after="160" w:before="320"/>
      </w:pPr>
      <w:r>
        <w:rPr>
          <w:rFonts w:ascii="Arial" w:hAnsi="Arial" w:eastAsia="Arial" w:cs="Arial"/>
          <w:b/>
          <w:bCs/>
          <w:color w:val="2E86C1"/>
          <w:sz w:val="28"/>
          <w:szCs w:val="28"/>
        </w:rPr>
        <w:t>6.3 Google Search Console Setup</w:t>
      </w:r>
    </w:p>
    <w:p w14:paraId="00000214">
      <w:pPr>
        <w:pStyle w:val="ListParagraph"/>
        <w:numPr>
          <w:ilvl w:val="0"/>
          <w:numId w:val="3"/>
        </w:numPr>
        <w:spacing w:after="60" w:before="60"/>
      </w:pPr>
      <w:r>
        <w:rPr>
          <w:rFonts w:ascii="Arial" w:hAnsi="Arial" w:eastAsia="Arial" w:cs="Arial"/>
          <w:color w:val="2C3E50"/>
          <w:sz w:val="22"/>
          <w:szCs w:val="22"/>
        </w:rPr>
        <w:t>Verify Finovly.com ownership in Google Search Console</w:t>
      </w:r>
    </w:p>
    <w:p w14:paraId="00000215">
      <w:pPr>
        <w:pStyle w:val="ListParagraph"/>
        <w:numPr>
          <w:ilvl w:val="0"/>
          <w:numId w:val="3"/>
        </w:numPr>
        <w:spacing w:after="60" w:before="60"/>
      </w:pPr>
      <w:r>
        <w:rPr>
          <w:rFonts w:ascii="Arial" w:hAnsi="Arial" w:eastAsia="Arial" w:cs="Arial"/>
          <w:color w:val="2C3E50"/>
          <w:sz w:val="22"/>
          <w:szCs w:val="22"/>
        </w:rPr>
        <w:t>Submit sitemap.xml once all Phase 1 content is live</w:t>
      </w:r>
    </w:p>
    <w:p w14:paraId="00000216">
      <w:pPr>
        <w:pStyle w:val="ListParagraph"/>
        <w:numPr>
          <w:ilvl w:val="0"/>
          <w:numId w:val="3"/>
        </w:numPr>
        <w:spacing w:after="60" w:before="60"/>
      </w:pPr>
      <w:r>
        <w:rPr>
          <w:rFonts w:ascii="Arial" w:hAnsi="Arial" w:eastAsia="Arial" w:cs="Arial"/>
          <w:color w:val="2C3E50"/>
          <w:sz w:val="22"/>
          <w:szCs w:val="22"/>
        </w:rPr>
        <w:t>Check for crawl errors weekly for the first 3 months</w:t>
      </w:r>
    </w:p>
    <w:p w14:paraId="00000217">
      <w:pPr>
        <w:pStyle w:val="ListParagraph"/>
        <w:numPr>
          <w:ilvl w:val="0"/>
          <w:numId w:val="3"/>
        </w:numPr>
        <w:spacing w:after="60" w:before="60"/>
      </w:pPr>
      <w:r>
        <w:rPr>
          <w:rFonts w:ascii="Arial" w:hAnsi="Arial" w:eastAsia="Arial" w:cs="Arial"/>
          <w:color w:val="2C3E50"/>
          <w:sz w:val="22"/>
          <w:szCs w:val="22"/>
        </w:rPr>
        <w:t>Monitor Core Web Vitals report monthly</w:t>
      </w:r>
    </w:p>
    <w:p w14:paraId="00000218">
      <w:pPr>
        <w:pStyle w:val="ListParagraph"/>
        <w:numPr>
          <w:ilvl w:val="0"/>
          <w:numId w:val="3"/>
        </w:numPr>
        <w:spacing w:after="60" w:before="60"/>
      </w:pPr>
      <w:r>
        <w:rPr>
          <w:rFonts w:ascii="Arial" w:hAnsi="Arial" w:eastAsia="Arial" w:cs="Arial"/>
          <w:color w:val="2C3E50"/>
          <w:sz w:val="22"/>
          <w:szCs w:val="22"/>
        </w:rPr>
        <w:t>Set up email alerts for manual actions or coverage issues</w:t>
      </w:r>
    </w:p>
    <w:p w14:paraId="00000219">
      <w:r>
        <w:br w:type="page"/>
      </w:r>
    </w:p>
    <w:p w14:paraId="0000021A">
      <w:pPr>
        <w:pStyle w:val="Heading1"/>
        <w:spacing w:after="200" w:before="400"/>
      </w:pPr>
      <w:r>
        <w:rPr>
          <w:rFonts w:ascii="Arial" w:hAnsi="Arial" w:eastAsia="Arial" w:cs="Arial"/>
          <w:b/>
          <w:bCs/>
          <w:color w:val="1B3A6B"/>
          <w:sz w:val="36"/>
          <w:szCs w:val="36"/>
        </w:rPr>
        <w:t>7. Affiliate Monetization Setup</w:t>
      </w:r>
    </w:p>
    <w:p w14:paraId="0000021B">
      <w:pPr>
        <w:pBdr>
          <w:bottom w:val="single" w:color="D0D8E4" w:sz="4" w:space="1"/>
        </w:pBdr>
        <w:spacing w:after="200" w:before="200"/>
      </w:pPr>
    </w:p>
    <w:p w14:paraId="0000021C">
      <w:pPr>
        <w:pStyle w:val="Heading2"/>
        <w:spacing w:after="160" w:before="320"/>
      </w:pPr>
      <w:r>
        <w:rPr>
          <w:rFonts w:ascii="Arial" w:hAnsi="Arial" w:eastAsia="Arial" w:cs="Arial"/>
          <w:b/>
          <w:bCs/>
          <w:color w:val="2E86C1"/>
          <w:sz w:val="28"/>
          <w:szCs w:val="28"/>
        </w:rPr>
        <w:t>7.1 Affiliate Programs to Apply For</w:t>
      </w:r>
    </w:p>
    <w:p w14:paraId="0000021D">
      <w:pPr>
        <w:spacing w:after="120" w:before="80"/>
      </w:pPr>
      <w:r>
        <w:rPr>
          <w:rFonts w:ascii="Arial" w:hAnsi="Arial" w:eastAsia="Arial" w:cs="Arial"/>
          <w:color w:val="2C3E50"/>
          <w:sz w:val="22"/>
          <w:szCs w:val="22"/>
        </w:rPr>
        <w:t>Apply to these programs in Week 2–3, before content is published. Some programs take 2–4 weeks to approve. The content team should not add affiliate links until approval is confirmed.</w:t>
      </w:r>
    </w:p>
    <w:p w14:paraId="0000021E">
      <w:pPr>
        <w:spacing w:after="120" w:before="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2160"/>
        <w:gridCol w:w="2520"/>
      </w:tblGrid>
      <w:tr w14:paraId="0000021F">
        <w:tc>
          <w:tcPr>
            <w:tcW w:w="1800" w:type="dxa"/>
            <w:tcBorders>
              <w:top w:val="single" w:color="D0D8E4" w:sz="1"/>
              <w:left w:val="single" w:color="D0D8E4" w:sz="1"/>
              <w:bottom w:val="single" w:color="D0D8E4" w:sz="1"/>
              <w:right w:val="single" w:color="D0D8E4" w:sz="1"/>
            </w:tcBorders>
            <w:shd w:fill="1B3A6B" w:val="clear"/>
            <w:tcMar>
              <w:top w:w="80" w:type="dxa"/>
              <w:left w:w="120" w:type="dxa"/>
              <w:bottom w:w="80" w:type="dxa"/>
              <w:right w:w="120" w:type="dxa"/>
            </w:tcMar>
          </w:tcPr>
          <w:p w14:paraId="00000220">
            <w:r>
              <w:rPr>
                <w:rFonts w:ascii="Arial" w:hAnsi="Arial" w:eastAsia="Arial" w:cs="Arial"/>
                <w:b/>
                <w:bCs/>
                <w:color w:val="FFFFFF"/>
                <w:sz w:val="20"/>
                <w:szCs w:val="20"/>
              </w:rPr>
              <w:t>Partner</w:t>
            </w:r>
          </w:p>
        </w:tc>
        <w:tc>
          <w:tcPr>
            <w:tcW w:w="2880" w:type="dxa"/>
            <w:tcBorders>
              <w:top w:val="single" w:color="D0D8E4" w:sz="1"/>
              <w:left w:val="single" w:color="D0D8E4" w:sz="1"/>
              <w:bottom w:val="single" w:color="D0D8E4" w:sz="1"/>
              <w:right w:val="single" w:color="D0D8E4" w:sz="1"/>
            </w:tcBorders>
            <w:shd w:fill="1B3A6B" w:val="clear"/>
            <w:tcMar>
              <w:top w:w="80" w:type="dxa"/>
              <w:left w:w="120" w:type="dxa"/>
              <w:bottom w:w="80" w:type="dxa"/>
              <w:right w:w="120" w:type="dxa"/>
            </w:tcMar>
          </w:tcPr>
          <w:p w14:paraId="00000221">
            <w:r>
              <w:rPr>
                <w:rFonts w:ascii="Arial" w:hAnsi="Arial" w:eastAsia="Arial" w:cs="Arial"/>
                <w:b/>
                <w:bCs/>
                <w:color w:val="FFFFFF"/>
                <w:sz w:val="20"/>
                <w:szCs w:val="20"/>
              </w:rPr>
              <w:t>Network / Apply At</w:t>
            </w:r>
          </w:p>
        </w:tc>
        <w:tc>
          <w:tcPr>
            <w:tcW w:w="2160" w:type="dxa"/>
            <w:tcBorders>
              <w:top w:val="single" w:color="D0D8E4" w:sz="1"/>
              <w:left w:val="single" w:color="D0D8E4" w:sz="1"/>
              <w:bottom w:val="single" w:color="D0D8E4" w:sz="1"/>
              <w:right w:val="single" w:color="D0D8E4" w:sz="1"/>
            </w:tcBorders>
            <w:shd w:fill="1B3A6B" w:val="clear"/>
            <w:tcMar>
              <w:top w:w="80" w:type="dxa"/>
              <w:left w:w="120" w:type="dxa"/>
              <w:bottom w:w="80" w:type="dxa"/>
              <w:right w:w="120" w:type="dxa"/>
            </w:tcMar>
          </w:tcPr>
          <w:p w14:paraId="00000222">
            <w:r>
              <w:rPr>
                <w:rFonts w:ascii="Arial" w:hAnsi="Arial" w:eastAsia="Arial" w:cs="Arial"/>
                <w:b/>
                <w:bCs/>
                <w:color w:val="FFFFFF"/>
                <w:sz w:val="20"/>
                <w:szCs w:val="20"/>
              </w:rPr>
              <w:t>Commission</w:t>
            </w:r>
          </w:p>
        </w:tc>
        <w:tc>
          <w:tcPr>
            <w:tcW w:w="2520" w:type="dxa"/>
            <w:tcBorders>
              <w:top w:val="single" w:color="D0D8E4" w:sz="1"/>
              <w:left w:val="single" w:color="D0D8E4" w:sz="1"/>
              <w:bottom w:val="single" w:color="D0D8E4" w:sz="1"/>
              <w:right w:val="single" w:color="D0D8E4" w:sz="1"/>
            </w:tcBorders>
            <w:shd w:fill="1B3A6B" w:val="clear"/>
            <w:tcMar>
              <w:top w:w="80" w:type="dxa"/>
              <w:left w:w="120" w:type="dxa"/>
              <w:bottom w:w="80" w:type="dxa"/>
              <w:right w:w="120" w:type="dxa"/>
            </w:tcMar>
          </w:tcPr>
          <w:p w14:paraId="00000223">
            <w:r>
              <w:rPr>
                <w:rFonts w:ascii="Arial" w:hAnsi="Arial" w:eastAsia="Arial" w:cs="Arial"/>
                <w:b/>
                <w:bCs/>
                <w:color w:val="FFFFFF"/>
                <w:sz w:val="20"/>
                <w:szCs w:val="20"/>
              </w:rPr>
              <w:t>Relevant Pages</w:t>
            </w:r>
          </w:p>
        </w:tc>
      </w:tr>
      <w:tr w14:paraId="00000224">
        <w:tc>
          <w:tcPr>
            <w:tcW w:w="180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25">
            <w:r>
              <w:rPr>
                <w:rFonts w:ascii="Arial" w:hAnsi="Arial" w:eastAsia="Arial" w:cs="Arial"/>
                <w:color w:val="2C3E50"/>
                <w:sz w:val="20"/>
                <w:szCs w:val="20"/>
              </w:rPr>
              <w:t>Wise (TransferWise)</w:t>
            </w:r>
          </w:p>
        </w:tc>
        <w:tc>
          <w:tcPr>
            <w:tcW w:w="288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26">
            <w:r>
              <w:rPr>
                <w:rFonts w:ascii="Arial" w:hAnsi="Arial" w:eastAsia="Arial" w:cs="Arial"/>
                <w:color w:val="2C3E50"/>
                <w:sz w:val="20"/>
                <w:szCs w:val="20"/>
              </w:rPr>
              <w:t>wise.com/affiliates or CJ Affiliate</w:t>
            </w:r>
          </w:p>
        </w:tc>
        <w:tc>
          <w:tcPr>
            <w:tcW w:w="216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27">
            <w:r>
              <w:rPr>
                <w:rFonts w:ascii="Arial" w:hAnsi="Arial" w:eastAsia="Arial" w:cs="Arial"/>
                <w:color w:val="2C3E50"/>
                <w:sz w:val="20"/>
                <w:szCs w:val="20"/>
              </w:rPr>
              <w:t>$20–50 per funded transfer</w:t>
            </w:r>
          </w:p>
        </w:tc>
        <w:tc>
          <w:tcPr>
            <w:tcW w:w="25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28">
            <w:r>
              <w:rPr>
                <w:rFonts w:ascii="Arial" w:hAnsi="Arial" w:eastAsia="Arial" w:cs="Arial"/>
                <w:color w:val="2C3E50"/>
                <w:sz w:val="20"/>
                <w:szCs w:val="20"/>
              </w:rPr>
              <w:t>Remittance calculator, Send Money section</w:t>
            </w:r>
          </w:p>
        </w:tc>
      </w:tr>
      <w:tr w14:paraId="00000229">
        <w:tc>
          <w:tcPr>
            <w:tcW w:w="180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2A">
            <w:r>
              <w:rPr>
                <w:rFonts w:ascii="Arial" w:hAnsi="Arial" w:eastAsia="Arial" w:cs="Arial"/>
                <w:color w:val="2C3E50"/>
                <w:sz w:val="20"/>
                <w:szCs w:val="20"/>
              </w:rPr>
              <w:t>Remitly</w:t>
            </w:r>
          </w:p>
        </w:tc>
        <w:tc>
          <w:tcPr>
            <w:tcW w:w="288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2B">
            <w:r>
              <w:rPr>
                <w:rFonts w:ascii="Arial" w:hAnsi="Arial" w:eastAsia="Arial" w:cs="Arial"/>
                <w:color w:val="2C3E50"/>
                <w:sz w:val="20"/>
                <w:szCs w:val="20"/>
              </w:rPr>
              <w:t>impact.com</w:t>
            </w:r>
          </w:p>
        </w:tc>
        <w:tc>
          <w:tcPr>
            <w:tcW w:w="216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2C">
            <w:r>
              <w:rPr>
                <w:rFonts w:ascii="Arial" w:hAnsi="Arial" w:eastAsia="Arial" w:cs="Arial"/>
                <w:color w:val="2C3E50"/>
                <w:sz w:val="20"/>
                <w:szCs w:val="20"/>
              </w:rPr>
              <w:t>$20–40 per first transfer</w:t>
            </w:r>
          </w:p>
        </w:tc>
        <w:tc>
          <w:tcPr>
            <w:tcW w:w="252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2D">
            <w:r>
              <w:rPr>
                <w:rFonts w:ascii="Arial" w:hAnsi="Arial" w:eastAsia="Arial" w:cs="Arial"/>
                <w:color w:val="2C3E50"/>
                <w:sz w:val="20"/>
                <w:szCs w:val="20"/>
              </w:rPr>
              <w:t>Remittance calculator, country guides</w:t>
            </w:r>
          </w:p>
        </w:tc>
      </w:tr>
      <w:tr w14:paraId="0000022E">
        <w:tc>
          <w:tcPr>
            <w:tcW w:w="180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2F">
            <w:r>
              <w:rPr>
                <w:rFonts w:ascii="Arial" w:hAnsi="Arial" w:eastAsia="Arial" w:cs="Arial"/>
                <w:color w:val="2C3E50"/>
                <w:sz w:val="20"/>
                <w:szCs w:val="20"/>
              </w:rPr>
              <w:t>Western Union</w:t>
            </w:r>
          </w:p>
        </w:tc>
        <w:tc>
          <w:tcPr>
            <w:tcW w:w="288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30">
            <w:r>
              <w:rPr>
                <w:rFonts w:ascii="Arial" w:hAnsi="Arial" w:eastAsia="Arial" w:cs="Arial"/>
                <w:color w:val="2C3E50"/>
                <w:sz w:val="20"/>
                <w:szCs w:val="20"/>
              </w:rPr>
              <w:t>CJ Affiliate or direct</w:t>
            </w:r>
          </w:p>
        </w:tc>
        <w:tc>
          <w:tcPr>
            <w:tcW w:w="216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31">
            <w:r>
              <w:rPr>
                <w:rFonts w:ascii="Arial" w:hAnsi="Arial" w:eastAsia="Arial" w:cs="Arial"/>
                <w:color w:val="2C3E50"/>
                <w:sz w:val="20"/>
                <w:szCs w:val="20"/>
              </w:rPr>
              <w:t>Variable CPA</w:t>
            </w:r>
          </w:p>
        </w:tc>
        <w:tc>
          <w:tcPr>
            <w:tcW w:w="25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32">
            <w:r>
              <w:rPr>
                <w:rFonts w:ascii="Arial" w:hAnsi="Arial" w:eastAsia="Arial" w:cs="Arial"/>
                <w:color w:val="2C3E50"/>
                <w:sz w:val="20"/>
                <w:szCs w:val="20"/>
              </w:rPr>
              <w:t>Remittance comparison posts</w:t>
            </w:r>
          </w:p>
        </w:tc>
      </w:tr>
      <w:tr w14:paraId="00000233">
        <w:tc>
          <w:tcPr>
            <w:tcW w:w="180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34">
            <w:r>
              <w:rPr>
                <w:rFonts w:ascii="Arial" w:hAnsi="Arial" w:eastAsia="Arial" w:cs="Arial"/>
                <w:color w:val="2C3E50"/>
                <w:sz w:val="20"/>
                <w:szCs w:val="20"/>
              </w:rPr>
              <w:t>Chime</w:t>
            </w:r>
          </w:p>
        </w:tc>
        <w:tc>
          <w:tcPr>
            <w:tcW w:w="288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35">
            <w:r>
              <w:rPr>
                <w:rFonts w:ascii="Arial" w:hAnsi="Arial" w:eastAsia="Arial" w:cs="Arial"/>
                <w:color w:val="2C3E50"/>
                <w:sz w:val="20"/>
                <w:szCs w:val="20"/>
              </w:rPr>
              <w:t>impact.com</w:t>
            </w:r>
          </w:p>
        </w:tc>
        <w:tc>
          <w:tcPr>
            <w:tcW w:w="216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36">
            <w:r>
              <w:rPr>
                <w:rFonts w:ascii="Arial" w:hAnsi="Arial" w:eastAsia="Arial" w:cs="Arial"/>
                <w:color w:val="2C3E50"/>
                <w:sz w:val="20"/>
                <w:szCs w:val="20"/>
              </w:rPr>
              <w:t>$50–100 per opened account</w:t>
            </w:r>
          </w:p>
        </w:tc>
        <w:tc>
          <w:tcPr>
            <w:tcW w:w="252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37">
            <w:r>
              <w:rPr>
                <w:rFonts w:ascii="Arial" w:hAnsi="Arial" w:eastAsia="Arial" w:cs="Arial"/>
                <w:color w:val="2C3E50"/>
                <w:sz w:val="20"/>
                <w:szCs w:val="20"/>
              </w:rPr>
              <w:t>Best banks for immigrants</w:t>
            </w:r>
          </w:p>
        </w:tc>
      </w:tr>
      <w:tr w14:paraId="00000238">
        <w:tc>
          <w:tcPr>
            <w:tcW w:w="180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39">
            <w:r>
              <w:rPr>
                <w:rFonts w:ascii="Arial" w:hAnsi="Arial" w:eastAsia="Arial" w:cs="Arial"/>
                <w:color w:val="2C3E50"/>
                <w:sz w:val="20"/>
                <w:szCs w:val="20"/>
              </w:rPr>
              <w:t>SoFi</w:t>
            </w:r>
          </w:p>
        </w:tc>
        <w:tc>
          <w:tcPr>
            <w:tcW w:w="288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3A">
            <w:r>
              <w:rPr>
                <w:rFonts w:ascii="Arial" w:hAnsi="Arial" w:eastAsia="Arial" w:cs="Arial"/>
                <w:color w:val="2C3E50"/>
                <w:sz w:val="20"/>
                <w:szCs w:val="20"/>
              </w:rPr>
              <w:t>impact.com or direct</w:t>
            </w:r>
          </w:p>
        </w:tc>
        <w:tc>
          <w:tcPr>
            <w:tcW w:w="216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3B">
            <w:r>
              <w:rPr>
                <w:rFonts w:ascii="Arial" w:hAnsi="Arial" w:eastAsia="Arial" w:cs="Arial"/>
                <w:color w:val="2C3E50"/>
                <w:sz w:val="20"/>
                <w:szCs w:val="20"/>
              </w:rPr>
              <w:t>$50–100 per account</w:t>
            </w:r>
          </w:p>
        </w:tc>
        <w:tc>
          <w:tcPr>
            <w:tcW w:w="25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3C">
            <w:r>
              <w:rPr>
                <w:rFonts w:ascii="Arial" w:hAnsi="Arial" w:eastAsia="Arial" w:cs="Arial"/>
                <w:color w:val="2C3E50"/>
                <w:sz w:val="20"/>
                <w:szCs w:val="20"/>
              </w:rPr>
              <w:t>Banking guides, credit builder</w:t>
            </w:r>
          </w:p>
        </w:tc>
      </w:tr>
      <w:tr w14:paraId="0000023D">
        <w:tc>
          <w:tcPr>
            <w:tcW w:w="180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3E">
            <w:r>
              <w:rPr>
                <w:rFonts w:ascii="Arial" w:hAnsi="Arial" w:eastAsia="Arial" w:cs="Arial"/>
                <w:color w:val="2C3E50"/>
                <w:sz w:val="20"/>
                <w:szCs w:val="20"/>
              </w:rPr>
              <w:t>Sprintax</w:t>
            </w:r>
          </w:p>
        </w:tc>
        <w:tc>
          <w:tcPr>
            <w:tcW w:w="288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3F">
            <w:r>
              <w:rPr>
                <w:rFonts w:ascii="Arial" w:hAnsi="Arial" w:eastAsia="Arial" w:cs="Arial"/>
                <w:color w:val="2C3E50"/>
                <w:sz w:val="20"/>
                <w:szCs w:val="20"/>
              </w:rPr>
              <w:t>sprintax.com/affiliates</w:t>
            </w:r>
          </w:p>
        </w:tc>
        <w:tc>
          <w:tcPr>
            <w:tcW w:w="216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40">
            <w:r>
              <w:rPr>
                <w:rFonts w:ascii="Arial" w:hAnsi="Arial" w:eastAsia="Arial" w:cs="Arial"/>
                <w:color w:val="2C3E50"/>
                <w:sz w:val="20"/>
                <w:szCs w:val="20"/>
              </w:rPr>
              <w:t>20–30% per tax filing</w:t>
            </w:r>
          </w:p>
        </w:tc>
        <w:tc>
          <w:tcPr>
            <w:tcW w:w="252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41">
            <w:r>
              <w:rPr>
                <w:rFonts w:ascii="Arial" w:hAnsi="Arial" w:eastAsia="Arial" w:cs="Arial"/>
                <w:color w:val="2C3E50"/>
                <w:sz w:val="20"/>
                <w:szCs w:val="20"/>
              </w:rPr>
              <w:t>All tax guides, F1 &amp; H1B calculators</w:t>
            </w:r>
          </w:p>
        </w:tc>
      </w:tr>
      <w:tr w14:paraId="00000242">
        <w:tc>
          <w:tcPr>
            <w:tcW w:w="180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43">
            <w:r>
              <w:rPr>
                <w:rFonts w:ascii="Arial" w:hAnsi="Arial" w:eastAsia="Arial" w:cs="Arial"/>
                <w:color w:val="2C3E50"/>
                <w:sz w:val="20"/>
                <w:szCs w:val="20"/>
              </w:rPr>
              <w:t>Webull</w:t>
            </w:r>
          </w:p>
        </w:tc>
        <w:tc>
          <w:tcPr>
            <w:tcW w:w="288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44">
            <w:r>
              <w:rPr>
                <w:rFonts w:ascii="Arial" w:hAnsi="Arial" w:eastAsia="Arial" w:cs="Arial"/>
                <w:color w:val="2C3E50"/>
                <w:sz w:val="20"/>
                <w:szCs w:val="20"/>
              </w:rPr>
              <w:t>webull.com affiliates</w:t>
            </w:r>
          </w:p>
        </w:tc>
        <w:tc>
          <w:tcPr>
            <w:tcW w:w="216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45">
            <w:r>
              <w:rPr>
                <w:rFonts w:ascii="Arial" w:hAnsi="Arial" w:eastAsia="Arial" w:cs="Arial"/>
                <w:color w:val="2C3E50"/>
                <w:sz w:val="20"/>
                <w:szCs w:val="20"/>
              </w:rPr>
              <w:t>$50–200 per funded account</w:t>
            </w:r>
          </w:p>
        </w:tc>
        <w:tc>
          <w:tcPr>
            <w:tcW w:w="25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46">
            <w:r>
              <w:rPr>
                <w:rFonts w:ascii="Arial" w:hAnsi="Arial" w:eastAsia="Arial" w:cs="Arial"/>
                <w:color w:val="2C3E50"/>
                <w:sz w:val="20"/>
                <w:szCs w:val="20"/>
              </w:rPr>
              <w:t>Investing on a visa guides</w:t>
            </w:r>
          </w:p>
        </w:tc>
      </w:tr>
      <w:tr w14:paraId="00000247">
        <w:tc>
          <w:tcPr>
            <w:tcW w:w="180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48">
            <w:r>
              <w:rPr>
                <w:rFonts w:ascii="Arial" w:hAnsi="Arial" w:eastAsia="Arial" w:cs="Arial"/>
                <w:color w:val="2C3E50"/>
                <w:sz w:val="20"/>
                <w:szCs w:val="20"/>
              </w:rPr>
              <w:t>PolicyGenius</w:t>
            </w:r>
          </w:p>
        </w:tc>
        <w:tc>
          <w:tcPr>
            <w:tcW w:w="288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49">
            <w:r>
              <w:rPr>
                <w:rFonts w:ascii="Arial" w:hAnsi="Arial" w:eastAsia="Arial" w:cs="Arial"/>
                <w:color w:val="2C3E50"/>
                <w:sz w:val="20"/>
                <w:szCs w:val="20"/>
              </w:rPr>
              <w:t>policygenius.com affiliates</w:t>
            </w:r>
          </w:p>
        </w:tc>
        <w:tc>
          <w:tcPr>
            <w:tcW w:w="216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4A">
            <w:r>
              <w:rPr>
                <w:rFonts w:ascii="Arial" w:hAnsi="Arial" w:eastAsia="Arial" w:cs="Arial"/>
                <w:color w:val="2C3E50"/>
                <w:sz w:val="20"/>
                <w:szCs w:val="20"/>
              </w:rPr>
              <w:t>High CPA on life/health insurance</w:t>
            </w:r>
          </w:p>
        </w:tc>
        <w:tc>
          <w:tcPr>
            <w:tcW w:w="252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4B">
            <w:r>
              <w:rPr>
                <w:rFonts w:ascii="Arial" w:hAnsi="Arial" w:eastAsia="Arial" w:cs="Arial"/>
                <w:color w:val="2C3E50"/>
                <w:sz w:val="20"/>
                <w:szCs w:val="20"/>
              </w:rPr>
              <w:t>Insurance guides</w:t>
            </w:r>
          </w:p>
        </w:tc>
      </w:tr>
      <w:tr w14:paraId="0000024C">
        <w:tc>
          <w:tcPr>
            <w:tcW w:w="180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4D">
            <w:r>
              <w:rPr>
                <w:rFonts w:ascii="Arial" w:hAnsi="Arial" w:eastAsia="Arial" w:cs="Arial"/>
                <w:color w:val="2C3E50"/>
                <w:sz w:val="20"/>
                <w:szCs w:val="20"/>
              </w:rPr>
              <w:t>Deserve EDU Card</w:t>
            </w:r>
          </w:p>
        </w:tc>
        <w:tc>
          <w:tcPr>
            <w:tcW w:w="288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4E">
            <w:r>
              <w:rPr>
                <w:rFonts w:ascii="Arial" w:hAnsi="Arial" w:eastAsia="Arial" w:cs="Arial"/>
                <w:color w:val="2C3E50"/>
                <w:sz w:val="20"/>
                <w:szCs w:val="20"/>
              </w:rPr>
              <w:t>deserve.com direct outreach</w:t>
            </w:r>
          </w:p>
        </w:tc>
        <w:tc>
          <w:tcPr>
            <w:tcW w:w="216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4F">
            <w:r>
              <w:rPr>
                <w:rFonts w:ascii="Arial" w:hAnsi="Arial" w:eastAsia="Arial" w:cs="Arial"/>
                <w:color w:val="2C3E50"/>
                <w:sz w:val="20"/>
                <w:szCs w:val="20"/>
              </w:rPr>
              <w:t>CPA per card approval</w:t>
            </w:r>
          </w:p>
        </w:tc>
        <w:tc>
          <w:tcPr>
            <w:tcW w:w="252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50">
            <w:r>
              <w:rPr>
                <w:rFonts w:ascii="Arial" w:hAnsi="Arial" w:eastAsia="Arial" w:cs="Arial"/>
                <w:color w:val="2C3E50"/>
                <w:sz w:val="20"/>
                <w:szCs w:val="20"/>
              </w:rPr>
              <w:t>F1 student guides, credit building</w:t>
            </w:r>
          </w:p>
        </w:tc>
      </w:tr>
      <w:tr w14:paraId="00000251">
        <w:tc>
          <w:tcPr>
            <w:tcW w:w="180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52">
            <w:r>
              <w:rPr>
                <w:rFonts w:ascii="Arial" w:hAnsi="Arial" w:eastAsia="Arial" w:cs="Arial"/>
                <w:color w:val="2C3E50"/>
                <w:sz w:val="20"/>
                <w:szCs w:val="20"/>
              </w:rPr>
              <w:t>Nova Credit</w:t>
            </w:r>
          </w:p>
        </w:tc>
        <w:tc>
          <w:tcPr>
            <w:tcW w:w="288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53">
            <w:r>
              <w:rPr>
                <w:rFonts w:ascii="Arial" w:hAnsi="Arial" w:eastAsia="Arial" w:cs="Arial"/>
                <w:color w:val="2C3E50"/>
                <w:sz w:val="20"/>
                <w:szCs w:val="20"/>
              </w:rPr>
              <w:t>novacredit.com direct outreach</w:t>
            </w:r>
          </w:p>
        </w:tc>
        <w:tc>
          <w:tcPr>
            <w:tcW w:w="216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54">
            <w:r>
              <w:rPr>
                <w:rFonts w:ascii="Arial" w:hAnsi="Arial" w:eastAsia="Arial" w:cs="Arial"/>
                <w:color w:val="2C3E50"/>
                <w:sz w:val="20"/>
                <w:szCs w:val="20"/>
              </w:rPr>
              <w:t>CPA deal — negotiate directly</w:t>
            </w:r>
          </w:p>
        </w:tc>
        <w:tc>
          <w:tcPr>
            <w:tcW w:w="252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55">
            <w:r>
              <w:rPr>
                <w:rFonts w:ascii="Arial" w:hAnsi="Arial" w:eastAsia="Arial" w:cs="Arial"/>
                <w:color w:val="2C3E50"/>
                <w:sz w:val="20"/>
                <w:szCs w:val="20"/>
              </w:rPr>
              <w:t>Credit building pillar, banking guides</w:t>
            </w:r>
          </w:p>
        </w:tc>
      </w:tr>
    </w:tbl>
    <w:p w14:paraId="00000256">
      <w:pPr>
        <w:spacing w:after="120" w:before="0"/>
      </w:pPr>
    </w:p>
    <w:p w14:paraId="00000257">
      <w:pPr>
        <w:pStyle w:val="Heading2"/>
        <w:spacing w:after="160" w:before="320"/>
      </w:pPr>
      <w:r>
        <w:rPr>
          <w:rFonts w:ascii="Arial" w:hAnsi="Arial" w:eastAsia="Arial" w:cs="Arial"/>
          <w:b/>
          <w:bCs/>
          <w:color w:val="2E86C1"/>
          <w:sz w:val="28"/>
          <w:szCs w:val="28"/>
        </w:rPr>
        <w:t>7.2 Affiliate Link Placement Rules</w:t>
      </w:r>
    </w:p>
    <w:p w14:paraId="00000258">
      <w:pPr>
        <w:pStyle w:val="ListParagraph"/>
        <w:numPr>
          <w:ilvl w:val="0"/>
          <w:numId w:val="2"/>
        </w:numPr>
        <w:spacing w:after="60" w:before="60"/>
      </w:pPr>
      <w:r>
        <w:rPr>
          <w:rFonts w:ascii="Arial" w:hAnsi="Arial" w:eastAsia="Arial" w:cs="Arial"/>
          <w:color w:val="2C3E50"/>
          <w:sz w:val="22"/>
          <w:szCs w:val="22"/>
        </w:rPr>
        <w:t>Never place affiliate links in the first paragraph of any article — Google penalizes thin affiliate content</w:t>
      </w:r>
    </w:p>
    <w:p w14:paraId="00000259">
      <w:pPr>
        <w:pStyle w:val="ListParagraph"/>
        <w:numPr>
          <w:ilvl w:val="0"/>
          <w:numId w:val="2"/>
        </w:numPr>
        <w:spacing w:after="60" w:before="60"/>
      </w:pPr>
      <w:r>
        <w:rPr>
          <w:rFonts w:ascii="Arial" w:hAnsi="Arial" w:eastAsia="Arial" w:cs="Arial"/>
          <w:color w:val="2C3E50"/>
          <w:sz w:val="22"/>
          <w:szCs w:val="22"/>
        </w:rPr>
        <w:t>Always disclose affiliate relationships at the top of any page containing affiliate links (required by FTC)</w:t>
      </w:r>
    </w:p>
    <w:p w14:paraId="0000025A">
      <w:pPr>
        <w:pStyle w:val="ListParagraph"/>
        <w:numPr>
          <w:ilvl w:val="0"/>
          <w:numId w:val="2"/>
        </w:numPr>
        <w:spacing w:after="60" w:before="60"/>
      </w:pPr>
      <w:r>
        <w:rPr>
          <w:rFonts w:ascii="Arial" w:hAnsi="Arial" w:eastAsia="Arial" w:cs="Arial"/>
          <w:color w:val="2C3E50"/>
          <w:sz w:val="22"/>
          <w:szCs w:val="22"/>
        </w:rPr>
        <w:t>Use a dedicated "Tools We Recommend" page that lists all affiliate partners transparently</w:t>
      </w:r>
    </w:p>
    <w:p w14:paraId="0000025B">
      <w:pPr>
        <w:pStyle w:val="ListParagraph"/>
        <w:numPr>
          <w:ilvl w:val="0"/>
          <w:numId w:val="2"/>
        </w:numPr>
        <w:spacing w:after="60" w:before="60"/>
      </w:pPr>
      <w:r>
        <w:rPr>
          <w:rFonts w:ascii="Arial" w:hAnsi="Arial" w:eastAsia="Arial" w:cs="Arial"/>
          <w:color w:val="2C3E50"/>
          <w:sz w:val="22"/>
          <w:szCs w:val="22"/>
        </w:rPr>
        <w:t>In comparison articles, rank products honestly — do not list the highest-paying affiliate first</w:t>
      </w:r>
    </w:p>
    <w:p w14:paraId="0000025C">
      <w:pPr>
        <w:pStyle w:val="ListParagraph"/>
        <w:numPr>
          <w:ilvl w:val="0"/>
          <w:numId w:val="2"/>
        </w:numPr>
        <w:spacing w:after="60" w:before="60"/>
      </w:pPr>
      <w:r>
        <w:rPr>
          <w:rFonts w:ascii="Arial" w:hAnsi="Arial" w:eastAsia="Arial" w:cs="Arial"/>
          <w:color w:val="2C3E50"/>
          <w:sz w:val="22"/>
          <w:szCs w:val="22"/>
        </w:rPr>
        <w:t>Use a link management plugin (ThirstyAffiliates or Pretty Links) to cloak and track affiliate links</w:t>
      </w:r>
    </w:p>
    <w:p w14:paraId="0000025D">
      <w:pPr>
        <w:pStyle w:val="ListParagraph"/>
        <w:numPr>
          <w:ilvl w:val="0"/>
          <w:numId w:val="2"/>
        </w:numPr>
        <w:spacing w:after="60" w:before="60"/>
      </w:pPr>
      <w:r>
        <w:rPr>
          <w:rFonts w:ascii="Arial" w:hAnsi="Arial" w:eastAsia="Arial" w:cs="Arial"/>
          <w:color w:val="2C3E50"/>
          <w:sz w:val="22"/>
          <w:szCs w:val="22"/>
        </w:rPr>
        <w:t>Add rel="sponsored" or rel="nofollow" attribute to all affiliate links</w:t>
      </w:r>
    </w:p>
    <w:p w14:paraId="0000025E">
      <w:pPr>
        <w:spacing w:after="120" w:before="0"/>
      </w:pPr>
    </w:p>
    <w:p w14:paraId="0000025F">
      <w:pPr>
        <w:pStyle w:val="Heading2"/>
        <w:spacing w:after="160" w:before="320"/>
      </w:pPr>
      <w:r>
        <w:rPr>
          <w:rFonts w:ascii="Arial" w:hAnsi="Arial" w:eastAsia="Arial" w:cs="Arial"/>
          <w:b/>
          <w:bCs/>
          <w:color w:val="2E86C1"/>
          <w:sz w:val="28"/>
          <w:szCs w:val="28"/>
        </w:rPr>
        <w:t>7.3 Affiliate Disclosure Template</w:t>
      </w:r>
    </w:p>
    <w:p w14:paraId="00000260">
      <w:pPr>
        <w:spacing w:after="120" w:before="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w14:paraId="00000261">
        <w:tc>
          <w:tcPr>
            <w:tcW w:w="9360" w:type="dxa"/>
            <w:tcBorders>
              <w:top w:val="single" w:color="D0D8E4" w:sz="1"/>
              <w:left w:val="single" w:color="D0D8E4" w:sz="1"/>
              <w:bottom w:val="single" w:color="D0D8E4" w:sz="1"/>
              <w:right w:val="single" w:color="D0D8E4" w:sz="1"/>
            </w:tcBorders>
            <w:shd w:fill="1B3A6B" w:val="clear"/>
            <w:tcMar>
              <w:top w:w="100" w:type="dxa"/>
              <w:left w:w="160" w:type="dxa"/>
              <w:bottom w:w="100" w:type="dxa"/>
              <w:right w:w="160" w:type="dxa"/>
            </w:tcMar>
          </w:tcPr>
          <w:p w14:paraId="00000262">
            <w:r>
              <w:rPr>
                <w:rFonts w:ascii="Arial" w:hAnsi="Arial" w:eastAsia="Arial" w:cs="Arial"/>
                <w:b/>
                <w:bCs/>
                <w:color w:val="FFFFFF"/>
                <w:sz w:val="22"/>
                <w:szCs w:val="22"/>
              </w:rPr>
              <w:t>REQUIRED DISCLOSURE (add to top of all affiliate pages)</w:t>
            </w:r>
          </w:p>
        </w:tc>
      </w:tr>
      <w:tr w14:paraId="00000263">
        <w:tc>
          <w:tcPr>
            <w:tcW w:w="9360" w:type="dxa"/>
            <w:tcBorders>
              <w:top w:val="single" w:color="D0D8E4" w:sz="1"/>
              <w:left w:val="single" w:color="D0D8E4" w:sz="1"/>
              <w:bottom w:val="single" w:color="D0D8E4" w:sz="1"/>
              <w:right w:val="single" w:color="D0D8E4" w:sz="1"/>
            </w:tcBorders>
            <w:shd w:fill="FFF8E7" w:val="clear"/>
            <w:tcMar>
              <w:top w:w="120" w:type="dxa"/>
              <w:left w:w="160" w:type="dxa"/>
              <w:bottom w:w="120" w:type="dxa"/>
              <w:right w:w="160" w:type="dxa"/>
            </w:tcMar>
          </w:tcPr>
          <w:p w14:paraId="00000264">
            <w:pPr>
              <w:spacing w:after="60" w:before="60"/>
            </w:pPr>
            <w:r>
              <w:rPr>
                <w:rFonts w:ascii="Arial" w:hAnsi="Arial" w:eastAsia="Arial" w:cs="Arial"/>
                <w:color w:val="2C3E50"/>
                <w:sz w:val="22"/>
                <w:szCs w:val="22"/>
              </w:rPr>
              <w:t>Disclosure: This page contains affiliate links. If you sign up for a product or service through our links, Finovly may earn a commission at no extra cost to you. We only recommend products we believe will genuinely help our readers. Learn more in our Affiliate Disclosure Policy.</w:t>
            </w:r>
          </w:p>
        </w:tc>
      </w:tr>
    </w:tbl>
    <w:p w14:paraId="00000265">
      <w:r>
        <w:br w:type="page"/>
      </w:r>
    </w:p>
    <w:p w14:paraId="00000266">
      <w:pPr>
        <w:pStyle w:val="Heading1"/>
        <w:spacing w:after="200" w:before="400"/>
      </w:pPr>
      <w:r>
        <w:rPr>
          <w:rFonts w:ascii="Arial" w:hAnsi="Arial" w:eastAsia="Arial" w:cs="Arial"/>
          <w:b/>
          <w:bCs/>
          <w:color w:val="1B3A6B"/>
          <w:sz w:val="36"/>
          <w:szCs w:val="36"/>
        </w:rPr>
        <w:t>8. Implementation Timeline</w:t>
      </w:r>
    </w:p>
    <w:p w14:paraId="00000267">
      <w:pPr>
        <w:pBdr>
          <w:bottom w:val="single" w:color="D0D8E4" w:sz="4" w:space="1"/>
        </w:pBdr>
        <w:spacing w:after="200" w:before="20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14:paraId="00000268">
        <w:tc>
          <w:tcPr>
            <w:tcW w:w="1800" w:type="dxa"/>
            <w:tcBorders>
              <w:top w:val="single" w:color="D0D8E4" w:sz="1"/>
              <w:left w:val="single" w:color="D0D8E4" w:sz="1"/>
              <w:bottom w:val="single" w:color="D0D8E4" w:sz="1"/>
              <w:right w:val="single" w:color="D0D8E4" w:sz="1"/>
            </w:tcBorders>
            <w:shd w:fill="1B3A6B" w:val="clear"/>
            <w:tcMar>
              <w:top w:w="80" w:type="dxa"/>
              <w:left w:w="120" w:type="dxa"/>
              <w:bottom w:w="80" w:type="dxa"/>
              <w:right w:w="120" w:type="dxa"/>
            </w:tcMar>
          </w:tcPr>
          <w:p w14:paraId="00000269">
            <w:r>
              <w:rPr>
                <w:rFonts w:ascii="Arial" w:hAnsi="Arial" w:eastAsia="Arial" w:cs="Arial"/>
                <w:b/>
                <w:bCs/>
                <w:color w:val="FFFFFF"/>
                <w:sz w:val="20"/>
                <w:szCs w:val="20"/>
              </w:rPr>
              <w:t>Week / Month</w:t>
            </w:r>
          </w:p>
        </w:tc>
        <w:tc>
          <w:tcPr>
            <w:tcW w:w="5760" w:type="dxa"/>
            <w:tcBorders>
              <w:top w:val="single" w:color="D0D8E4" w:sz="1"/>
              <w:left w:val="single" w:color="D0D8E4" w:sz="1"/>
              <w:bottom w:val="single" w:color="D0D8E4" w:sz="1"/>
              <w:right w:val="single" w:color="D0D8E4" w:sz="1"/>
            </w:tcBorders>
            <w:shd w:fill="1B3A6B" w:val="clear"/>
            <w:tcMar>
              <w:top w:w="80" w:type="dxa"/>
              <w:left w:w="120" w:type="dxa"/>
              <w:bottom w:w="80" w:type="dxa"/>
              <w:right w:w="120" w:type="dxa"/>
            </w:tcMar>
          </w:tcPr>
          <w:p w14:paraId="0000026A">
            <w:r>
              <w:rPr>
                <w:rFonts w:ascii="Arial" w:hAnsi="Arial" w:eastAsia="Arial" w:cs="Arial"/>
                <w:b/>
                <w:bCs/>
                <w:color w:val="FFFFFF"/>
                <w:sz w:val="20"/>
                <w:szCs w:val="20"/>
              </w:rPr>
              <w:t>Tasks</w:t>
            </w:r>
          </w:p>
        </w:tc>
        <w:tc>
          <w:tcPr>
            <w:tcW w:w="1800" w:type="dxa"/>
            <w:tcBorders>
              <w:top w:val="single" w:color="D0D8E4" w:sz="1"/>
              <w:left w:val="single" w:color="D0D8E4" w:sz="1"/>
              <w:bottom w:val="single" w:color="D0D8E4" w:sz="1"/>
              <w:right w:val="single" w:color="D0D8E4" w:sz="1"/>
            </w:tcBorders>
            <w:shd w:fill="1B3A6B" w:val="clear"/>
            <w:tcMar>
              <w:top w:w="80" w:type="dxa"/>
              <w:left w:w="120" w:type="dxa"/>
              <w:bottom w:w="80" w:type="dxa"/>
              <w:right w:w="120" w:type="dxa"/>
            </w:tcMar>
          </w:tcPr>
          <w:p w14:paraId="0000026B">
            <w:r>
              <w:rPr>
                <w:rFonts w:ascii="Arial" w:hAnsi="Arial" w:eastAsia="Arial" w:cs="Arial"/>
                <w:b/>
                <w:bCs/>
                <w:color w:val="FFFFFF"/>
                <w:sz w:val="20"/>
                <w:szCs w:val="20"/>
              </w:rPr>
              <w:t>Owner</w:t>
            </w:r>
          </w:p>
        </w:tc>
      </w:tr>
      <w:tr w14:paraId="0000026C">
        <w:tc>
          <w:tcPr>
            <w:tcW w:w="180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6D">
            <w:r>
              <w:rPr>
                <w:rFonts w:ascii="Arial" w:hAnsi="Arial" w:eastAsia="Arial" w:cs="Arial"/>
                <w:color w:val="2C3E50"/>
                <w:sz w:val="20"/>
                <w:szCs w:val="20"/>
              </w:rPr>
              <w:t>Week 1–2</w:t>
            </w:r>
          </w:p>
        </w:tc>
        <w:tc>
          <w:tcPr>
            <w:tcW w:w="576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6E">
            <w:r>
              <w:rPr>
                <w:rFonts w:ascii="Arial" w:hAnsi="Arial" w:eastAsia="Arial" w:cs="Arial"/>
                <w:color w:val="2C3E50"/>
                <w:sz w:val="20"/>
                <w:szCs w:val="20"/>
              </w:rPr>
              <w:t>Finalize brand positioning | Update homepage copy and tagline | Update About page with new mission statement | Apply to affiliate programs</w:t>
            </w:r>
          </w:p>
        </w:tc>
        <w:tc>
          <w:tcPr>
            <w:tcW w:w="180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6F">
            <w:r>
              <w:rPr>
                <w:rFonts w:ascii="Arial" w:hAnsi="Arial" w:eastAsia="Arial" w:cs="Arial"/>
                <w:color w:val="2C3E50"/>
                <w:sz w:val="20"/>
                <w:szCs w:val="20"/>
              </w:rPr>
              <w:t>Saud + Writer</w:t>
            </w:r>
          </w:p>
        </w:tc>
      </w:tr>
      <w:tr w14:paraId="00000270">
        <w:tc>
          <w:tcPr>
            <w:tcW w:w="180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71">
            <w:r>
              <w:rPr>
                <w:rFonts w:ascii="Arial" w:hAnsi="Arial" w:eastAsia="Arial" w:cs="Arial"/>
                <w:color w:val="2C3E50"/>
                <w:sz w:val="20"/>
                <w:szCs w:val="20"/>
              </w:rPr>
              <w:t>Week 2–4</w:t>
            </w:r>
          </w:p>
        </w:tc>
        <w:tc>
          <w:tcPr>
            <w:tcW w:w="576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72">
            <w:r>
              <w:rPr>
                <w:rFonts w:ascii="Arial" w:hAnsi="Arial" w:eastAsia="Arial" w:cs="Arial"/>
                <w:color w:val="2C3E50"/>
                <w:sz w:val="20"/>
                <w:szCs w:val="20"/>
              </w:rPr>
              <w:t>Implement new site navigation | Build new URL structure | Set up category pages | Technical SEO audit and fixes</w:t>
            </w:r>
          </w:p>
        </w:tc>
        <w:tc>
          <w:tcPr>
            <w:tcW w:w="180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73">
            <w:r>
              <w:rPr>
                <w:rFonts w:ascii="Arial" w:hAnsi="Arial" w:eastAsia="Arial" w:cs="Arial"/>
                <w:color w:val="2C3E50"/>
                <w:sz w:val="20"/>
                <w:szCs w:val="20"/>
              </w:rPr>
              <w:t>Developer</w:t>
            </w:r>
          </w:p>
        </w:tc>
      </w:tr>
      <w:tr w14:paraId="00000274">
        <w:tc>
          <w:tcPr>
            <w:tcW w:w="180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75">
            <w:r>
              <w:rPr>
                <w:rFonts w:ascii="Arial" w:hAnsi="Arial" w:eastAsia="Arial" w:cs="Arial"/>
                <w:color w:val="2C3E50"/>
                <w:sz w:val="20"/>
                <w:szCs w:val="20"/>
              </w:rPr>
              <w:t>Month 1</w:t>
            </w:r>
          </w:p>
        </w:tc>
        <w:tc>
          <w:tcPr>
            <w:tcW w:w="576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76">
            <w:r>
              <w:rPr>
                <w:rFonts w:ascii="Arial" w:hAnsi="Arial" w:eastAsia="Arial" w:cs="Arial"/>
                <w:color w:val="2C3E50"/>
                <w:sz w:val="20"/>
                <w:szCs w:val="20"/>
              </w:rPr>
              <w:t>Write H1B pillar page | Write F1 pillar page | Build remittance fee calculator | Build substantial presence test calculator</w:t>
            </w:r>
          </w:p>
        </w:tc>
        <w:tc>
          <w:tcPr>
            <w:tcW w:w="180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77">
            <w:r>
              <w:rPr>
                <w:rFonts w:ascii="Arial" w:hAnsi="Arial" w:eastAsia="Arial" w:cs="Arial"/>
                <w:color w:val="2C3E50"/>
                <w:sz w:val="20"/>
                <w:szCs w:val="20"/>
              </w:rPr>
              <w:t>Writer + Developer</w:t>
            </w:r>
          </w:p>
        </w:tc>
      </w:tr>
      <w:tr w14:paraId="00000278">
        <w:tc>
          <w:tcPr>
            <w:tcW w:w="180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79">
            <w:r>
              <w:rPr>
                <w:rFonts w:ascii="Arial" w:hAnsi="Arial" w:eastAsia="Arial" w:cs="Arial"/>
                <w:color w:val="2C3E50"/>
                <w:sz w:val="20"/>
                <w:szCs w:val="20"/>
              </w:rPr>
              <w:t>Month 2</w:t>
            </w:r>
          </w:p>
        </w:tc>
        <w:tc>
          <w:tcPr>
            <w:tcW w:w="576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7A">
            <w:r>
              <w:rPr>
                <w:rFonts w:ascii="Arial" w:hAnsi="Arial" w:eastAsia="Arial" w:cs="Arial"/>
                <w:color w:val="2C3E50"/>
                <w:sz w:val="20"/>
                <w:szCs w:val="20"/>
              </w:rPr>
              <w:t>Write credit building pillar | Build H1B tax estimator | Build F1 OPT calculator | Publish first 3 cluster posts</w:t>
            </w:r>
          </w:p>
        </w:tc>
        <w:tc>
          <w:tcPr>
            <w:tcW w:w="180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7B">
            <w:r>
              <w:rPr>
                <w:rFonts w:ascii="Arial" w:hAnsi="Arial" w:eastAsia="Arial" w:cs="Arial"/>
                <w:color w:val="2C3E50"/>
                <w:sz w:val="20"/>
                <w:szCs w:val="20"/>
              </w:rPr>
              <w:t>Writer + Developer</w:t>
            </w:r>
          </w:p>
        </w:tc>
      </w:tr>
      <w:tr w14:paraId="0000027C">
        <w:tc>
          <w:tcPr>
            <w:tcW w:w="180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7D">
            <w:r>
              <w:rPr>
                <w:rFonts w:ascii="Arial" w:hAnsi="Arial" w:eastAsia="Arial" w:cs="Arial"/>
                <w:color w:val="2C3E50"/>
                <w:sz w:val="20"/>
                <w:szCs w:val="20"/>
              </w:rPr>
              <w:t>Month 3</w:t>
            </w:r>
          </w:p>
        </w:tc>
        <w:tc>
          <w:tcPr>
            <w:tcW w:w="576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7E">
            <w:r>
              <w:rPr>
                <w:rFonts w:ascii="Arial" w:hAnsi="Arial" w:eastAsia="Arial" w:cs="Arial"/>
                <w:color w:val="2C3E50"/>
                <w:sz w:val="20"/>
                <w:szCs w:val="20"/>
              </w:rPr>
              <w:t>Publish remaining cluster posts (8 total) | Add affiliate links once approved | Submit sitemap | Begin Reddit community engagement</w:t>
            </w:r>
          </w:p>
        </w:tc>
        <w:tc>
          <w:tcPr>
            <w:tcW w:w="180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7F">
            <w:r>
              <w:rPr>
                <w:rFonts w:ascii="Arial" w:hAnsi="Arial" w:eastAsia="Arial" w:cs="Arial"/>
                <w:color w:val="2C3E50"/>
                <w:sz w:val="20"/>
                <w:szCs w:val="20"/>
              </w:rPr>
              <w:t>Writer + Saud</w:t>
            </w:r>
          </w:p>
        </w:tc>
      </w:tr>
      <w:tr w14:paraId="00000280">
        <w:tc>
          <w:tcPr>
            <w:tcW w:w="180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81">
            <w:r>
              <w:rPr>
                <w:rFonts w:ascii="Arial" w:hAnsi="Arial" w:eastAsia="Arial" w:cs="Arial"/>
                <w:color w:val="2C3E50"/>
                <w:sz w:val="20"/>
                <w:szCs w:val="20"/>
              </w:rPr>
              <w:t>Month 4–6</w:t>
            </w:r>
          </w:p>
        </w:tc>
        <w:tc>
          <w:tcPr>
            <w:tcW w:w="576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82">
            <w:r>
              <w:rPr>
                <w:rFonts w:ascii="Arial" w:hAnsi="Arial" w:eastAsia="Arial" w:cs="Arial"/>
                <w:color w:val="2C3E50"/>
                <w:sz w:val="20"/>
                <w:szCs w:val="20"/>
              </w:rPr>
              <w:t>Add country-specific remittance guides | Build cost of living comparison tool | Start email list with lead magnet | Monitor SEO rankings</w:t>
            </w:r>
          </w:p>
        </w:tc>
        <w:tc>
          <w:tcPr>
            <w:tcW w:w="180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83">
            <w:r>
              <w:rPr>
                <w:rFonts w:ascii="Arial" w:hAnsi="Arial" w:eastAsia="Arial" w:cs="Arial"/>
                <w:color w:val="2C3E50"/>
                <w:sz w:val="20"/>
                <w:szCs w:val="20"/>
              </w:rPr>
              <w:t>All</w:t>
            </w:r>
          </w:p>
        </w:tc>
      </w:tr>
      <w:tr w14:paraId="00000284">
        <w:tc>
          <w:tcPr>
            <w:tcW w:w="180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85">
            <w:r>
              <w:rPr>
                <w:rFonts w:ascii="Arial" w:hAnsi="Arial" w:eastAsia="Arial" w:cs="Arial"/>
                <w:color w:val="2C3E50"/>
                <w:sz w:val="20"/>
                <w:szCs w:val="20"/>
              </w:rPr>
              <w:t>Month 6–12</w:t>
            </w:r>
          </w:p>
        </w:tc>
        <w:tc>
          <w:tcPr>
            <w:tcW w:w="576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86">
            <w:r>
              <w:rPr>
                <w:rFonts w:ascii="Arial" w:hAnsi="Arial" w:eastAsia="Arial" w:cs="Arial"/>
                <w:color w:val="2C3E50"/>
                <w:sz w:val="20"/>
                <w:szCs w:val="20"/>
              </w:rPr>
              <w:t>Scale content to 2 posts per month | Expand visa guide section | Outreach for backlinks | Analyze affiliate performance</w:t>
            </w:r>
          </w:p>
        </w:tc>
        <w:tc>
          <w:tcPr>
            <w:tcW w:w="180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87">
            <w:r>
              <w:rPr>
                <w:rFonts w:ascii="Arial" w:hAnsi="Arial" w:eastAsia="Arial" w:cs="Arial"/>
                <w:color w:val="2C3E50"/>
                <w:sz w:val="20"/>
                <w:szCs w:val="20"/>
              </w:rPr>
              <w:t>All</w:t>
            </w:r>
          </w:p>
        </w:tc>
      </w:tr>
    </w:tbl>
    <w:p w14:paraId="00000288">
      <w:pPr>
        <w:spacing w:after="120" w:before="0"/>
      </w:pPr>
    </w:p>
    <w:p w14:paraId="00000289">
      <w:pPr>
        <w:pStyle w:val="Heading2"/>
        <w:spacing w:after="160" w:before="320"/>
      </w:pPr>
      <w:r>
        <w:rPr>
          <w:rFonts w:ascii="Arial" w:hAnsi="Arial" w:eastAsia="Arial" w:cs="Arial"/>
          <w:b/>
          <w:bCs/>
          <w:color w:val="2E86C1"/>
          <w:sz w:val="28"/>
          <w:szCs w:val="28"/>
        </w:rPr>
        <w:t>8.1 Definition of Done — Launch Checklist</w:t>
      </w:r>
    </w:p>
    <w:p w14:paraId="0000028A">
      <w:pPr>
        <w:spacing w:after="120" w:before="80"/>
      </w:pPr>
      <w:r>
        <w:rPr>
          <w:rFonts w:ascii="Arial" w:hAnsi="Arial" w:eastAsia="Arial" w:cs="Arial"/>
          <w:color w:val="2C3E50"/>
          <w:sz w:val="22"/>
          <w:szCs w:val="22"/>
        </w:rPr>
        <w:t>The site is not ready to re-launch in the new niche until all of the following are complete:</w:t>
      </w:r>
    </w:p>
    <w:p w14:paraId="0000028B">
      <w:pPr>
        <w:spacing w:after="120" w:before="0"/>
      </w:pPr>
    </w:p>
    <w:p w14:paraId="0000028C">
      <w:pPr>
        <w:pStyle w:val="ListParagraph"/>
        <w:numPr>
          <w:ilvl w:val="0"/>
          <w:numId w:val="2"/>
        </w:numPr>
        <w:spacing w:after="60" w:before="60"/>
      </w:pPr>
      <w:r>
        <w:rPr>
          <w:rFonts w:ascii="Arial" w:hAnsi="Arial" w:eastAsia="Arial" w:cs="Arial"/>
          <w:color w:val="2C3E50"/>
          <w:sz w:val="22"/>
          <w:szCs w:val="22"/>
        </w:rPr>
        <w:t>Homepage updated with new copy, hero, and audience selector</w:t>
      </w:r>
    </w:p>
    <w:p w14:paraId="0000028D">
      <w:pPr>
        <w:pStyle w:val="ListParagraph"/>
        <w:numPr>
          <w:ilvl w:val="0"/>
          <w:numId w:val="2"/>
        </w:numPr>
        <w:spacing w:after="60" w:before="60"/>
      </w:pPr>
      <w:r>
        <w:rPr>
          <w:rFonts w:ascii="Arial" w:hAnsi="Arial" w:eastAsia="Arial" w:cs="Arial"/>
          <w:color w:val="2C3E50"/>
          <w:sz w:val="22"/>
          <w:szCs w:val="22"/>
        </w:rPr>
        <w:t>New navigation menu live with all top-level sections</w:t>
      </w:r>
    </w:p>
    <w:p w14:paraId="0000028E">
      <w:pPr>
        <w:pStyle w:val="ListParagraph"/>
        <w:numPr>
          <w:ilvl w:val="0"/>
          <w:numId w:val="2"/>
        </w:numPr>
        <w:spacing w:after="60" w:before="60"/>
      </w:pPr>
      <w:r>
        <w:rPr>
          <w:rFonts w:ascii="Arial" w:hAnsi="Arial" w:eastAsia="Arial" w:cs="Arial"/>
          <w:color w:val="2C3E50"/>
          <w:sz w:val="22"/>
          <w:szCs w:val="22"/>
        </w:rPr>
        <w:t>At least 2 pillar pages published (H1B guide + F1 guide minimum)</w:t>
      </w:r>
    </w:p>
    <w:p w14:paraId="0000028F">
      <w:pPr>
        <w:pStyle w:val="ListParagraph"/>
        <w:numPr>
          <w:ilvl w:val="0"/>
          <w:numId w:val="2"/>
        </w:numPr>
        <w:spacing w:after="60" w:before="60"/>
      </w:pPr>
      <w:r>
        <w:rPr>
          <w:rFonts w:ascii="Arial" w:hAnsi="Arial" w:eastAsia="Arial" w:cs="Arial"/>
          <w:color w:val="2C3E50"/>
          <w:sz w:val="22"/>
          <w:szCs w:val="22"/>
        </w:rPr>
        <w:t>At least 2 calculators live and functional on mobile</w:t>
      </w:r>
    </w:p>
    <w:p w14:paraId="00000290">
      <w:pPr>
        <w:pStyle w:val="ListParagraph"/>
        <w:numPr>
          <w:ilvl w:val="0"/>
          <w:numId w:val="2"/>
        </w:numPr>
        <w:spacing w:after="60" w:before="60"/>
      </w:pPr>
      <w:r>
        <w:rPr>
          <w:rFonts w:ascii="Arial" w:hAnsi="Arial" w:eastAsia="Arial" w:cs="Arial"/>
          <w:color w:val="2C3E50"/>
          <w:sz w:val="22"/>
          <w:szCs w:val="22"/>
        </w:rPr>
        <w:t>Affiliate disclosure page live</w:t>
      </w:r>
    </w:p>
    <w:p w14:paraId="00000291">
      <w:pPr>
        <w:pStyle w:val="ListParagraph"/>
        <w:numPr>
          <w:ilvl w:val="0"/>
          <w:numId w:val="2"/>
        </w:numPr>
        <w:spacing w:after="60" w:before="60"/>
      </w:pPr>
      <w:r>
        <w:rPr>
          <w:rFonts w:ascii="Arial" w:hAnsi="Arial" w:eastAsia="Arial" w:cs="Arial"/>
          <w:color w:val="2C3E50"/>
          <w:sz w:val="22"/>
          <w:szCs w:val="22"/>
        </w:rPr>
        <w:t>Privacy policy and terms of service updated</w:t>
      </w:r>
    </w:p>
    <w:p w14:paraId="00000292">
      <w:pPr>
        <w:pStyle w:val="ListParagraph"/>
        <w:numPr>
          <w:ilvl w:val="0"/>
          <w:numId w:val="2"/>
        </w:numPr>
        <w:spacing w:after="60" w:before="60"/>
      </w:pPr>
      <w:r>
        <w:rPr>
          <w:rFonts w:ascii="Arial" w:hAnsi="Arial" w:eastAsia="Arial" w:cs="Arial"/>
          <w:color w:val="2C3E50"/>
          <w:sz w:val="22"/>
          <w:szCs w:val="22"/>
        </w:rPr>
        <w:t>Google Search Console verified and sitemap submitted</w:t>
      </w:r>
    </w:p>
    <w:p w14:paraId="00000293">
      <w:pPr>
        <w:pStyle w:val="ListParagraph"/>
        <w:numPr>
          <w:ilvl w:val="0"/>
          <w:numId w:val="2"/>
        </w:numPr>
        <w:spacing w:after="60" w:before="60"/>
      </w:pPr>
      <w:r>
        <w:rPr>
          <w:rFonts w:ascii="Arial" w:hAnsi="Arial" w:eastAsia="Arial" w:cs="Arial"/>
          <w:color w:val="2C3E50"/>
          <w:sz w:val="22"/>
          <w:szCs w:val="22"/>
        </w:rPr>
        <w:t>Site loads in under 3 seconds on mobile (test with PageSpeed Insights)</w:t>
      </w:r>
    </w:p>
    <w:p w14:paraId="00000294">
      <w:pPr>
        <w:pStyle w:val="ListParagraph"/>
        <w:numPr>
          <w:ilvl w:val="0"/>
          <w:numId w:val="2"/>
        </w:numPr>
        <w:spacing w:after="60" w:before="60"/>
      </w:pPr>
      <w:r>
        <w:rPr>
          <w:rFonts w:ascii="Arial" w:hAnsi="Arial" w:eastAsia="Arial" w:cs="Arial"/>
          <w:color w:val="2C3E50"/>
          <w:sz w:val="22"/>
          <w:szCs w:val="22"/>
        </w:rPr>
        <w:t>At least 1 affiliate program approved and links placed</w:t>
      </w:r>
    </w:p>
    <w:p w14:paraId="00000295">
      <w:pPr>
        <w:pStyle w:val="ListParagraph"/>
        <w:numPr>
          <w:ilvl w:val="0"/>
          <w:numId w:val="2"/>
        </w:numPr>
        <w:spacing w:after="60" w:before="60"/>
      </w:pPr>
      <w:r>
        <w:rPr>
          <w:rFonts w:ascii="Arial" w:hAnsi="Arial" w:eastAsia="Arial" w:cs="Arial"/>
          <w:color w:val="2C3E50"/>
          <w:sz w:val="22"/>
          <w:szCs w:val="22"/>
        </w:rPr>
        <w:t>All existing general finance content either updated to fit new niche or set to draft</w:t>
      </w:r>
    </w:p>
    <w:p w14:paraId="00000296">
      <w:r>
        <w:br w:type="page"/>
      </w:r>
    </w:p>
    <w:p w14:paraId="00000297">
      <w:pPr>
        <w:pStyle w:val="Heading1"/>
        <w:spacing w:after="200" w:before="400"/>
      </w:pPr>
      <w:r>
        <w:rPr>
          <w:rFonts w:ascii="Arial" w:hAnsi="Arial" w:eastAsia="Arial" w:cs="Arial"/>
          <w:b/>
          <w:bCs/>
          <w:color w:val="1B3A6B"/>
          <w:sz w:val="36"/>
          <w:szCs w:val="36"/>
        </w:rPr>
        <w:t>9. Quick Reference — Key Decisions</w:t>
      </w:r>
    </w:p>
    <w:p w14:paraId="00000298">
      <w:pPr>
        <w:pBdr>
          <w:bottom w:val="single" w:color="D0D8E4" w:sz="4" w:space="1"/>
        </w:pBdr>
        <w:spacing w:after="200" w:before="200"/>
      </w:pPr>
    </w:p>
    <w:p w14:paraId="00000299">
      <w:pPr>
        <w:spacing w:after="120" w:before="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14:paraId="0000029A">
        <w:tc>
          <w:tcPr>
            <w:tcW w:w="4680" w:type="dxa"/>
            <w:tcBorders>
              <w:top w:val="single" w:color="D0D8E4" w:sz="1"/>
              <w:left w:val="single" w:color="D0D8E4" w:sz="1"/>
              <w:bottom w:val="single" w:color="D0D8E4" w:sz="1"/>
              <w:right w:val="single" w:color="D0D8E4" w:sz="1"/>
            </w:tcBorders>
            <w:shd w:fill="1B3A6B" w:val="clear"/>
            <w:tcMar>
              <w:top w:w="80" w:type="dxa"/>
              <w:left w:w="120" w:type="dxa"/>
              <w:bottom w:w="80" w:type="dxa"/>
              <w:right w:w="120" w:type="dxa"/>
            </w:tcMar>
          </w:tcPr>
          <w:p w14:paraId="0000029B">
            <w:r>
              <w:rPr>
                <w:rFonts w:ascii="Arial" w:hAnsi="Arial" w:eastAsia="Arial" w:cs="Arial"/>
                <w:b/>
                <w:bCs/>
                <w:color w:val="FFFFFF"/>
                <w:sz w:val="20"/>
                <w:szCs w:val="20"/>
              </w:rPr>
              <w:t>Decision</w:t>
            </w:r>
          </w:p>
        </w:tc>
        <w:tc>
          <w:tcPr>
            <w:tcW w:w="4680" w:type="dxa"/>
            <w:tcBorders>
              <w:top w:val="single" w:color="D0D8E4" w:sz="1"/>
              <w:left w:val="single" w:color="D0D8E4" w:sz="1"/>
              <w:bottom w:val="single" w:color="D0D8E4" w:sz="1"/>
              <w:right w:val="single" w:color="D0D8E4" w:sz="1"/>
            </w:tcBorders>
            <w:shd w:fill="1B3A6B" w:val="clear"/>
            <w:tcMar>
              <w:top w:w="80" w:type="dxa"/>
              <w:left w:w="120" w:type="dxa"/>
              <w:bottom w:w="80" w:type="dxa"/>
              <w:right w:w="120" w:type="dxa"/>
            </w:tcMar>
          </w:tcPr>
          <w:p w14:paraId="0000029C">
            <w:r>
              <w:rPr>
                <w:rFonts w:ascii="Arial" w:hAnsi="Arial" w:eastAsia="Arial" w:cs="Arial"/>
                <w:b/>
                <w:bCs/>
                <w:color w:val="FFFFFF"/>
                <w:sz w:val="20"/>
                <w:szCs w:val="20"/>
              </w:rPr>
              <w:t>Answer</w:t>
            </w:r>
          </w:p>
        </w:tc>
      </w:tr>
      <w:tr w14:paraId="0000029D">
        <w:tc>
          <w:tcPr>
            <w:tcW w:w="468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9E">
            <w:r>
              <w:rPr>
                <w:rFonts w:ascii="Arial" w:hAnsi="Arial" w:eastAsia="Arial" w:cs="Arial"/>
                <w:color w:val="2C3E50"/>
                <w:sz w:val="20"/>
                <w:szCs w:val="20"/>
              </w:rPr>
              <w:t>Brand name change?</w:t>
            </w:r>
          </w:p>
        </w:tc>
        <w:tc>
          <w:tcPr>
            <w:tcW w:w="468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9F">
            <w:r>
              <w:rPr>
                <w:rFonts w:ascii="Arial" w:hAnsi="Arial" w:eastAsia="Arial" w:cs="Arial"/>
                <w:color w:val="2C3E50"/>
                <w:sz w:val="20"/>
                <w:szCs w:val="20"/>
              </w:rPr>
              <w:t>No — Finovly stays. Update tagline only.</w:t>
            </w:r>
          </w:p>
        </w:tc>
      </w:tr>
      <w:tr w14:paraId="000002A0">
        <w:tc>
          <w:tcPr>
            <w:tcW w:w="468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A1">
            <w:r>
              <w:rPr>
                <w:rFonts w:ascii="Arial" w:hAnsi="Arial" w:eastAsia="Arial" w:cs="Arial"/>
                <w:color w:val="2C3E50"/>
                <w:sz w:val="20"/>
                <w:szCs w:val="20"/>
              </w:rPr>
              <w:t>Primary color?</w:t>
            </w:r>
          </w:p>
        </w:tc>
        <w:tc>
          <w:tcPr>
            <w:tcW w:w="468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A2">
            <w:r>
              <w:rPr>
                <w:rFonts w:ascii="Arial" w:hAnsi="Arial" w:eastAsia="Arial" w:cs="Arial"/>
                <w:color w:val="2C3E50"/>
                <w:sz w:val="20"/>
                <w:szCs w:val="20"/>
              </w:rPr>
              <w:t>Deep Navy #1B3A6B — keep existing brand color</w:t>
            </w:r>
          </w:p>
        </w:tc>
      </w:tr>
      <w:tr w14:paraId="000002A3">
        <w:tc>
          <w:tcPr>
            <w:tcW w:w="468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A4">
            <w:r>
              <w:rPr>
                <w:rFonts w:ascii="Arial" w:hAnsi="Arial" w:eastAsia="Arial" w:cs="Arial"/>
                <w:color w:val="2C3E50"/>
                <w:sz w:val="20"/>
                <w:szCs w:val="20"/>
              </w:rPr>
              <w:t>First content to publish?</w:t>
            </w:r>
          </w:p>
        </w:tc>
        <w:tc>
          <w:tcPr>
            <w:tcW w:w="468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A5">
            <w:r>
              <w:rPr>
                <w:rFonts w:ascii="Arial" w:hAnsi="Arial" w:eastAsia="Arial" w:cs="Arial"/>
                <w:color w:val="2C3E50"/>
                <w:sz w:val="20"/>
                <w:szCs w:val="20"/>
              </w:rPr>
              <w:t>H1B Financial Guide + Remittance Calculator</w:t>
            </w:r>
          </w:p>
        </w:tc>
      </w:tr>
      <w:tr w14:paraId="000002A6">
        <w:tc>
          <w:tcPr>
            <w:tcW w:w="468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A7">
            <w:r>
              <w:rPr>
                <w:rFonts w:ascii="Arial" w:hAnsi="Arial" w:eastAsia="Arial" w:cs="Arial"/>
                <w:color w:val="2C3E50"/>
                <w:sz w:val="20"/>
                <w:szCs w:val="20"/>
              </w:rPr>
              <w:t>First affiliate to prioritize?</w:t>
            </w:r>
          </w:p>
        </w:tc>
        <w:tc>
          <w:tcPr>
            <w:tcW w:w="468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A8">
            <w:r>
              <w:rPr>
                <w:rFonts w:ascii="Arial" w:hAnsi="Arial" w:eastAsia="Arial" w:cs="Arial"/>
                <w:color w:val="2C3E50"/>
                <w:sz w:val="20"/>
                <w:szCs w:val="20"/>
              </w:rPr>
              <w:t>Sprintax (tax) + Wise (remittance) — highest relevance</w:t>
            </w:r>
          </w:p>
        </w:tc>
      </w:tr>
      <w:tr w14:paraId="000002A9">
        <w:tc>
          <w:tcPr>
            <w:tcW w:w="468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AA">
            <w:r>
              <w:rPr>
                <w:rFonts w:ascii="Arial" w:hAnsi="Arial" w:eastAsia="Arial" w:cs="Arial"/>
                <w:color w:val="2C3E50"/>
                <w:sz w:val="20"/>
                <w:szCs w:val="20"/>
              </w:rPr>
              <w:t>Broad or narrow audience?</w:t>
            </w:r>
          </w:p>
        </w:tc>
        <w:tc>
          <w:tcPr>
            <w:tcW w:w="468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AB">
            <w:r>
              <w:rPr>
                <w:rFonts w:ascii="Arial" w:hAnsi="Arial" w:eastAsia="Arial" w:cs="Arial"/>
                <w:color w:val="2C3E50"/>
                <w:sz w:val="20"/>
                <w:szCs w:val="20"/>
              </w:rPr>
              <w:t>All immigrants broadly — do not limit to one nationality</w:t>
            </w:r>
          </w:p>
        </w:tc>
      </w:tr>
      <w:tr w14:paraId="000002AC">
        <w:tc>
          <w:tcPr>
            <w:tcW w:w="468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AD">
            <w:r>
              <w:rPr>
                <w:rFonts w:ascii="Arial" w:hAnsi="Arial" w:eastAsia="Arial" w:cs="Arial"/>
                <w:color w:val="2C3E50"/>
                <w:sz w:val="20"/>
                <w:szCs w:val="20"/>
              </w:rPr>
              <w:t>Blog post frequency?</w:t>
            </w:r>
          </w:p>
        </w:tc>
        <w:tc>
          <w:tcPr>
            <w:tcW w:w="468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AE">
            <w:r>
              <w:rPr>
                <w:rFonts w:ascii="Arial" w:hAnsi="Arial" w:eastAsia="Arial" w:cs="Arial"/>
                <w:color w:val="2C3E50"/>
                <w:sz w:val="20"/>
                <w:szCs w:val="20"/>
              </w:rPr>
              <w:t>2 per month minimum — consistency over volume</w:t>
            </w:r>
          </w:p>
        </w:tc>
      </w:tr>
      <w:tr w14:paraId="000002AF">
        <w:tc>
          <w:tcPr>
            <w:tcW w:w="468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B0">
            <w:r>
              <w:rPr>
                <w:rFonts w:ascii="Arial" w:hAnsi="Arial" w:eastAsia="Arial" w:cs="Arial"/>
                <w:color w:val="2C3E50"/>
                <w:sz w:val="20"/>
                <w:szCs w:val="20"/>
              </w:rPr>
              <w:t>Social media?</w:t>
            </w:r>
          </w:p>
        </w:tc>
        <w:tc>
          <w:tcPr>
            <w:tcW w:w="468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B1">
            <w:r>
              <w:rPr>
                <w:rFonts w:ascii="Arial" w:hAnsi="Arial" w:eastAsia="Arial" w:cs="Arial"/>
                <w:color w:val="2C3E50"/>
                <w:sz w:val="20"/>
                <w:szCs w:val="20"/>
              </w:rPr>
              <w:t>Reddit first (r/h1b, r/f1visa, r/immigration) — free and targeted</w:t>
            </w:r>
          </w:p>
        </w:tc>
      </w:tr>
      <w:tr w14:paraId="000002B2">
        <w:tc>
          <w:tcPr>
            <w:tcW w:w="468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B3">
            <w:r>
              <w:rPr>
                <w:rFonts w:ascii="Arial" w:hAnsi="Arial" w:eastAsia="Arial" w:cs="Arial"/>
                <w:color w:val="2C3E50"/>
                <w:sz w:val="20"/>
                <w:szCs w:val="20"/>
              </w:rPr>
              <w:t>Email list?</w:t>
            </w:r>
          </w:p>
        </w:tc>
        <w:tc>
          <w:tcPr>
            <w:tcW w:w="468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B4">
            <w:r>
              <w:rPr>
                <w:rFonts w:ascii="Arial" w:hAnsi="Arial" w:eastAsia="Arial" w:cs="Arial"/>
                <w:color w:val="2C3E50"/>
                <w:sz w:val="20"/>
                <w:szCs w:val="20"/>
              </w:rPr>
              <w:t>Start from day one — lead magnet: New Immigrant Financial Checklist</w:t>
            </w:r>
          </w:p>
        </w:tc>
      </w:tr>
      <w:tr w14:paraId="000002B5">
        <w:tc>
          <w:tcPr>
            <w:tcW w:w="468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B6">
            <w:r>
              <w:rPr>
                <w:rFonts w:ascii="Arial" w:hAnsi="Arial" w:eastAsia="Arial" w:cs="Arial"/>
                <w:color w:val="2C3E50"/>
                <w:sz w:val="20"/>
                <w:szCs w:val="20"/>
              </w:rPr>
              <w:t>Paid ads?</w:t>
            </w:r>
          </w:p>
        </w:tc>
        <w:tc>
          <w:tcPr>
            <w:tcW w:w="4680" w:type="dxa"/>
            <w:tcBorders>
              <w:top w:val="single" w:color="D0D8E4" w:sz="1"/>
              <w:left w:val="single" w:color="D0D8E4" w:sz="1"/>
              <w:bottom w:val="single" w:color="D0D8E4" w:sz="1"/>
              <w:right w:val="single" w:color="D0D8E4" w:sz="1"/>
            </w:tcBorders>
            <w:shd w:fill="FFFFFF" w:val="clear"/>
            <w:tcMar>
              <w:top w:w="80" w:type="dxa"/>
              <w:left w:w="120" w:type="dxa"/>
              <w:bottom w:w="80" w:type="dxa"/>
              <w:right w:w="120" w:type="dxa"/>
            </w:tcMar>
          </w:tcPr>
          <w:p w14:paraId="000002B7">
            <w:r>
              <w:rPr>
                <w:rFonts w:ascii="Arial" w:hAnsi="Arial" w:eastAsia="Arial" w:cs="Arial"/>
                <w:color w:val="2C3E50"/>
                <w:sz w:val="20"/>
                <w:szCs w:val="20"/>
              </w:rPr>
              <w:t>Not yet — invest in SEO and content first for 12 months</w:t>
            </w:r>
          </w:p>
        </w:tc>
      </w:tr>
      <w:tr w14:paraId="000002B8">
        <w:tc>
          <w:tcPr>
            <w:tcW w:w="468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B9">
            <w:r>
              <w:rPr>
                <w:rFonts w:ascii="Arial" w:hAnsi="Arial" w:eastAsia="Arial" w:cs="Arial"/>
                <w:color w:val="2C3E50"/>
                <w:sz w:val="20"/>
                <w:szCs w:val="20"/>
              </w:rPr>
              <w:t>Content outsourcing?</w:t>
            </w:r>
          </w:p>
        </w:tc>
        <w:tc>
          <w:tcPr>
            <w:tcW w:w="4680" w:type="dxa"/>
            <w:tcBorders>
              <w:top w:val="single" w:color="D0D8E4" w:sz="1"/>
              <w:left w:val="single" w:color="D0D8E4" w:sz="1"/>
              <w:bottom w:val="single" w:color="D0D8E4" w:sz="1"/>
              <w:right w:val="single" w:color="D0D8E4" w:sz="1"/>
            </w:tcBorders>
            <w:shd w:fill="F5F7FA" w:val="clear"/>
            <w:tcMar>
              <w:top w:w="80" w:type="dxa"/>
              <w:left w:w="120" w:type="dxa"/>
              <w:bottom w:w="80" w:type="dxa"/>
              <w:right w:w="120" w:type="dxa"/>
            </w:tcMar>
          </w:tcPr>
          <w:p w14:paraId="000002BA">
            <w:r>
              <w:rPr>
                <w:rFonts w:ascii="Arial" w:hAnsi="Arial" w:eastAsia="Arial" w:cs="Arial"/>
                <w:color w:val="2C3E50"/>
                <w:sz w:val="20"/>
                <w:szCs w:val="20"/>
              </w:rPr>
              <w:t>Only outsource to writers familiar with US immigration finance</w:t>
            </w:r>
          </w:p>
        </w:tc>
      </w:tr>
    </w:tbl>
    <w:p w14:paraId="000002BB">
      <w:pPr>
        <w:spacing w:after="120" w:before="0"/>
      </w:pPr>
    </w:p>
    <w:p w14:paraId="000002BC">
      <w:pPr>
        <w:spacing w:after="120" w:before="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w14:paraId="000002BD">
        <w:tc>
          <w:tcPr>
            <w:tcW w:w="9360" w:type="dxa"/>
            <w:tcBorders>
              <w:top w:val="single" w:color="D0D8E4" w:sz="1"/>
              <w:left w:val="single" w:color="D0D8E4" w:sz="1"/>
              <w:bottom w:val="single" w:color="D0D8E4" w:sz="1"/>
              <w:right w:val="single" w:color="D0D8E4" w:sz="1"/>
            </w:tcBorders>
            <w:shd w:fill="1B3A6B" w:val="clear"/>
            <w:tcMar>
              <w:top w:w="100" w:type="dxa"/>
              <w:left w:w="160" w:type="dxa"/>
              <w:bottom w:w="100" w:type="dxa"/>
              <w:right w:w="160" w:type="dxa"/>
            </w:tcMar>
          </w:tcPr>
          <w:p w14:paraId="000002BE">
            <w:r>
              <w:rPr>
                <w:rFonts w:ascii="Arial" w:hAnsi="Arial" w:eastAsia="Arial" w:cs="Arial"/>
                <w:b/>
                <w:bCs/>
                <w:color w:val="FFFFFF"/>
                <w:sz w:val="22"/>
                <w:szCs w:val="22"/>
              </w:rPr>
              <w:t>FINAL NOTE TO THE TEAM</w:t>
            </w:r>
          </w:p>
        </w:tc>
      </w:tr>
      <w:tr w14:paraId="000002BF">
        <w:tc>
          <w:tcPr>
            <w:tcW w:w="9360" w:type="dxa"/>
            <w:tcBorders>
              <w:top w:val="single" w:color="D0D8E4" w:sz="1"/>
              <w:left w:val="single" w:color="D0D8E4" w:sz="1"/>
              <w:bottom w:val="single" w:color="D0D8E4" w:sz="1"/>
              <w:right w:val="single" w:color="D0D8E4" w:sz="1"/>
            </w:tcBorders>
            <w:shd w:fill="E8EFF9" w:val="clear"/>
            <w:tcMar>
              <w:top w:w="120" w:type="dxa"/>
              <w:left w:w="160" w:type="dxa"/>
              <w:bottom w:w="120" w:type="dxa"/>
              <w:right w:w="160" w:type="dxa"/>
            </w:tcMar>
          </w:tcPr>
          <w:p w14:paraId="000002C0">
            <w:pPr>
              <w:spacing w:after="60" w:before="60"/>
            </w:pPr>
            <w:r>
              <w:rPr>
                <w:rFonts w:ascii="Arial" w:hAnsi="Arial" w:eastAsia="Arial" w:cs="Arial"/>
                <w:color w:val="2C3E50"/>
                <w:sz w:val="22"/>
                <w:szCs w:val="22"/>
              </w:rPr>
              <w:t>The immigrant finance niche is a long-term play. Do not expect significant organic traffic before month 4–6. The sites that win in this space are the ones that publish consistently, build genuinely helpful tools, and treat the audience with respect.</w:t>
            </w:r>
          </w:p>
          <w:p w14:paraId="000002C1">
            <w:pPr>
              <w:spacing w:after="60" w:before="60"/>
            </w:pPr>
          </w:p>
          <w:p w14:paraId="000002C2">
            <w:pPr>
              <w:spacing w:after="60" w:before="60"/>
            </w:pPr>
            <w:r>
              <w:rPr>
                <w:rFonts w:ascii="Arial" w:hAnsi="Arial" w:eastAsia="Arial" w:cs="Arial"/>
                <w:color w:val="2C3E50"/>
                <w:sz w:val="22"/>
                <w:szCs w:val="22"/>
              </w:rPr>
              <w:t>Every piece of content we publish should answer a real question that someone going through the US immigration process is Googling right now. If it does not do that, do not publish it.</w:t>
            </w:r>
          </w:p>
          <w:p w14:paraId="000002C3">
            <w:pPr>
              <w:spacing w:after="60" w:before="60"/>
            </w:pPr>
          </w:p>
          <w:p w14:paraId="000002C4">
            <w:pPr>
              <w:spacing w:after="60" w:before="60"/>
            </w:pPr>
            <w:r>
              <w:rPr>
                <w:rFonts w:ascii="Arial" w:hAnsi="Arial" w:eastAsia="Arial" w:cs="Arial"/>
                <w:color w:val="2C3E50"/>
                <w:sz w:val="22"/>
                <w:szCs w:val="22"/>
              </w:rPr>
              <w:t>Questions? All strategic decisions route through Saud. Technical questions go to the developer lead. Content questions go to the content lead.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spacing w:after="0" w:before="120"/>
      <w:jc w:val="center"/>
    </w:pPr>
    <w:r>
      <w:rPr>
        <w:rFonts w:ascii="Arial" w:cs="Arial" w:eastAsia="Arial" w:hAnsi="Arial"/>
        <w:color w:val="888888"/>
        <w:sz w:val="18"/>
        <w:szCs w:val="18"/>
      </w:rPr>
      <w:t xml:space="preserve">Confidential — Internal Use Only   |   Page </w:t>
    </w:r>
    <w:r>
      <w:rPr>
        <w:rFonts w:ascii="Arial" w:cs="Arial" w:eastAsia="Arial" w:hAnsi="Arial"/>
        <w:color w:val="888888"/>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1"/>
      </w:pBdr>
      <w:spacing w:after="160" w:before="0"/>
    </w:pPr>
    <w:r>
      <w:rPr>
        <w:rFonts w:ascii="Arial" w:cs="Arial" w:eastAsia="Arial" w:hAnsi="Arial"/>
        <w:b/>
        <w:bCs/>
        <w:color w:val="1B3A6B"/>
        <w:sz w:val="20"/>
        <w:szCs w:val="20"/>
      </w:rPr>
      <w:t xml:space="preserve">FINOVLY.COM</w:t>
    </w:r>
    <w:r>
      <w:rPr>
        <w:rFonts w:ascii="Arial" w:cs="Arial" w:eastAsia="Arial" w:hAnsi="Arial"/>
        <w:color w:val="888888"/>
        <w:sz w:val="18"/>
        <w:szCs w:val="18"/>
      </w:rPr>
      <w:t xml:space="preserve">   |   Website Transformation Report — Immigrant Finance Niche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C3E50"/>
      <w:sz w:val="24"/>
      <w:szCs w:val="24"/>
    </w:rPr>
  </w:style>
  <w:style w:type="paragraph" w:default="1" w:styleId="Normal">
    <w:name w:val="Normal"/>
    <w:qFormat/>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s>
</file>

<file path=word/_rels/comments.xml.rels><?xml version="1.0" encoding="UTF-8"?><Relationships xmlns="http://schemas.openxmlformats.org/package/2006/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s>
</file>

<file path=word/_rels/endnotes.xml.rels><?xml version="1.0" encoding="UTF-8" standalone="yes"?><Relationships xmlns="http://schemas.openxmlformats.org/package/2006/relationships" />
</file>

<file path=word/_rels/fontTable.xml.rels><?xml version="1.0" encoding="UTF-8"?><Relationships xmlns="http://schemas.openxmlformats.org/package/2006/relationships"/>
</file>

<file path=word/_rels/footer1.xml.rels><?xml version="1.0" encoding="UTF-8" standalone="yes"?><Relationships xmlns="http://schemas.openxmlformats.org/package/2006/relationships" />
</file>

<file path=word/_rels/footnotes.xml.rels><?xml version="1.0" encoding="UTF-8" standalone="yes"?><Relationships xmlns="http://schemas.openxmlformats.org/package/2006/relationships" />
</file>

<file path=word/_rels/header1.xml.rels><?xml version="1.0" encoding="UTF-8" standalone="yes"?><Relationships xmlns="http://schemas.openxmlformats.org/package/2006/relationships" />
</file>

<file path=docProps/app.xml><?xml version="1.0" encoding="utf-8"?>
<Properties xmlns="http://schemas.openxmlformats.org/officeDocument/2006/extended-properties" xmlns:vt="http://schemas.openxmlformats.org/officeDocument/2006/docPropsVTypes">
  <Words>3620</Words>
  <Characters>19616</Characters>
  <CharactersWithSpaces>22713</CharactersWithSpaces>
  <Pages>20</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2026-06-18T00:24:27.924Z</dcterms:created>
  <dcterms:modified xsi:type="dcterms:W3CDTF">2026-06-18T00:24:27.924Z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1.45.0</vt:lpwstr>
  </property>
  <property name="SuperdocDocumentOrigin" fmtid="{D5CDD505-2E9C-101B-9397-08002B2CF9AE}" pid="3">
    <vt:lpwstr>google-docs</vt:lpwstr>
  </property>
  <property name="DocumentGuid" fmtid="{D5CDD505-2E9C-101B-9397-08002B2CF9AE}" pid="4">
    <vt:lpwstr>c83f1ead-6c23-467f-a64c-1300f2ad6bd5</vt:lpwstr>
  </property>
</Properties>
</file>