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Arial" w:cs="Arial" w:eastAsia="Arial" w:hAnsi="Arial"/>
          <w:b/>
          <w:bCs/>
          <w:color w:val="1B3A6B"/>
          <w:sz w:val="72"/>
          <w:szCs w:val="72"/>
        </w:rPr>
        <w:t xml:space="preserve">FINOVLY.COM</w:t>
      </w:r>
    </w:p>
    <w:p>
      <w:pPr>
        <w:spacing w:after="120" w:before="0"/>
        <w:jc w:val="center"/>
      </w:pPr>
      <w:r>
        <w:rPr>
          <w:rFonts w:ascii="Arial" w:cs="Arial" w:eastAsia="Arial" w:hAnsi="Arial"/>
          <w:b/>
          <w:bCs/>
          <w:color w:val="2E86C1"/>
          <w:sz w:val="40"/>
          <w:szCs w:val="40"/>
        </w:rPr>
        <w:t xml:space="preserve">Website Transformation Report</w:t>
      </w:r>
    </w:p>
    <w:p>
      <w:pPr>
        <w:spacing w:after="600" w:before="0"/>
        <w:jc w:val="center"/>
      </w:pPr>
      <w:r>
        <w:rPr>
          <w:rFonts w:ascii="Arial" w:cs="Arial" w:eastAsia="Arial" w:hAnsi="Arial"/>
          <w:color w:val="666666"/>
          <w:sz w:val="26"/>
          <w:szCs w:val="26"/>
        </w:rPr>
        <w:t xml:space="preserve">Immigrant &amp; Expat Finance Niche — Full Implementation Guide</w:t>
      </w:r>
    </w:p>
    <w:p>
      <w:pPr>
        <w:pBdr>
          <w:top w:val="single" w:color="1B3A6B" w:sz="6" w:space="1"/>
          <w:bottom w:val="single" w:color="1B3A6B" w:sz="6" w:space="1"/>
        </w:pBdr>
        <w:spacing w:after="120" w:before="120"/>
        <w:jc w:val="center"/>
      </w:pPr>
      <w:r>
        <w:rPr>
          <w:rFonts w:ascii="Arial" w:cs="Arial" w:eastAsia="Arial" w:hAnsi="Arial"/>
          <w:color w:val="2C3E50"/>
          <w:sz w:val="22"/>
          <w:szCs w:val="22"/>
        </w:rPr>
        <w:t xml:space="preserve">Prepared for: Development &amp; Content Team   |   June 2025</w:t>
      </w:r>
    </w:p>
    <w:p>
      <w:pPr>
        <w:spacing w:after="2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8E4" w:sz="1"/>
              <w:left w:val="single" w:color="D0D8E4" w:sz="1"/>
              <w:bottom w:val="single" w:color="D0D8E4" w:sz="1"/>
              <w:right w:val="single" w:color="D0D8E4" w:sz="1"/>
            </w:tcBorders>
            <w:shd w:fill="1B3A6B" w:val="clear"/>
            <w:tcMar>
              <w:top w:type="dxa" w:w="100"/>
              <w:left w:type="dxa" w:w="160"/>
              <w:bottom w:type="dxa" w:w="100"/>
              <w:right w:type="dxa" w:w="160"/>
            </w:tcMar>
          </w:tcPr>
          <w:p>
            <w:r>
              <w:rPr>
                <w:rFonts w:ascii="Arial" w:cs="Arial" w:eastAsia="Arial" w:hAnsi="Arial"/>
                <w:b/>
                <w:bCs/>
                <w:color w:val="FFFFFF"/>
                <w:sz w:val="22"/>
                <w:szCs w:val="22"/>
              </w:rPr>
              <w:t xml:space="preserve">DOCUMENT PURPOSE</w:t>
            </w:r>
          </w:p>
        </w:tc>
      </w:tr>
      <w:tr>
        <w:tc>
          <w:tcPr>
            <w:tcW w:type="dxa" w:w="9360"/>
            <w:tcBorders>
              <w:top w:val="single" w:color="D0D8E4" w:sz="1"/>
              <w:left w:val="single" w:color="D0D8E4" w:sz="1"/>
              <w:bottom w:val="single" w:color="D0D8E4" w:sz="1"/>
              <w:right w:val="single" w:color="D0D8E4" w:sz="1"/>
            </w:tcBorders>
            <w:shd w:fill="E8EFF9" w:val="clear"/>
            <w:tcMar>
              <w:top w:type="dxa" w:w="120"/>
              <w:left w:type="dxa" w:w="160"/>
              <w:bottom w:type="dxa" w:w="120"/>
              <w:right w:type="dxa" w:w="160"/>
            </w:tcMar>
          </w:tcPr>
          <w:p>
            <w:pPr>
              <w:spacing w:after="60" w:before="60"/>
            </w:pPr>
            <w:r>
              <w:rPr>
                <w:rFonts w:ascii="Arial" w:cs="Arial" w:eastAsia="Arial" w:hAnsi="Arial"/>
                <w:color w:val="2C3E50"/>
                <w:sz w:val="22"/>
                <w:szCs w:val="22"/>
              </w:rPr>
              <w:t xml:space="preserve">This report provides complete implementation instructions for transforming Finovly.com from a general personal finance website into a dedicated immigrant and expat finance resource. It covers brand positioning, site architecture, visual design specifications, content strategy, calculator builds, SEO requirements, and affiliate monetization setup.</w:t>
            </w:r>
          </w:p>
          <w:p>
            <w:pPr>
              <w:spacing w:after="60" w:before="60"/>
            </w:pPr>
            <w:r>
              <w:rPr>
                <w:rFonts w:ascii="Arial" w:cs="Arial" w:eastAsia="Arial" w:hAnsi="Arial"/>
                <w:color w:val="2C3E50"/>
                <w:sz w:val="22"/>
                <w:szCs w:val="22"/>
              </w:rPr>
              <w:t xml:space="preserve"/>
            </w:r>
          </w:p>
          <w:p>
            <w:pPr>
              <w:spacing w:after="60" w:before="60"/>
            </w:pPr>
            <w:r>
              <w:rPr>
                <w:rFonts w:ascii="Arial" w:cs="Arial" w:eastAsia="Arial" w:hAnsi="Arial"/>
                <w:color w:val="2C3E50"/>
                <w:sz w:val="22"/>
                <w:szCs w:val="22"/>
              </w:rPr>
              <w:t xml:space="preserve">Every team member — developer, designer, and content writer — should read their relevant sections in full before beginning work.</w:t>
            </w:r>
          </w:p>
        </w:tc>
      </w:tr>
    </w:tbl>
    <w:p>
      <w:r>
        <w:br w:type="page"/>
      </w:r>
    </w:p>
    <w:p>
      <w:pPr>
        <w:pStyle w:val="Heading1"/>
        <w:spacing w:after="200" w:before="400"/>
      </w:pPr>
      <w:r>
        <w:rPr>
          <w:rFonts w:ascii="Arial" w:cs="Arial" w:eastAsia="Arial" w:hAnsi="Arial"/>
          <w:b/>
          <w:bCs/>
          <w:color w:val="1B3A6B"/>
          <w:sz w:val="36"/>
          <w:szCs w:val="36"/>
        </w:rPr>
        <w:t xml:space="preserve">1. Strategic Overview</w:t>
      </w:r>
    </w:p>
    <w:p>
      <w:pPr>
        <w:pBdr>
          <w:bottom w:val="single" w:color="D0D8E4" w:sz="4" w:space="1"/>
        </w:pBdr>
        <w:spacing w:after="200" w:before="200"/>
      </w:pPr>
      <w:r>
        <w:t xml:space="preserve"/>
      </w:r>
    </w:p>
    <w:p>
      <w:pPr>
        <w:pStyle w:val="Heading2"/>
        <w:spacing w:after="160" w:before="320"/>
      </w:pPr>
      <w:r>
        <w:rPr>
          <w:rFonts w:ascii="Arial" w:cs="Arial" w:eastAsia="Arial" w:hAnsi="Arial"/>
          <w:b/>
          <w:bCs/>
          <w:color w:val="2E86C1"/>
          <w:sz w:val="28"/>
          <w:szCs w:val="28"/>
        </w:rPr>
        <w:t xml:space="preserve">1.1 Why This Niche</w:t>
      </w:r>
    </w:p>
    <w:p>
      <w:pPr>
        <w:spacing w:after="120" w:before="80"/>
      </w:pPr>
      <w:r>
        <w:rPr>
          <w:rFonts w:ascii="Arial" w:cs="Arial" w:eastAsia="Arial" w:hAnsi="Arial"/>
          <w:color w:val="2C3E50"/>
          <w:sz w:val="22"/>
          <w:szCs w:val="22"/>
        </w:rPr>
        <w:t xml:space="preserve">Finovly is pivoting from broad personal finance coverage to a focused niche: financial guidance for immigrants, expats, and international residents in the United States. This is one of the most underserved segments in personal finance content online.</w:t>
      </w:r>
    </w:p>
    <w:p>
      <w:pPr>
        <w:spacing w:after="120" w:before="0"/>
      </w:pPr>
      <w:r>
        <w:t xml:space="preserve"/>
      </w:r>
    </w:p>
    <w:p>
      <w:pPr>
        <w:spacing w:after="120" w:before="80"/>
      </w:pPr>
      <w:r>
        <w:rPr>
          <w:rFonts w:ascii="Arial" w:cs="Arial" w:eastAsia="Arial" w:hAnsi="Arial"/>
          <w:b/>
          <w:bCs/>
          <w:color w:val="2C3E50"/>
          <w:sz w:val="22"/>
          <w:szCs w:val="22"/>
        </w:rPr>
        <w:t xml:space="preserve">The opportunity breakdown:</w:t>
      </w:r>
    </w:p>
    <w:p>
      <w:pPr>
        <w:pStyle w:val="ListParagraph"/>
        <w:numPr>
          <w:ilvl w:val="0"/>
          <w:numId w:val="2"/>
        </w:numPr>
        <w:spacing w:after="60" w:before="60"/>
      </w:pPr>
      <w:r>
        <w:rPr>
          <w:rFonts w:ascii="Arial" w:cs="Arial" w:eastAsia="Arial" w:hAnsi="Arial"/>
          <w:color w:val="2C3E50"/>
          <w:sz w:val="22"/>
          <w:szCs w:val="22"/>
        </w:rPr>
        <w:t xml:space="preserve">45+ million immigrants currently live in the United States</w:t>
      </w:r>
    </w:p>
    <w:p>
      <w:pPr>
        <w:pStyle w:val="ListParagraph"/>
        <w:numPr>
          <w:ilvl w:val="0"/>
          <w:numId w:val="2"/>
        </w:numPr>
        <w:spacing w:after="60" w:before="60"/>
      </w:pPr>
      <w:r>
        <w:rPr>
          <w:rFonts w:ascii="Arial" w:cs="Arial" w:eastAsia="Arial" w:hAnsi="Arial"/>
          <w:color w:val="2C3E50"/>
          <w:sz w:val="22"/>
          <w:szCs w:val="22"/>
        </w:rPr>
        <w:t xml:space="preserve">Most major finance sites (NerdWallet, Bankrate, Investopedia) cover immigrant topics broadly but shallowly</w:t>
      </w:r>
    </w:p>
    <w:p>
      <w:pPr>
        <w:pStyle w:val="ListParagraph"/>
        <w:numPr>
          <w:ilvl w:val="0"/>
          <w:numId w:val="2"/>
        </w:numPr>
        <w:spacing w:after="60" w:before="60"/>
      </w:pPr>
      <w:r>
        <w:rPr>
          <w:rFonts w:ascii="Arial" w:cs="Arial" w:eastAsia="Arial" w:hAnsi="Arial"/>
          <w:color w:val="2C3E50"/>
          <w:sz w:val="22"/>
          <w:szCs w:val="22"/>
        </w:rPr>
        <w:t xml:space="preserve">The audience has high financial anxiety, high purchase intent, and strong search behavior</w:t>
      </w:r>
    </w:p>
    <w:p>
      <w:pPr>
        <w:pStyle w:val="ListParagraph"/>
        <w:numPr>
          <w:ilvl w:val="0"/>
          <w:numId w:val="2"/>
        </w:numPr>
        <w:spacing w:after="60" w:before="60"/>
      </w:pPr>
      <w:r>
        <w:rPr>
          <w:rFonts w:ascii="Arial" w:cs="Arial" w:eastAsia="Arial" w:hAnsi="Arial"/>
          <w:color w:val="2C3E50"/>
          <w:sz w:val="22"/>
          <w:szCs w:val="22"/>
        </w:rPr>
        <w:t xml:space="preserve">Affiliate commissions in this niche are strong — remittance apps, credit builders, tax software, and international brokerages all have CPA deals</w:t>
      </w:r>
    </w:p>
    <w:p>
      <w:pPr>
        <w:pStyle w:val="ListParagraph"/>
        <w:numPr>
          <w:ilvl w:val="0"/>
          <w:numId w:val="2"/>
        </w:numPr>
        <w:spacing w:after="60" w:before="60"/>
      </w:pPr>
      <w:r>
        <w:rPr>
          <w:rFonts w:ascii="Arial" w:cs="Arial" w:eastAsia="Arial" w:hAnsi="Arial"/>
          <w:color w:val="2C3E50"/>
          <w:sz w:val="22"/>
          <w:szCs w:val="22"/>
        </w:rPr>
        <w:t xml:space="preserve">Calculator tools are severely underbuilt for this audience — a major gap Finovly can own</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1.2 Target Audience Segments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4680"/>
        <w:gridCol w:w="1560"/>
      </w:tblGrid>
      <w:tr>
        <w:tc>
          <w:tcPr>
            <w:tcW w:type="dxa" w:w="31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Audience Segment</w:t>
            </w:r>
          </w:p>
        </w:tc>
        <w:tc>
          <w:tcPr>
            <w:tcW w:type="dxa" w:w="46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Key Financial Problems</w:t>
            </w:r>
          </w:p>
        </w:tc>
        <w:tc>
          <w:tcPr>
            <w:tcW w:type="dxa" w:w="15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 L1 / O1 Visa Holders</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Dual taxation, 401k uncertainty, investing as non-resident</w:t>
            </w:r>
          </w:p>
        </w:tc>
        <w:tc>
          <w:tcPr>
            <w:tcW w:type="dxa" w:w="15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Primary</w:t>
            </w:r>
          </w:p>
        </w:tc>
      </w:tr>
      <w:tr>
        <w:tc>
          <w:tcPr>
            <w:tcW w:type="dxa" w:w="31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F1 / J1 International Students</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Tax filing, first US bank account, OPT income taxes</w:t>
            </w:r>
          </w:p>
        </w:tc>
        <w:tc>
          <w:tcPr>
            <w:tcW w:type="dxa" w:w="15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Primary</w:t>
            </w:r>
          </w:p>
        </w:tc>
      </w:tr>
      <w:tr>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New Green Card Holders</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Credit building, mortgage eligibility, retirement accounts</w:t>
            </w:r>
          </w:p>
        </w:tc>
        <w:tc>
          <w:tcPr>
            <w:tcW w:type="dxa" w:w="15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Secondary</w:t>
            </w:r>
          </w:p>
        </w:tc>
      </w:tr>
      <w:tr>
        <w:tc>
          <w:tcPr>
            <w:tcW w:type="dxa" w:w="31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Expats Living Abroad</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FBAR/FATCA filing, foreign income exclusion, banking</w:t>
            </w:r>
          </w:p>
        </w:tc>
        <w:tc>
          <w:tcPr>
            <w:tcW w:type="dxa" w:w="15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Secondary</w:t>
            </w:r>
          </w:p>
        </w:tc>
      </w:tr>
      <w:tr>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Undocumented / ITIN Filers</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ITIN application, tax filing, banking without SSN</w:t>
            </w:r>
          </w:p>
        </w:tc>
        <w:tc>
          <w:tcPr>
            <w:tcW w:type="dxa" w:w="15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Tertiary</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1.3 Brand Positioning Statement</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8E4" w:sz="1"/>
              <w:left w:val="single" w:color="D0D8E4" w:sz="1"/>
              <w:bottom w:val="single" w:color="D0D8E4" w:sz="1"/>
              <w:right w:val="single" w:color="D0D8E4" w:sz="1"/>
            </w:tcBorders>
            <w:shd w:fill="1B3A6B" w:val="clear"/>
            <w:tcMar>
              <w:top w:type="dxa" w:w="100"/>
              <w:left w:type="dxa" w:w="160"/>
              <w:bottom w:type="dxa" w:w="100"/>
              <w:right w:type="dxa" w:w="160"/>
            </w:tcMar>
          </w:tcPr>
          <w:p>
            <w:r>
              <w:rPr>
                <w:rFonts w:ascii="Arial" w:cs="Arial" w:eastAsia="Arial" w:hAnsi="Arial"/>
                <w:b/>
                <w:bCs/>
                <w:color w:val="FFFFFF"/>
                <w:sz w:val="22"/>
                <w:szCs w:val="22"/>
              </w:rPr>
              <w:t xml:space="preserve">FINOVLY BRAND POSITION</w:t>
            </w:r>
          </w:p>
        </w:tc>
      </w:tr>
      <w:tr>
        <w:tc>
          <w:tcPr>
            <w:tcW w:type="dxa" w:w="9360"/>
            <w:tcBorders>
              <w:top w:val="single" w:color="D0D8E4" w:sz="1"/>
              <w:left w:val="single" w:color="D0D8E4" w:sz="1"/>
              <w:bottom w:val="single" w:color="D0D8E4" w:sz="1"/>
              <w:right w:val="single" w:color="D0D8E4" w:sz="1"/>
            </w:tcBorders>
            <w:shd w:fill="E8EFF9" w:val="clear"/>
            <w:tcMar>
              <w:top w:type="dxa" w:w="120"/>
              <w:left w:type="dxa" w:w="160"/>
              <w:bottom w:type="dxa" w:w="120"/>
              <w:right w:type="dxa" w:w="160"/>
            </w:tcMar>
          </w:tcPr>
          <w:p>
            <w:pPr>
              <w:spacing w:after="60" w:before="60"/>
            </w:pPr>
            <w:r>
              <w:rPr>
                <w:rFonts w:ascii="Arial" w:cs="Arial" w:eastAsia="Arial" w:hAnsi="Arial"/>
                <w:color w:val="2C3E50"/>
                <w:sz w:val="22"/>
                <w:szCs w:val="22"/>
              </w:rPr>
              <w:t xml:space="preserve">Finovly is America's financial guide for immigrants and international residents.</w:t>
            </w:r>
          </w:p>
          <w:p>
            <w:pPr>
              <w:spacing w:after="60" w:before="60"/>
            </w:pPr>
            <w:r>
              <w:rPr>
                <w:rFonts w:ascii="Arial" w:cs="Arial" w:eastAsia="Arial" w:hAnsi="Arial"/>
                <w:color w:val="2C3E50"/>
                <w:sz w:val="22"/>
                <w:szCs w:val="22"/>
              </w:rPr>
              <w:t xml:space="preserve"/>
            </w:r>
          </w:p>
          <w:p>
            <w:pPr>
              <w:spacing w:after="60" w:before="60"/>
            </w:pPr>
            <w:r>
              <w:rPr>
                <w:rFonts w:ascii="Arial" w:cs="Arial" w:eastAsia="Arial" w:hAnsi="Arial"/>
                <w:color w:val="2C3E50"/>
                <w:sz w:val="22"/>
                <w:szCs w:val="22"/>
              </w:rPr>
              <w:t xml:space="preserve">We simplify the complex financial system that no one explains to you when you arrive — banking, taxes, investing, and sending money home — so you can build real financial confidence in your new country.</w:t>
            </w:r>
          </w:p>
          <w:p>
            <w:pPr>
              <w:spacing w:after="60" w:before="60"/>
            </w:pPr>
            <w:r>
              <w:rPr>
                <w:rFonts w:ascii="Arial" w:cs="Arial" w:eastAsia="Arial" w:hAnsi="Arial"/>
                <w:color w:val="2C3E50"/>
                <w:sz w:val="22"/>
                <w:szCs w:val="22"/>
              </w:rPr>
              <w:t xml:space="preserve"/>
            </w:r>
          </w:p>
          <w:p>
            <w:pPr>
              <w:spacing w:after="60" w:before="60"/>
            </w:pPr>
            <w:r>
              <w:rPr>
                <w:rFonts w:ascii="Arial" w:cs="Arial" w:eastAsia="Arial" w:hAnsi="Arial"/>
                <w:color w:val="2C3E50"/>
                <w:sz w:val="22"/>
                <w:szCs w:val="22"/>
              </w:rPr>
              <w:t xml:space="preserve">Tagline: "Finance Made Simple for New Americans"</w:t>
            </w:r>
          </w:p>
        </w:tc>
      </w:tr>
    </w:tbl>
    <w:p>
      <w:r>
        <w:br w:type="page"/>
      </w:r>
    </w:p>
    <w:p>
      <w:pPr>
        <w:pStyle w:val="Heading1"/>
        <w:spacing w:after="200" w:before="400"/>
      </w:pPr>
      <w:r>
        <w:rPr>
          <w:rFonts w:ascii="Arial" w:cs="Arial" w:eastAsia="Arial" w:hAnsi="Arial"/>
          <w:b/>
          <w:bCs/>
          <w:color w:val="1B3A6B"/>
          <w:sz w:val="36"/>
          <w:szCs w:val="36"/>
        </w:rPr>
        <w:t xml:space="preserve">2. Website Architecture</w:t>
      </w:r>
    </w:p>
    <w:p>
      <w:pPr>
        <w:pBdr>
          <w:bottom w:val="single" w:color="D0D8E4" w:sz="4" w:space="1"/>
        </w:pBdr>
        <w:spacing w:after="200" w:before="200"/>
      </w:pPr>
      <w:r>
        <w:t xml:space="preserve"/>
      </w:r>
    </w:p>
    <w:p>
      <w:pPr>
        <w:pStyle w:val="Heading2"/>
        <w:spacing w:after="160" w:before="320"/>
      </w:pPr>
      <w:r>
        <w:rPr>
          <w:rFonts w:ascii="Arial" w:cs="Arial" w:eastAsia="Arial" w:hAnsi="Arial"/>
          <w:b/>
          <w:bCs/>
          <w:color w:val="2E86C1"/>
          <w:sz w:val="28"/>
          <w:szCs w:val="28"/>
        </w:rPr>
        <w:t xml:space="preserve">2.1 New Site Structure</w:t>
      </w:r>
    </w:p>
    <w:p>
      <w:pPr>
        <w:spacing w:after="120" w:before="80"/>
      </w:pPr>
      <w:r>
        <w:rPr>
          <w:rFonts w:ascii="Arial" w:cs="Arial" w:eastAsia="Arial" w:hAnsi="Arial"/>
          <w:color w:val="2C3E50"/>
          <w:sz w:val="22"/>
          <w:szCs w:val="22"/>
        </w:rPr>
        <w:t xml:space="preserve">The current site navigation must be completely replaced. Below is the new architecture. Every page listed should exist as a dedicated URL. The developer should implement this in the CMS/site builder before content is written.</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5400"/>
        <w:gridCol w:w="1440"/>
      </w:tblGrid>
      <w:tr>
        <w:tc>
          <w:tcPr>
            <w:tcW w:type="dxa" w:w="25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Top-Level Section</w:t>
            </w:r>
          </w:p>
        </w:tc>
        <w:tc>
          <w:tcPr>
            <w:tcW w:type="dxa" w:w="540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Sub-Pages to Build</w:t>
            </w:r>
          </w:p>
        </w:tc>
        <w:tc>
          <w:tcPr>
            <w:tcW w:type="dxa" w:w="144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Banking &amp; Credit</w:t>
            </w:r>
          </w:p>
        </w:tc>
        <w:tc>
          <w:tcPr>
            <w:tcW w:type="dxa" w:w="54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Best banks for immigrants | How to build credit | Best credit cards | Credit builder loans | ITIN mortgage guide</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first</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Taxes</w:t>
            </w:r>
          </w:p>
        </w:tc>
        <w:tc>
          <w:tcPr>
            <w:tcW w:type="dxa" w:w="54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H1B tax guide | F1 tax guide | ITIN application | Resident vs nonresident alien | FBAR guide | FATCA guide</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Build first</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Send Money Home</w:t>
            </w:r>
          </w:p>
        </w:tc>
        <w:tc>
          <w:tcPr>
            <w:tcW w:type="dxa" w:w="54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Wise vs Remitly vs Western Union | Best transfer apps | Country-specific guides (India, Mexico, Philippines, Nigeria)</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second</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Investing</w:t>
            </w:r>
          </w:p>
        </w:tc>
        <w:tc>
          <w:tcPr>
            <w:tcW w:type="dxa" w:w="54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Investing on a visa | H1B &amp; Roth IRA | Best brokerages for non-residents | What happens to 401k if you leave</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Build second</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Insurance</w:t>
            </w:r>
          </w:p>
        </w:tc>
        <w:tc>
          <w:tcPr>
            <w:tcW w:type="dxa" w:w="54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Health insurance for visa holders | Life insurance for immigrants | Car insurance with no US history</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third</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Calculators</w:t>
            </w:r>
          </w:p>
        </w:tc>
        <w:tc>
          <w:tcPr>
            <w:tcW w:type="dxa" w:w="54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Remittance fee calculator | H1B tax estimator | F1 OPT tax calculator | Substantial presence test | Cost of living comparison</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Build first</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Visa Guides</w:t>
            </w:r>
          </w:p>
        </w:tc>
        <w:tc>
          <w:tcPr>
            <w:tcW w:type="dxa" w:w="54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financial guide | F1 financial guide | Green card financial guide | L1 financial guide</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second</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2.2 Homepage Layout Specification</w:t>
      </w:r>
    </w:p>
    <w:p>
      <w:pPr>
        <w:spacing w:after="120" w:before="80"/>
      </w:pPr>
      <w:r>
        <w:rPr>
          <w:rFonts w:ascii="Arial" w:cs="Arial" w:eastAsia="Arial" w:hAnsi="Arial"/>
          <w:color w:val="2C3E50"/>
          <w:sz w:val="22"/>
          <w:szCs w:val="22"/>
        </w:rPr>
        <w:t xml:space="preserve">The homepage is the most important page on the site. It must immediately communicate who the site is for and what it offers. Below is the required section-by-section layout.</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Hero Section (Above the Fold)</w:t>
      </w:r>
    </w:p>
    <w:p>
      <w:pPr>
        <w:pStyle w:val="ListParagraph"/>
        <w:numPr>
          <w:ilvl w:val="0"/>
          <w:numId w:val="2"/>
        </w:numPr>
        <w:spacing w:after="60" w:before="60"/>
      </w:pPr>
      <w:r>
        <w:rPr>
          <w:rFonts w:ascii="Arial" w:cs="Arial" w:eastAsia="Arial" w:hAnsi="Arial"/>
          <w:color w:val="2C3E50"/>
          <w:sz w:val="22"/>
          <w:szCs w:val="22"/>
        </w:rPr>
        <w:t xml:space="preserve">Background: Deep navy (#1B3A6B) with subtle diagonal pattern or world map illustration in low opacity</w:t>
      </w:r>
    </w:p>
    <w:p>
      <w:pPr>
        <w:pStyle w:val="ListParagraph"/>
        <w:numPr>
          <w:ilvl w:val="0"/>
          <w:numId w:val="2"/>
        </w:numPr>
        <w:spacing w:after="60" w:before="60"/>
      </w:pPr>
      <w:r>
        <w:rPr>
          <w:rFonts w:ascii="Arial" w:cs="Arial" w:eastAsia="Arial" w:hAnsi="Arial"/>
          <w:color w:val="2C3E50"/>
          <w:sz w:val="22"/>
          <w:szCs w:val="22"/>
        </w:rPr>
        <w:t xml:space="preserve">Headline (H1): "Finance Made Simple for New Americans" — white, large, centered or left-aligned</w:t>
      </w:r>
    </w:p>
    <w:p>
      <w:pPr>
        <w:pStyle w:val="ListParagraph"/>
        <w:numPr>
          <w:ilvl w:val="0"/>
          <w:numId w:val="2"/>
        </w:numPr>
        <w:spacing w:after="60" w:before="60"/>
      </w:pPr>
      <w:r>
        <w:rPr>
          <w:rFonts w:ascii="Arial" w:cs="Arial" w:eastAsia="Arial" w:hAnsi="Arial"/>
          <w:color w:val="2C3E50"/>
          <w:sz w:val="22"/>
          <w:szCs w:val="22"/>
        </w:rPr>
        <w:t xml:space="preserve">Subheadline: "Calculators, guides, and tools for immigrants navigating the US financial system" — light gray, smaller font</w:t>
      </w:r>
    </w:p>
    <w:p>
      <w:pPr>
        <w:pStyle w:val="ListParagraph"/>
        <w:numPr>
          <w:ilvl w:val="0"/>
          <w:numId w:val="2"/>
        </w:numPr>
        <w:spacing w:after="60" w:before="60"/>
      </w:pPr>
      <w:r>
        <w:rPr>
          <w:rFonts w:ascii="Arial" w:cs="Arial" w:eastAsia="Arial" w:hAnsi="Arial"/>
          <w:color w:val="2C3E50"/>
          <w:sz w:val="22"/>
          <w:szCs w:val="22"/>
        </w:rPr>
        <w:t xml:space="preserve">Two CTA buttons: Primary = "Explore Calculators" (white fill, navy text) | Secondary = "Start With Your Visa Type" (outlined white)</w:t>
      </w:r>
    </w:p>
    <w:p>
      <w:pPr>
        <w:pStyle w:val="ListParagraph"/>
        <w:numPr>
          <w:ilvl w:val="0"/>
          <w:numId w:val="2"/>
        </w:numPr>
        <w:spacing w:after="60" w:before="60"/>
      </w:pPr>
      <w:r>
        <w:rPr>
          <w:rFonts w:ascii="Arial" w:cs="Arial" w:eastAsia="Arial" w:hAnsi="Arial"/>
          <w:color w:val="2C3E50"/>
          <w:sz w:val="22"/>
          <w:szCs w:val="22"/>
        </w:rPr>
        <w:t xml:space="preserve">Below buttons: Small trust line — "Trusted by H1B holders, F1 students, and new green card holders"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Audience Selector Section</w:t>
      </w:r>
    </w:p>
    <w:p>
      <w:pPr>
        <w:pStyle w:val="ListParagraph"/>
        <w:numPr>
          <w:ilvl w:val="0"/>
          <w:numId w:val="2"/>
        </w:numPr>
        <w:spacing w:after="60" w:before="60"/>
      </w:pPr>
      <w:r>
        <w:rPr>
          <w:rFonts w:ascii="Arial" w:cs="Arial" w:eastAsia="Arial" w:hAnsi="Arial"/>
          <w:color w:val="2C3E50"/>
          <w:sz w:val="22"/>
          <w:szCs w:val="22"/>
        </w:rPr>
        <w:t xml:space="preserve">Headline: "What best describes you?"</w:t>
      </w:r>
    </w:p>
    <w:p>
      <w:pPr>
        <w:pStyle w:val="ListParagraph"/>
        <w:numPr>
          <w:ilvl w:val="0"/>
          <w:numId w:val="2"/>
        </w:numPr>
        <w:spacing w:after="60" w:before="60"/>
      </w:pPr>
      <w:r>
        <w:rPr>
          <w:rFonts w:ascii="Arial" w:cs="Arial" w:eastAsia="Arial" w:hAnsi="Arial"/>
          <w:color w:val="2C3E50"/>
          <w:sz w:val="22"/>
          <w:szCs w:val="22"/>
        </w:rPr>
        <w:t xml:space="preserve">4–5 large clickable cards in a row: H1B/Work Visa | F1/International Student | New Green Card | Sending Money Home | Expat Abroad</w:t>
      </w:r>
    </w:p>
    <w:p>
      <w:pPr>
        <w:pStyle w:val="ListParagraph"/>
        <w:numPr>
          <w:ilvl w:val="0"/>
          <w:numId w:val="2"/>
        </w:numPr>
        <w:spacing w:after="60" w:before="60"/>
      </w:pPr>
      <w:r>
        <w:rPr>
          <w:rFonts w:ascii="Arial" w:cs="Arial" w:eastAsia="Arial" w:hAnsi="Arial"/>
          <w:color w:val="2C3E50"/>
          <w:sz w:val="22"/>
          <w:szCs w:val="22"/>
        </w:rPr>
        <w:t xml:space="preserve">Each card has an icon, a label, and routes to the relevant visa guide or content cluster</w:t>
      </w:r>
    </w:p>
    <w:p>
      <w:pPr>
        <w:pStyle w:val="ListParagraph"/>
        <w:numPr>
          <w:ilvl w:val="0"/>
          <w:numId w:val="2"/>
        </w:numPr>
        <w:spacing w:after="60" w:before="60"/>
      </w:pPr>
      <w:r>
        <w:rPr>
          <w:rFonts w:ascii="Arial" w:cs="Arial" w:eastAsia="Arial" w:hAnsi="Arial"/>
          <w:color w:val="2C3E50"/>
          <w:sz w:val="22"/>
          <w:szCs w:val="22"/>
        </w:rPr>
        <w:t xml:space="preserve">Background: Light gray (#F5F7FA)</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Featured Calculators Section</w:t>
      </w:r>
    </w:p>
    <w:p>
      <w:pPr>
        <w:pStyle w:val="ListParagraph"/>
        <w:numPr>
          <w:ilvl w:val="0"/>
          <w:numId w:val="2"/>
        </w:numPr>
        <w:spacing w:after="60" w:before="60"/>
      </w:pPr>
      <w:r>
        <w:rPr>
          <w:rFonts w:ascii="Arial" w:cs="Arial" w:eastAsia="Arial" w:hAnsi="Arial"/>
          <w:color w:val="2C3E50"/>
          <w:sz w:val="22"/>
          <w:szCs w:val="22"/>
        </w:rPr>
        <w:t xml:space="preserve">Headline: "Free Financial Calculators Built for Immigrants"</w:t>
      </w:r>
    </w:p>
    <w:p>
      <w:pPr>
        <w:pStyle w:val="ListParagraph"/>
        <w:numPr>
          <w:ilvl w:val="0"/>
          <w:numId w:val="2"/>
        </w:numPr>
        <w:spacing w:after="60" w:before="60"/>
      </w:pPr>
      <w:r>
        <w:rPr>
          <w:rFonts w:ascii="Arial" w:cs="Arial" w:eastAsia="Arial" w:hAnsi="Arial"/>
          <w:color w:val="2C3E50"/>
          <w:sz w:val="22"/>
          <w:szCs w:val="22"/>
        </w:rPr>
        <w:t xml:space="preserve">3-column card grid showing top 3 calculators: Remittance Fee Calculator | H1B Tax Estimator | Substantial Presence Test</w:t>
      </w:r>
    </w:p>
    <w:p>
      <w:pPr>
        <w:pStyle w:val="ListParagraph"/>
        <w:numPr>
          <w:ilvl w:val="0"/>
          <w:numId w:val="2"/>
        </w:numPr>
        <w:spacing w:after="60" w:before="60"/>
      </w:pPr>
      <w:r>
        <w:rPr>
          <w:rFonts w:ascii="Arial" w:cs="Arial" w:eastAsia="Arial" w:hAnsi="Arial"/>
          <w:color w:val="2C3E50"/>
          <w:sz w:val="22"/>
          <w:szCs w:val="22"/>
        </w:rPr>
        <w:t xml:space="preserve">Each card: tool icon, title, one-line description, "Use Calculator" button</w:t>
      </w:r>
    </w:p>
    <w:p>
      <w:pPr>
        <w:pStyle w:val="ListParagraph"/>
        <w:numPr>
          <w:ilvl w:val="0"/>
          <w:numId w:val="2"/>
        </w:numPr>
        <w:spacing w:after="60" w:before="60"/>
      </w:pPr>
      <w:r>
        <w:rPr>
          <w:rFonts w:ascii="Arial" w:cs="Arial" w:eastAsia="Arial" w:hAnsi="Arial"/>
          <w:color w:val="2C3E50"/>
          <w:sz w:val="22"/>
          <w:szCs w:val="22"/>
        </w:rPr>
        <w:t xml:space="preserve">Background: White</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Content Pillars Section</w:t>
      </w:r>
    </w:p>
    <w:p>
      <w:pPr>
        <w:pStyle w:val="ListParagraph"/>
        <w:numPr>
          <w:ilvl w:val="0"/>
          <w:numId w:val="2"/>
        </w:numPr>
        <w:spacing w:after="60" w:before="60"/>
      </w:pPr>
      <w:r>
        <w:rPr>
          <w:rFonts w:ascii="Arial" w:cs="Arial" w:eastAsia="Arial" w:hAnsi="Arial"/>
          <w:color w:val="2C3E50"/>
          <w:sz w:val="22"/>
          <w:szCs w:val="22"/>
        </w:rPr>
        <w:t xml:space="preserve">Headline: "Everything You Need to Know"</w:t>
      </w:r>
    </w:p>
    <w:p>
      <w:pPr>
        <w:pStyle w:val="ListParagraph"/>
        <w:numPr>
          <w:ilvl w:val="0"/>
          <w:numId w:val="2"/>
        </w:numPr>
        <w:spacing w:after="60" w:before="60"/>
      </w:pPr>
      <w:r>
        <w:rPr>
          <w:rFonts w:ascii="Arial" w:cs="Arial" w:eastAsia="Arial" w:hAnsi="Arial"/>
          <w:color w:val="2C3E50"/>
          <w:sz w:val="22"/>
          <w:szCs w:val="22"/>
        </w:rPr>
        <w:t xml:space="preserve">6 icon cards in a 2x3 or 3x2 grid: Banking | Taxes | Send Money | Investing | Insurance | Visa Guides</w:t>
      </w:r>
    </w:p>
    <w:p>
      <w:pPr>
        <w:pStyle w:val="ListParagraph"/>
        <w:numPr>
          <w:ilvl w:val="0"/>
          <w:numId w:val="2"/>
        </w:numPr>
        <w:spacing w:after="60" w:before="60"/>
      </w:pPr>
      <w:r>
        <w:rPr>
          <w:rFonts w:ascii="Arial" w:cs="Arial" w:eastAsia="Arial" w:hAnsi="Arial"/>
          <w:color w:val="2C3E50"/>
          <w:sz w:val="22"/>
          <w:szCs w:val="22"/>
        </w:rPr>
        <w:t xml:space="preserve">Each card links to that section's main landing page</w:t>
      </w:r>
    </w:p>
    <w:p>
      <w:pPr>
        <w:pStyle w:val="ListParagraph"/>
        <w:numPr>
          <w:ilvl w:val="0"/>
          <w:numId w:val="2"/>
        </w:numPr>
        <w:spacing w:after="60" w:before="60"/>
      </w:pPr>
      <w:r>
        <w:rPr>
          <w:rFonts w:ascii="Arial" w:cs="Arial" w:eastAsia="Arial" w:hAnsi="Arial"/>
          <w:color w:val="2C3E50"/>
          <w:sz w:val="22"/>
          <w:szCs w:val="22"/>
        </w:rPr>
        <w:t xml:space="preserve">Background: Light blue (#E8EFF9)</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Latest Articles Section</w:t>
      </w:r>
    </w:p>
    <w:p>
      <w:pPr>
        <w:pStyle w:val="ListParagraph"/>
        <w:numPr>
          <w:ilvl w:val="0"/>
          <w:numId w:val="2"/>
        </w:numPr>
        <w:spacing w:after="60" w:before="60"/>
      </w:pPr>
      <w:r>
        <w:rPr>
          <w:rFonts w:ascii="Arial" w:cs="Arial" w:eastAsia="Arial" w:hAnsi="Arial"/>
          <w:color w:val="2C3E50"/>
          <w:sz w:val="22"/>
          <w:szCs w:val="22"/>
        </w:rPr>
        <w:t xml:space="preserve">Headline: "Latest Guides"</w:t>
      </w:r>
    </w:p>
    <w:p>
      <w:pPr>
        <w:pStyle w:val="ListParagraph"/>
        <w:numPr>
          <w:ilvl w:val="0"/>
          <w:numId w:val="2"/>
        </w:numPr>
        <w:spacing w:after="60" w:before="60"/>
      </w:pPr>
      <w:r>
        <w:rPr>
          <w:rFonts w:ascii="Arial" w:cs="Arial" w:eastAsia="Arial" w:hAnsi="Arial"/>
          <w:color w:val="2C3E50"/>
          <w:sz w:val="22"/>
          <w:szCs w:val="22"/>
        </w:rPr>
        <w:t xml:space="preserve">3 most recent blog posts as horizontal cards with thumbnail, title, excerpt, date, and read more link</w:t>
      </w:r>
    </w:p>
    <w:p>
      <w:pPr>
        <w:pStyle w:val="ListParagraph"/>
        <w:numPr>
          <w:ilvl w:val="0"/>
          <w:numId w:val="2"/>
        </w:numPr>
        <w:spacing w:after="60" w:before="60"/>
      </w:pPr>
      <w:r>
        <w:rPr>
          <w:rFonts w:ascii="Arial" w:cs="Arial" w:eastAsia="Arial" w:hAnsi="Arial"/>
          <w:color w:val="2C3E50"/>
          <w:sz w:val="22"/>
          <w:szCs w:val="22"/>
        </w:rPr>
        <w:t xml:space="preserve">Background: White</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Trust / Social Proof Section</w:t>
      </w:r>
    </w:p>
    <w:p>
      <w:pPr>
        <w:pStyle w:val="ListParagraph"/>
        <w:numPr>
          <w:ilvl w:val="0"/>
          <w:numId w:val="2"/>
        </w:numPr>
        <w:spacing w:after="60" w:before="60"/>
      </w:pPr>
      <w:r>
        <w:rPr>
          <w:rFonts w:ascii="Arial" w:cs="Arial" w:eastAsia="Arial" w:hAnsi="Arial"/>
          <w:color w:val="2C3E50"/>
          <w:sz w:val="22"/>
          <w:szCs w:val="22"/>
        </w:rPr>
        <w:t xml:space="preserve">Simple strip with: number of guides published | number of calculators | communities served (Reddit, Facebook immigrant groups)</w:t>
      </w:r>
    </w:p>
    <w:p>
      <w:pPr>
        <w:pStyle w:val="ListParagraph"/>
        <w:numPr>
          <w:ilvl w:val="0"/>
          <w:numId w:val="2"/>
        </w:numPr>
        <w:spacing w:after="60" w:before="60"/>
      </w:pPr>
      <w:r>
        <w:rPr>
          <w:rFonts w:ascii="Arial" w:cs="Arial" w:eastAsia="Arial" w:hAnsi="Arial"/>
          <w:color w:val="2C3E50"/>
          <w:sz w:val="22"/>
          <w:szCs w:val="22"/>
        </w:rPr>
        <w:t xml:space="preserve">If no real stats yet, lead with a mission statement instead: "Built by immigrants, for immigrants"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Footer</w:t>
      </w:r>
    </w:p>
    <w:p>
      <w:pPr>
        <w:pStyle w:val="ListParagraph"/>
        <w:numPr>
          <w:ilvl w:val="0"/>
          <w:numId w:val="2"/>
        </w:numPr>
        <w:spacing w:after="60" w:before="60"/>
      </w:pPr>
      <w:r>
        <w:rPr>
          <w:rFonts w:ascii="Arial" w:cs="Arial" w:eastAsia="Arial" w:hAnsi="Arial"/>
          <w:color w:val="2C3E50"/>
          <w:sz w:val="22"/>
          <w:szCs w:val="22"/>
        </w:rPr>
        <w:t xml:space="preserve">4-column layout: About Finovly | Quick Links (top pages) | Calculators | Legal (Privacy Policy, Terms, Disclaimer, Affiliate Disclosure)</w:t>
      </w:r>
    </w:p>
    <w:p>
      <w:pPr>
        <w:pStyle w:val="ListParagraph"/>
        <w:numPr>
          <w:ilvl w:val="0"/>
          <w:numId w:val="2"/>
        </w:numPr>
        <w:spacing w:after="60" w:before="60"/>
      </w:pPr>
      <w:r>
        <w:rPr>
          <w:rFonts w:ascii="Arial" w:cs="Arial" w:eastAsia="Arial" w:hAnsi="Arial"/>
          <w:color w:val="2C3E50"/>
          <w:sz w:val="22"/>
          <w:szCs w:val="22"/>
        </w:rPr>
        <w:t xml:space="preserve">Bottom bar: copyright, and a brief disclaimer that Finovly is not a licensed financial advisor</w:t>
      </w:r>
    </w:p>
    <w:p>
      <w:pPr>
        <w:pStyle w:val="ListParagraph"/>
        <w:numPr>
          <w:ilvl w:val="0"/>
          <w:numId w:val="2"/>
        </w:numPr>
        <w:spacing w:after="60" w:before="60"/>
      </w:pPr>
      <w:r>
        <w:rPr>
          <w:rFonts w:ascii="Arial" w:cs="Arial" w:eastAsia="Arial" w:hAnsi="Arial"/>
          <w:color w:val="2C3E50"/>
          <w:sz w:val="22"/>
          <w:szCs w:val="22"/>
        </w:rPr>
        <w:t xml:space="preserve">Color: Dark navy background, white text</w:t>
      </w:r>
    </w:p>
    <w:p>
      <w:r>
        <w:br w:type="page"/>
      </w:r>
    </w:p>
    <w:p>
      <w:pPr>
        <w:pStyle w:val="Heading1"/>
        <w:spacing w:after="200" w:before="400"/>
      </w:pPr>
      <w:r>
        <w:rPr>
          <w:rFonts w:ascii="Arial" w:cs="Arial" w:eastAsia="Arial" w:hAnsi="Arial"/>
          <w:b/>
          <w:bCs/>
          <w:color w:val="1B3A6B"/>
          <w:sz w:val="36"/>
          <w:szCs w:val="36"/>
        </w:rPr>
        <w:t xml:space="preserve">3. Visual Design Specifications</w:t>
      </w:r>
    </w:p>
    <w:p>
      <w:pPr>
        <w:pBdr>
          <w:bottom w:val="single" w:color="D0D8E4" w:sz="4" w:space="1"/>
        </w:pBdr>
        <w:spacing w:after="200" w:before="200"/>
      </w:pPr>
      <w:r>
        <w:t xml:space="preserve"/>
      </w:r>
    </w:p>
    <w:p>
      <w:pPr>
        <w:pStyle w:val="Heading2"/>
        <w:spacing w:after="160" w:before="320"/>
      </w:pPr>
      <w:r>
        <w:rPr>
          <w:rFonts w:ascii="Arial" w:cs="Arial" w:eastAsia="Arial" w:hAnsi="Arial"/>
          <w:b/>
          <w:bCs/>
          <w:color w:val="2E86C1"/>
          <w:sz w:val="28"/>
          <w:szCs w:val="28"/>
        </w:rPr>
        <w:t xml:space="preserve">3.1 Color Palette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160"/>
        <w:gridCol w:w="4680"/>
      </w:tblGrid>
      <w:tr>
        <w:tc>
          <w:tcPr>
            <w:tcW w:type="dxa" w:w="25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Color Role</w:t>
            </w:r>
          </w:p>
        </w:tc>
        <w:tc>
          <w:tcPr>
            <w:tcW w:type="dxa" w:w="21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Hex Code</w:t>
            </w:r>
          </w:p>
        </w:tc>
        <w:tc>
          <w:tcPr>
            <w:tcW w:type="dxa" w:w="46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Usage</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Primary Navy</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#1B3A6B</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Header, footer, hero background, primary buttons, H1 headings</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Accent Blue</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#2E86C1</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H2 headings, links, secondary buttons, icon accents</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Light Blue</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#E8EFF9</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Section backgrounds, card fills, callout boxes</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Background Gray</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#F5F7FA</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Alternating section backgrounds, table rows</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Body Text</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#2C3E50</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All paragraph text, body copy</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White</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#FFFFFF</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Card backgrounds, hero text, button text on dark</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Border</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#D0D8E4</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Table borders, card outlines, dividers</w:t>
            </w:r>
          </w:p>
        </w:tc>
      </w:tr>
      <w:tr>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Success Green</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#27AE60</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Positive indicators, checkmarks, savings callouts</w:t>
            </w:r>
          </w:p>
        </w:tc>
      </w:tr>
      <w:tr>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Warning Orange</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#E67E22</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Alerts, important notes, tax deadline callouts</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3.2 Typography</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520"/>
        <w:gridCol w:w="2520"/>
        <w:gridCol w:w="2160"/>
      </w:tblGrid>
      <w:tr>
        <w:tc>
          <w:tcPr>
            <w:tcW w:type="dxa" w:w="21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25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Font</w:t>
            </w:r>
          </w:p>
        </w:tc>
        <w:tc>
          <w:tcPr>
            <w:tcW w:type="dxa" w:w="25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Size / Weight</w:t>
            </w:r>
          </w:p>
        </w:tc>
        <w:tc>
          <w:tcPr>
            <w:tcW w:type="dxa" w:w="21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Color</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Page Title (H1)</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 or Plus Jakarta Sans</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36–48px / Bold (700)</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#1B3A6B</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Section Heading (H2)</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Inter or Plus Jakarta Sans</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28–32px / SemiBold (600)</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#2E86C1</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Subsection (H3)</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 or Plus Jakarta Sans</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22–24px / SemiBold (600)</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#2C3E50</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Body Text</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Inter or Source Serif Pro</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16–17px / Regular (400)</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#2C3E50</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Table / Label Text</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14–15px / Medium (500)</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#2C3E50</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Navigation Links</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Inter</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15px / Medium (500)</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#1B3A6B</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Button Text</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15px / SemiBold (600)</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White or Navy</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Footer Text</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Inter</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13–14px / Regular (400)</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#CCDDEE</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Disclaimer / Legal</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12px / Regular (400)</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#888888</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3.3 Component Design Standards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Buttons</w:t>
      </w:r>
    </w:p>
    <w:p>
      <w:pPr>
        <w:pStyle w:val="ListParagraph"/>
        <w:numPr>
          <w:ilvl w:val="0"/>
          <w:numId w:val="2"/>
        </w:numPr>
        <w:spacing w:after="60" w:before="60"/>
      </w:pPr>
      <w:r>
        <w:rPr>
          <w:rFonts w:ascii="Arial" w:cs="Arial" w:eastAsia="Arial" w:hAnsi="Arial"/>
          <w:color w:val="2C3E50"/>
          <w:sz w:val="22"/>
          <w:szCs w:val="22"/>
        </w:rPr>
        <w:t xml:space="preserve">Primary button: Navy background (#1B3A6B), white text, 8px border radius, 14px 28px padding, no shadow</w:t>
      </w:r>
    </w:p>
    <w:p>
      <w:pPr>
        <w:pStyle w:val="ListParagraph"/>
        <w:numPr>
          <w:ilvl w:val="0"/>
          <w:numId w:val="2"/>
        </w:numPr>
        <w:spacing w:after="60" w:before="60"/>
      </w:pPr>
      <w:r>
        <w:rPr>
          <w:rFonts w:ascii="Arial" w:cs="Arial" w:eastAsia="Arial" w:hAnsi="Arial"/>
          <w:color w:val="2C3E50"/>
          <w:sz w:val="22"/>
          <w:szCs w:val="22"/>
        </w:rPr>
        <w:t xml:space="preserve">Secondary button: White background, navy border (2px), navy text, same radius and padding</w:t>
      </w:r>
    </w:p>
    <w:p>
      <w:pPr>
        <w:pStyle w:val="ListParagraph"/>
        <w:numPr>
          <w:ilvl w:val="0"/>
          <w:numId w:val="2"/>
        </w:numPr>
        <w:spacing w:after="60" w:before="60"/>
      </w:pPr>
      <w:r>
        <w:rPr>
          <w:rFonts w:ascii="Arial" w:cs="Arial" w:eastAsia="Arial" w:hAnsi="Arial"/>
          <w:color w:val="2C3E50"/>
          <w:sz w:val="22"/>
          <w:szCs w:val="22"/>
        </w:rPr>
        <w:t xml:space="preserve">Hover state: Primary darkens 10%, secondary fills with light navy</w:t>
      </w:r>
    </w:p>
    <w:p>
      <w:pPr>
        <w:pStyle w:val="ListParagraph"/>
        <w:numPr>
          <w:ilvl w:val="0"/>
          <w:numId w:val="2"/>
        </w:numPr>
        <w:spacing w:after="60" w:before="60"/>
      </w:pPr>
      <w:r>
        <w:rPr>
          <w:rFonts w:ascii="Arial" w:cs="Arial" w:eastAsia="Arial" w:hAnsi="Arial"/>
          <w:color w:val="2C3E50"/>
          <w:sz w:val="22"/>
          <w:szCs w:val="22"/>
        </w:rPr>
        <w:t xml:space="preserve">Never use more than 2 CTAs per section</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Cards</w:t>
      </w:r>
    </w:p>
    <w:p>
      <w:pPr>
        <w:pStyle w:val="ListParagraph"/>
        <w:numPr>
          <w:ilvl w:val="0"/>
          <w:numId w:val="2"/>
        </w:numPr>
        <w:spacing w:after="60" w:before="60"/>
      </w:pPr>
      <w:r>
        <w:rPr>
          <w:rFonts w:ascii="Arial" w:cs="Arial" w:eastAsia="Arial" w:hAnsi="Arial"/>
          <w:color w:val="2C3E50"/>
          <w:sz w:val="22"/>
          <w:szCs w:val="22"/>
        </w:rPr>
        <w:t xml:space="preserve">Background: White, 1px border (#D0D8E4), 12px border radius, 20px padding</w:t>
      </w:r>
    </w:p>
    <w:p>
      <w:pPr>
        <w:pStyle w:val="ListParagraph"/>
        <w:numPr>
          <w:ilvl w:val="0"/>
          <w:numId w:val="2"/>
        </w:numPr>
        <w:spacing w:after="60" w:before="60"/>
      </w:pPr>
      <w:r>
        <w:rPr>
          <w:rFonts w:ascii="Arial" w:cs="Arial" w:eastAsia="Arial" w:hAnsi="Arial"/>
          <w:color w:val="2C3E50"/>
          <w:sz w:val="22"/>
          <w:szCs w:val="22"/>
        </w:rPr>
        <w:t xml:space="preserve">Hover state: Subtle box shadow — 0 4px 16px rgba(27, 58, 107, 0.10)</w:t>
      </w:r>
    </w:p>
    <w:p>
      <w:pPr>
        <w:pStyle w:val="ListParagraph"/>
        <w:numPr>
          <w:ilvl w:val="0"/>
          <w:numId w:val="2"/>
        </w:numPr>
        <w:spacing w:after="60" w:before="60"/>
      </w:pPr>
      <w:r>
        <w:rPr>
          <w:rFonts w:ascii="Arial" w:cs="Arial" w:eastAsia="Arial" w:hAnsi="Arial"/>
          <w:color w:val="2C3E50"/>
          <w:sz w:val="22"/>
          <w:szCs w:val="22"/>
        </w:rPr>
        <w:t xml:space="preserve">Icon: 40x40px, accent blue, top of card</w:t>
      </w:r>
    </w:p>
    <w:p>
      <w:pPr>
        <w:pStyle w:val="ListParagraph"/>
        <w:numPr>
          <w:ilvl w:val="0"/>
          <w:numId w:val="2"/>
        </w:numPr>
        <w:spacing w:after="60" w:before="60"/>
      </w:pPr>
      <w:r>
        <w:rPr>
          <w:rFonts w:ascii="Arial" w:cs="Arial" w:eastAsia="Arial" w:hAnsi="Arial"/>
          <w:color w:val="2C3E50"/>
          <w:sz w:val="22"/>
          <w:szCs w:val="22"/>
        </w:rPr>
        <w:t xml:space="preserve">Title: H3 style, followed by 2–3 line description, then CTA link or button</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Navigation Bar</w:t>
      </w:r>
    </w:p>
    <w:p>
      <w:pPr>
        <w:pStyle w:val="ListParagraph"/>
        <w:numPr>
          <w:ilvl w:val="0"/>
          <w:numId w:val="2"/>
        </w:numPr>
        <w:spacing w:after="60" w:before="60"/>
      </w:pPr>
      <w:r>
        <w:rPr>
          <w:rFonts w:ascii="Arial" w:cs="Arial" w:eastAsia="Arial" w:hAnsi="Arial"/>
          <w:color w:val="2C3E50"/>
          <w:sz w:val="22"/>
          <w:szCs w:val="22"/>
        </w:rPr>
        <w:t xml:space="preserve">Sticky top navigation — stays fixed as user scrolls</w:t>
      </w:r>
    </w:p>
    <w:p>
      <w:pPr>
        <w:pStyle w:val="ListParagraph"/>
        <w:numPr>
          <w:ilvl w:val="0"/>
          <w:numId w:val="2"/>
        </w:numPr>
        <w:spacing w:after="60" w:before="60"/>
      </w:pPr>
      <w:r>
        <w:rPr>
          <w:rFonts w:ascii="Arial" w:cs="Arial" w:eastAsia="Arial" w:hAnsi="Arial"/>
          <w:color w:val="2C3E50"/>
          <w:sz w:val="22"/>
          <w:szCs w:val="22"/>
        </w:rPr>
        <w:t xml:space="preserve">Background: White with 1px navy bottom border</w:t>
      </w:r>
    </w:p>
    <w:p>
      <w:pPr>
        <w:pStyle w:val="ListParagraph"/>
        <w:numPr>
          <w:ilvl w:val="0"/>
          <w:numId w:val="2"/>
        </w:numPr>
        <w:spacing w:after="60" w:before="60"/>
      </w:pPr>
      <w:r>
        <w:rPr>
          <w:rFonts w:ascii="Arial" w:cs="Arial" w:eastAsia="Arial" w:hAnsi="Arial"/>
          <w:color w:val="2C3E50"/>
          <w:sz w:val="22"/>
          <w:szCs w:val="22"/>
        </w:rPr>
        <w:t xml:space="preserve">Left: Finovly logo (SVG)</w:t>
      </w:r>
    </w:p>
    <w:p>
      <w:pPr>
        <w:pStyle w:val="ListParagraph"/>
        <w:numPr>
          <w:ilvl w:val="0"/>
          <w:numId w:val="2"/>
        </w:numPr>
        <w:spacing w:after="60" w:before="60"/>
      </w:pPr>
      <w:r>
        <w:rPr>
          <w:rFonts w:ascii="Arial" w:cs="Arial" w:eastAsia="Arial" w:hAnsi="Arial"/>
          <w:color w:val="2C3E50"/>
          <w:sz w:val="22"/>
          <w:szCs w:val="22"/>
        </w:rPr>
        <w:t xml:space="preserve">Center: Nav links — Banking | Taxes | Send Money | Investing | Calculators | Visa Guides</w:t>
      </w:r>
    </w:p>
    <w:p>
      <w:pPr>
        <w:pStyle w:val="ListParagraph"/>
        <w:numPr>
          <w:ilvl w:val="0"/>
          <w:numId w:val="2"/>
        </w:numPr>
        <w:spacing w:after="60" w:before="60"/>
      </w:pPr>
      <w:r>
        <w:rPr>
          <w:rFonts w:ascii="Arial" w:cs="Arial" w:eastAsia="Arial" w:hAnsi="Arial"/>
          <w:color w:val="2C3E50"/>
          <w:sz w:val="22"/>
          <w:szCs w:val="22"/>
        </w:rPr>
        <w:t xml:space="preserve">Right: Single CTA button — "Free Calculators" in navy</w:t>
      </w:r>
    </w:p>
    <w:p>
      <w:pPr>
        <w:pStyle w:val="ListParagraph"/>
        <w:numPr>
          <w:ilvl w:val="0"/>
          <w:numId w:val="2"/>
        </w:numPr>
        <w:spacing w:after="60" w:before="60"/>
      </w:pPr>
      <w:r>
        <w:rPr>
          <w:rFonts w:ascii="Arial" w:cs="Arial" w:eastAsia="Arial" w:hAnsi="Arial"/>
          <w:color w:val="2C3E50"/>
          <w:sz w:val="22"/>
          <w:szCs w:val="22"/>
        </w:rPr>
        <w:t xml:space="preserve">Mobile: Hamburger menu, full-screen drawer, same links stacked vertically</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Calculator Pages</w:t>
      </w:r>
    </w:p>
    <w:p>
      <w:pPr>
        <w:pStyle w:val="ListParagraph"/>
        <w:numPr>
          <w:ilvl w:val="0"/>
          <w:numId w:val="2"/>
        </w:numPr>
        <w:spacing w:after="60" w:before="60"/>
      </w:pPr>
      <w:r>
        <w:rPr>
          <w:rFonts w:ascii="Arial" w:cs="Arial" w:eastAsia="Arial" w:hAnsi="Arial"/>
          <w:color w:val="2C3E50"/>
          <w:sz w:val="22"/>
          <w:szCs w:val="22"/>
        </w:rPr>
        <w:t xml:space="preserve">Clean white background, max-width 800px centered</w:t>
      </w:r>
    </w:p>
    <w:p>
      <w:pPr>
        <w:pStyle w:val="ListParagraph"/>
        <w:numPr>
          <w:ilvl w:val="0"/>
          <w:numId w:val="2"/>
        </w:numPr>
        <w:spacing w:after="60" w:before="60"/>
      </w:pPr>
      <w:r>
        <w:rPr>
          <w:rFonts w:ascii="Arial" w:cs="Arial" w:eastAsia="Arial" w:hAnsi="Arial"/>
          <w:color w:val="2C3E50"/>
          <w:sz w:val="22"/>
          <w:szCs w:val="22"/>
        </w:rPr>
        <w:t xml:space="preserve">Input fields: Light gray background (#F5F7FA), 8px border radius, 1px border, 14px font</w:t>
      </w:r>
    </w:p>
    <w:p>
      <w:pPr>
        <w:pStyle w:val="ListParagraph"/>
        <w:numPr>
          <w:ilvl w:val="0"/>
          <w:numId w:val="2"/>
        </w:numPr>
        <w:spacing w:after="60" w:before="60"/>
      </w:pPr>
      <w:r>
        <w:rPr>
          <w:rFonts w:ascii="Arial" w:cs="Arial" w:eastAsia="Arial" w:hAnsi="Arial"/>
          <w:color w:val="2C3E50"/>
          <w:sz w:val="22"/>
          <w:szCs w:val="22"/>
        </w:rPr>
        <w:t xml:space="preserve">Calculate button: Full-width on mobile, fixed width on desktop, navy fill</w:t>
      </w:r>
    </w:p>
    <w:p>
      <w:pPr>
        <w:pStyle w:val="ListParagraph"/>
        <w:numPr>
          <w:ilvl w:val="0"/>
          <w:numId w:val="2"/>
        </w:numPr>
        <w:spacing w:after="60" w:before="60"/>
      </w:pPr>
      <w:r>
        <w:rPr>
          <w:rFonts w:ascii="Arial" w:cs="Arial" w:eastAsia="Arial" w:hAnsi="Arial"/>
          <w:color w:val="2C3E50"/>
          <w:sz w:val="22"/>
          <w:szCs w:val="22"/>
        </w:rPr>
        <w:t xml:space="preserve">Results area: Light blue (#E8EFF9) box below inputs, bold result figure, supporting explanation text</w:t>
      </w:r>
    </w:p>
    <w:p>
      <w:pPr>
        <w:pStyle w:val="ListParagraph"/>
        <w:numPr>
          <w:ilvl w:val="0"/>
          <w:numId w:val="2"/>
        </w:numPr>
        <w:spacing w:after="60" w:before="60"/>
      </w:pPr>
      <w:r>
        <w:rPr>
          <w:rFonts w:ascii="Arial" w:cs="Arial" w:eastAsia="Arial" w:hAnsi="Arial"/>
          <w:color w:val="2C3E50"/>
          <w:sz w:val="22"/>
          <w:szCs w:val="22"/>
        </w:rPr>
        <w:t xml:space="preserve">Below calculator: Brief explanation of what the result means, then a comparison table or affiliate recommendation</w:t>
      </w:r>
    </w:p>
    <w:p>
      <w:r>
        <w:br w:type="page"/>
      </w:r>
    </w:p>
    <w:p>
      <w:pPr>
        <w:pStyle w:val="Heading1"/>
        <w:spacing w:after="200" w:before="400"/>
      </w:pPr>
      <w:r>
        <w:rPr>
          <w:rFonts w:ascii="Arial" w:cs="Arial" w:eastAsia="Arial" w:hAnsi="Arial"/>
          <w:b/>
          <w:bCs/>
          <w:color w:val="1B3A6B"/>
          <w:sz w:val="36"/>
          <w:szCs w:val="36"/>
        </w:rPr>
        <w:t xml:space="preserve">4. Content Implementation Plan</w:t>
      </w:r>
    </w:p>
    <w:p>
      <w:pPr>
        <w:pBdr>
          <w:bottom w:val="single" w:color="D0D8E4" w:sz="4" w:space="1"/>
        </w:pBdr>
        <w:spacing w:after="200" w:before="200"/>
      </w:pPr>
      <w:r>
        <w:t xml:space="preserve"/>
      </w:r>
    </w:p>
    <w:p>
      <w:pPr>
        <w:pStyle w:val="Heading2"/>
        <w:spacing w:after="160" w:before="320"/>
      </w:pPr>
      <w:r>
        <w:rPr>
          <w:rFonts w:ascii="Arial" w:cs="Arial" w:eastAsia="Arial" w:hAnsi="Arial"/>
          <w:b/>
          <w:bCs/>
          <w:color w:val="2E86C1"/>
          <w:sz w:val="28"/>
          <w:szCs w:val="28"/>
        </w:rPr>
        <w:t xml:space="preserve">4.1 Content Priority Order</w:t>
      </w:r>
    </w:p>
    <w:p>
      <w:pPr>
        <w:spacing w:after="120" w:before="80"/>
      </w:pPr>
      <w:r>
        <w:rPr>
          <w:rFonts w:ascii="Arial" w:cs="Arial" w:eastAsia="Arial" w:hAnsi="Arial"/>
          <w:color w:val="2C3E50"/>
          <w:sz w:val="22"/>
          <w:szCs w:val="22"/>
        </w:rPr>
        <w:t xml:space="preserve">The content team should build in this exact sequence. Pillar pages and calculators take priority because they attract the most organic traffic and backlinks.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Phase 1 — Foundation Content (Month 1–2)</w:t>
      </w:r>
    </w:p>
    <w:p>
      <w:pPr>
        <w:spacing w:after="120" w:before="80"/>
      </w:pPr>
      <w:r>
        <w:rPr>
          <w:rFonts w:ascii="Arial" w:cs="Arial" w:eastAsia="Arial" w:hAnsi="Arial"/>
          <w:color w:val="2C3E50"/>
          <w:sz w:val="22"/>
          <w:szCs w:val="22"/>
        </w:rPr>
        <w:t xml:space="preserve">Build these first. Nothing else should be published until these are live.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2880"/>
        <w:gridCol w:w="1440"/>
      </w:tblGrid>
      <w:tr>
        <w:tc>
          <w:tcPr>
            <w:tcW w:type="dxa" w:w="360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Content Piece</w:t>
            </w:r>
          </w:p>
        </w:tc>
        <w:tc>
          <w:tcPr>
            <w:tcW w:type="dxa" w:w="144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Target Keyword</w:t>
            </w:r>
          </w:p>
        </w:tc>
        <w:tc>
          <w:tcPr>
            <w:tcW w:type="dxa" w:w="144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Word Count</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Complete Financial Guide for H1B Visa Holders</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Pillar Page</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visa financial guide</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3,500–4,500</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Complete Financial Guide for F1 International Students</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Pillar Page</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F1 student financial guide USA</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3,000–4,000</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How to Build Credit in USA as an Immigrant</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Pillar Page</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build credit USA immigrant</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2,500–3,500</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Remittance Fee Calculator</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Calculator Tool</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remittance fee calculator</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Tool + 800w guide</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Tax Estimator Calculator</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Calculator Tool</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tax calculator</w:t>
            </w:r>
          </w:p>
        </w:tc>
        <w:tc>
          <w:tcPr>
            <w:tcW w:type="dxa" w:w="14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Tool + 800w guide</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Substantial Presence Test Calculator</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Calculator Tool</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substantial presence test calculator</w:t>
            </w:r>
          </w:p>
        </w:tc>
        <w:tc>
          <w:tcPr>
            <w:tcW w:type="dxa" w:w="14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Tool + 600w guide</w:t>
            </w:r>
          </w:p>
        </w:tc>
      </w:tr>
    </w:tbl>
    <w:p>
      <w:pPr>
        <w:spacing w:after="120" w:before="0"/>
      </w:pPr>
      <w:r>
        <w:t xml:space="preserve"/>
      </w:r>
    </w:p>
    <w:p>
      <w:pPr>
        <w:pStyle w:val="Heading3"/>
        <w:spacing w:after="120" w:before="240"/>
      </w:pPr>
      <w:r>
        <w:rPr>
          <w:rFonts w:ascii="Arial" w:cs="Arial" w:eastAsia="Arial" w:hAnsi="Arial"/>
          <w:b/>
          <w:bCs/>
          <w:color w:val="2C3E50"/>
          <w:sz w:val="24"/>
          <w:szCs w:val="24"/>
        </w:rPr>
        <w:t xml:space="preserve">Phase 2 — Cluster Content (Month 2–3)</w:t>
      </w:r>
    </w:p>
    <w:p>
      <w:pPr>
        <w:spacing w:after="120" w:before="80"/>
      </w:pPr>
      <w:r>
        <w:rPr>
          <w:rFonts w:ascii="Arial" w:cs="Arial" w:eastAsia="Arial" w:hAnsi="Arial"/>
          <w:color w:val="2C3E50"/>
          <w:sz w:val="22"/>
          <w:szCs w:val="22"/>
        </w:rPr>
        <w:t xml:space="preserve">These supporting posts link back to pillar pages and target long-tail keywords.</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3120"/>
        <w:gridCol w:w="2640"/>
      </w:tblGrid>
      <w:tr>
        <w:tc>
          <w:tcPr>
            <w:tcW w:type="dxa" w:w="360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Article Title</w:t>
            </w:r>
          </w:p>
        </w:tc>
        <w:tc>
          <w:tcPr>
            <w:tcW w:type="dxa" w:w="31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Target Keyword</w:t>
            </w:r>
          </w:p>
        </w:tc>
        <w:tc>
          <w:tcPr>
            <w:tcW w:type="dxa" w:w="264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Links To</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ITIN vs SSN — What is the Difference?</w:t>
            </w:r>
          </w:p>
        </w:tc>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ITIN vs SSN difference</w:t>
            </w:r>
          </w:p>
        </w:tc>
        <w:tc>
          <w:tcPr>
            <w:tcW w:type="dxa" w:w="26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Pillar Page</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Can H1B Holders Invest in US Stocks?</w:t>
            </w:r>
          </w:p>
        </w:tc>
        <w:tc>
          <w:tcPr>
            <w:tcW w:type="dxa" w:w="31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can H1B holder invest in stocks</w:t>
            </w:r>
          </w:p>
        </w:tc>
        <w:tc>
          <w:tcPr>
            <w:tcW w:type="dxa" w:w="26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Investing Section</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Best Bank Accounts for Immigrants with No Credit History</w:t>
            </w:r>
          </w:p>
        </w:tc>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best bank for immigrants USA</w:t>
            </w:r>
          </w:p>
        </w:tc>
        <w:tc>
          <w:tcPr>
            <w:tcW w:type="dxa" w:w="26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Banking Section</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Wise vs Remitly vs Western Union — Full Comparison 2025</w:t>
            </w:r>
          </w:p>
        </w:tc>
        <w:tc>
          <w:tcPr>
            <w:tcW w:type="dxa" w:w="31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Wise vs Remitly comparison</w:t>
            </w:r>
          </w:p>
        </w:tc>
        <w:tc>
          <w:tcPr>
            <w:tcW w:type="dxa" w:w="26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Send Money Section</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What Happens to Your 401k If You Leave the USA?</w:t>
            </w:r>
          </w:p>
        </w:tc>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what happens to 401k if deported</w:t>
            </w:r>
          </w:p>
        </w:tc>
        <w:tc>
          <w:tcPr>
            <w:tcW w:type="dxa" w:w="26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Investing Section</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Can F1 Students Open a Roth IRA?</w:t>
            </w:r>
          </w:p>
        </w:tc>
        <w:tc>
          <w:tcPr>
            <w:tcW w:type="dxa" w:w="31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can F1 student open Roth IRA</w:t>
            </w:r>
          </w:p>
        </w:tc>
        <w:tc>
          <w:tcPr>
            <w:tcW w:type="dxa" w:w="26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F1 Pillar Page</w:t>
            </w:r>
          </w:p>
        </w:tc>
      </w:tr>
      <w:tr>
        <w:tc>
          <w:tcPr>
            <w:tcW w:type="dxa" w:w="36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How to File Taxes as a Non-Resident Alien</w:t>
            </w:r>
          </w:p>
        </w:tc>
        <w:tc>
          <w:tcPr>
            <w:tcW w:type="dxa" w:w="31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non resident alien tax filing USA</w:t>
            </w:r>
          </w:p>
        </w:tc>
        <w:tc>
          <w:tcPr>
            <w:tcW w:type="dxa" w:w="264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Tax Section</w:t>
            </w:r>
          </w:p>
        </w:tc>
      </w:tr>
      <w:tr>
        <w:tc>
          <w:tcPr>
            <w:tcW w:type="dxa" w:w="36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Financial Checklist for New Immigrants — First 90 Days</w:t>
            </w:r>
          </w:p>
        </w:tc>
        <w:tc>
          <w:tcPr>
            <w:tcW w:type="dxa" w:w="31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financial checklist new immigrants USA</w:t>
            </w:r>
          </w:p>
        </w:tc>
        <w:tc>
          <w:tcPr>
            <w:tcW w:type="dxa" w:w="264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Homepage / All Pillars</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4.2 Content Standards for Every Page</w:t>
      </w:r>
    </w:p>
    <w:p>
      <w:pPr>
        <w:spacing w:after="120" w:before="80"/>
      </w:pPr>
      <w:r>
        <w:rPr>
          <w:rFonts w:ascii="Arial" w:cs="Arial" w:eastAsia="Arial" w:hAnsi="Arial"/>
          <w:color w:val="2C3E50"/>
          <w:sz w:val="22"/>
          <w:szCs w:val="22"/>
        </w:rPr>
        <w:t xml:space="preserve">Every piece of content published on Finovly must meet these standards: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Structure Requirements</w:t>
      </w:r>
    </w:p>
    <w:p>
      <w:pPr>
        <w:pStyle w:val="ListParagraph"/>
        <w:numPr>
          <w:ilvl w:val="0"/>
          <w:numId w:val="2"/>
        </w:numPr>
        <w:spacing w:after="60" w:before="60"/>
      </w:pPr>
      <w:r>
        <w:rPr>
          <w:rFonts w:ascii="Arial" w:cs="Arial" w:eastAsia="Arial" w:hAnsi="Arial"/>
          <w:color w:val="2C3E50"/>
          <w:sz w:val="22"/>
          <w:szCs w:val="22"/>
        </w:rPr>
        <w:t xml:space="preserve">Every article must have: a clear intro that states who the article is for, what they will learn, and why it matters</w:t>
      </w:r>
    </w:p>
    <w:p>
      <w:pPr>
        <w:pStyle w:val="ListParagraph"/>
        <w:numPr>
          <w:ilvl w:val="0"/>
          <w:numId w:val="2"/>
        </w:numPr>
        <w:spacing w:after="60" w:before="60"/>
      </w:pPr>
      <w:r>
        <w:rPr>
          <w:rFonts w:ascii="Arial" w:cs="Arial" w:eastAsia="Arial" w:hAnsi="Arial"/>
          <w:color w:val="2C3E50"/>
          <w:sz w:val="22"/>
          <w:szCs w:val="22"/>
        </w:rPr>
        <w:t xml:space="preserve">Use H2 and H3 headings throughout — never more than 300 words between headings</w:t>
      </w:r>
    </w:p>
    <w:p>
      <w:pPr>
        <w:pStyle w:val="ListParagraph"/>
        <w:numPr>
          <w:ilvl w:val="0"/>
          <w:numId w:val="2"/>
        </w:numPr>
        <w:spacing w:after="60" w:before="60"/>
      </w:pPr>
      <w:r>
        <w:rPr>
          <w:rFonts w:ascii="Arial" w:cs="Arial" w:eastAsia="Arial" w:hAnsi="Arial"/>
          <w:color w:val="2C3E50"/>
          <w:sz w:val="22"/>
          <w:szCs w:val="22"/>
        </w:rPr>
        <w:t xml:space="preserve">Include a TL;DR summary box at the top of long guides (3+ minute reads)</w:t>
      </w:r>
    </w:p>
    <w:p>
      <w:pPr>
        <w:pStyle w:val="ListParagraph"/>
        <w:numPr>
          <w:ilvl w:val="0"/>
          <w:numId w:val="2"/>
        </w:numPr>
        <w:spacing w:after="60" w:before="60"/>
      </w:pPr>
      <w:r>
        <w:rPr>
          <w:rFonts w:ascii="Arial" w:cs="Arial" w:eastAsia="Arial" w:hAnsi="Arial"/>
          <w:color w:val="2C3E50"/>
          <w:sz w:val="22"/>
          <w:szCs w:val="22"/>
        </w:rPr>
        <w:t xml:space="preserve">End every article with a clear next step — link to a calculator, related guide, or affiliate product</w:t>
      </w:r>
    </w:p>
    <w:p>
      <w:pPr>
        <w:pStyle w:val="ListParagraph"/>
        <w:numPr>
          <w:ilvl w:val="0"/>
          <w:numId w:val="2"/>
        </w:numPr>
        <w:spacing w:after="60" w:before="60"/>
      </w:pPr>
      <w:r>
        <w:rPr>
          <w:rFonts w:ascii="Arial" w:cs="Arial" w:eastAsia="Arial" w:hAnsi="Arial"/>
          <w:color w:val="2C3E50"/>
          <w:sz w:val="22"/>
          <w:szCs w:val="22"/>
        </w:rPr>
        <w:t xml:space="preserve">Include a FAQ section at the bottom with 4–6 common questions (helps with featured snippets)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SEO Requirements</w:t>
      </w:r>
    </w:p>
    <w:p>
      <w:pPr>
        <w:pStyle w:val="ListParagraph"/>
        <w:numPr>
          <w:ilvl w:val="0"/>
          <w:numId w:val="2"/>
        </w:numPr>
        <w:spacing w:after="60" w:before="60"/>
      </w:pPr>
      <w:r>
        <w:rPr>
          <w:rFonts w:ascii="Arial" w:cs="Arial" w:eastAsia="Arial" w:hAnsi="Arial"/>
          <w:color w:val="2C3E50"/>
          <w:sz w:val="22"/>
          <w:szCs w:val="22"/>
        </w:rPr>
        <w:t xml:space="preserve">Primary keyword must appear in: page title, H1, first 100 words, meta description, and at least one H2</w:t>
      </w:r>
    </w:p>
    <w:p>
      <w:pPr>
        <w:pStyle w:val="ListParagraph"/>
        <w:numPr>
          <w:ilvl w:val="0"/>
          <w:numId w:val="2"/>
        </w:numPr>
        <w:spacing w:after="60" w:before="60"/>
      </w:pPr>
      <w:r>
        <w:rPr>
          <w:rFonts w:ascii="Arial" w:cs="Arial" w:eastAsia="Arial" w:hAnsi="Arial"/>
          <w:color w:val="2C3E50"/>
          <w:sz w:val="22"/>
          <w:szCs w:val="22"/>
        </w:rPr>
        <w:t xml:space="preserve">Meta description: 140–160 characters, include primary keyword, include a benefit or number</w:t>
      </w:r>
    </w:p>
    <w:p>
      <w:pPr>
        <w:pStyle w:val="ListParagraph"/>
        <w:numPr>
          <w:ilvl w:val="0"/>
          <w:numId w:val="2"/>
        </w:numPr>
        <w:spacing w:after="60" w:before="60"/>
      </w:pPr>
      <w:r>
        <w:rPr>
          <w:rFonts w:ascii="Arial" w:cs="Arial" w:eastAsia="Arial" w:hAnsi="Arial"/>
          <w:color w:val="2C3E50"/>
          <w:sz w:val="22"/>
          <w:szCs w:val="22"/>
        </w:rPr>
        <w:t xml:space="preserve">Internal links: minimum 3 per article, linking to relevant pillar pages or calculators</w:t>
      </w:r>
    </w:p>
    <w:p>
      <w:pPr>
        <w:pStyle w:val="ListParagraph"/>
        <w:numPr>
          <w:ilvl w:val="0"/>
          <w:numId w:val="2"/>
        </w:numPr>
        <w:spacing w:after="60" w:before="60"/>
      </w:pPr>
      <w:r>
        <w:rPr>
          <w:rFonts w:ascii="Arial" w:cs="Arial" w:eastAsia="Arial" w:hAnsi="Arial"/>
          <w:color w:val="2C3E50"/>
          <w:sz w:val="22"/>
          <w:szCs w:val="22"/>
        </w:rPr>
        <w:t xml:space="preserve">Image alt text: descriptive and keyword-relevant for every image</w:t>
      </w:r>
    </w:p>
    <w:p>
      <w:pPr>
        <w:pStyle w:val="ListParagraph"/>
        <w:numPr>
          <w:ilvl w:val="0"/>
          <w:numId w:val="2"/>
        </w:numPr>
        <w:spacing w:after="60" w:before="60"/>
      </w:pPr>
      <w:r>
        <w:rPr>
          <w:rFonts w:ascii="Arial" w:cs="Arial" w:eastAsia="Arial" w:hAnsi="Arial"/>
          <w:color w:val="2C3E50"/>
          <w:sz w:val="22"/>
          <w:szCs w:val="22"/>
        </w:rPr>
        <w:t xml:space="preserve">Minimum word count: 1,500 for supporting posts, 3,000 for pillar pages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Tone &amp; Voice</w:t>
      </w:r>
    </w:p>
    <w:p>
      <w:pPr>
        <w:pStyle w:val="ListParagraph"/>
        <w:numPr>
          <w:ilvl w:val="0"/>
          <w:numId w:val="2"/>
        </w:numPr>
        <w:spacing w:after="60" w:before="60"/>
      </w:pPr>
      <w:r>
        <w:rPr>
          <w:rFonts w:ascii="Arial" w:cs="Arial" w:eastAsia="Arial" w:hAnsi="Arial"/>
          <w:color w:val="2C3E50"/>
          <w:sz w:val="22"/>
          <w:szCs w:val="22"/>
        </w:rPr>
        <w:t xml:space="preserve">Write as if explaining to a smart friend who just arrived in the US — no condescension, no jargon without explanation</w:t>
      </w:r>
    </w:p>
    <w:p>
      <w:pPr>
        <w:pStyle w:val="ListParagraph"/>
        <w:numPr>
          <w:ilvl w:val="0"/>
          <w:numId w:val="2"/>
        </w:numPr>
        <w:spacing w:after="60" w:before="60"/>
      </w:pPr>
      <w:r>
        <w:rPr>
          <w:rFonts w:ascii="Arial" w:cs="Arial" w:eastAsia="Arial" w:hAnsi="Arial"/>
          <w:color w:val="2C3E50"/>
          <w:sz w:val="22"/>
          <w:szCs w:val="22"/>
        </w:rPr>
        <w:t xml:space="preserve">Use second person throughout: "you", "your", "when you arrive"</w:t>
      </w:r>
    </w:p>
    <w:p>
      <w:pPr>
        <w:pStyle w:val="ListParagraph"/>
        <w:numPr>
          <w:ilvl w:val="0"/>
          <w:numId w:val="2"/>
        </w:numPr>
        <w:spacing w:after="60" w:before="60"/>
      </w:pPr>
      <w:r>
        <w:rPr>
          <w:rFonts w:ascii="Arial" w:cs="Arial" w:eastAsia="Arial" w:hAnsi="Arial"/>
          <w:color w:val="2C3E50"/>
          <w:sz w:val="22"/>
          <w:szCs w:val="22"/>
        </w:rPr>
        <w:t xml:space="preserve">Acknowledge complexity: "The US tax system is confusing even for Americans — here is how it applies to you"</w:t>
      </w:r>
    </w:p>
    <w:p>
      <w:pPr>
        <w:pStyle w:val="ListParagraph"/>
        <w:numPr>
          <w:ilvl w:val="0"/>
          <w:numId w:val="2"/>
        </w:numPr>
        <w:spacing w:after="60" w:before="60"/>
      </w:pPr>
      <w:r>
        <w:rPr>
          <w:rFonts w:ascii="Arial" w:cs="Arial" w:eastAsia="Arial" w:hAnsi="Arial"/>
          <w:color w:val="2C3E50"/>
          <w:sz w:val="22"/>
          <w:szCs w:val="22"/>
        </w:rPr>
        <w:t xml:space="preserve">Be specific: avoid generic advice like "consult a professional" without giving them a starting point</w:t>
      </w:r>
    </w:p>
    <w:p>
      <w:pPr>
        <w:pStyle w:val="ListParagraph"/>
        <w:numPr>
          <w:ilvl w:val="0"/>
          <w:numId w:val="2"/>
        </w:numPr>
        <w:spacing w:after="60" w:before="60"/>
      </w:pPr>
      <w:r>
        <w:rPr>
          <w:rFonts w:ascii="Arial" w:cs="Arial" w:eastAsia="Arial" w:hAnsi="Arial"/>
          <w:color w:val="2C3E50"/>
          <w:sz w:val="22"/>
          <w:szCs w:val="22"/>
        </w:rPr>
        <w:t xml:space="preserve">Include real numbers, examples, and scenarios whenever possible</w:t>
      </w:r>
    </w:p>
    <w:p>
      <w:r>
        <w:br w:type="page"/>
      </w:r>
    </w:p>
    <w:p>
      <w:pPr>
        <w:pStyle w:val="Heading1"/>
        <w:spacing w:after="200" w:before="400"/>
      </w:pPr>
      <w:r>
        <w:rPr>
          <w:rFonts w:ascii="Arial" w:cs="Arial" w:eastAsia="Arial" w:hAnsi="Arial"/>
          <w:b/>
          <w:bCs/>
          <w:color w:val="1B3A6B"/>
          <w:sz w:val="36"/>
          <w:szCs w:val="36"/>
        </w:rPr>
        <w:t xml:space="preserve">5. Calculator Build Specifications</w:t>
      </w:r>
    </w:p>
    <w:p>
      <w:pPr>
        <w:pBdr>
          <w:bottom w:val="single" w:color="D0D8E4" w:sz="4" w:space="1"/>
        </w:pBdr>
        <w:spacing w:after="200" w:before="200"/>
      </w:pPr>
      <w:r>
        <w:t xml:space="preserve"/>
      </w:r>
    </w:p>
    <w:p>
      <w:pPr>
        <w:spacing w:after="120" w:before="80"/>
      </w:pPr>
      <w:r>
        <w:rPr>
          <w:rFonts w:ascii="Arial" w:cs="Arial" w:eastAsia="Arial" w:hAnsi="Arial"/>
          <w:color w:val="2C3E50"/>
          <w:sz w:val="22"/>
          <w:szCs w:val="22"/>
        </w:rPr>
        <w:t xml:space="preserve">Calculators are Finovly's biggest competitive advantage. They rank faster than articles, earn backlinks naturally, and drive return visits. The developer should prioritize these above all other technical work.</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5.1 Remittance Fee Calculator</w:t>
      </w:r>
    </w:p>
    <w:p>
      <w:pPr>
        <w:pStyle w:val="Heading3"/>
        <w:spacing w:after="120" w:before="240"/>
      </w:pPr>
      <w:r>
        <w:rPr>
          <w:rFonts w:ascii="Arial" w:cs="Arial" w:eastAsia="Arial" w:hAnsi="Arial"/>
          <w:b/>
          <w:bCs/>
          <w:color w:val="2C3E50"/>
          <w:sz w:val="24"/>
          <w:szCs w:val="24"/>
        </w:rPr>
        <w:t xml:space="preserve">What it does</w:t>
      </w:r>
    </w:p>
    <w:p>
      <w:pPr>
        <w:spacing w:after="120" w:before="80"/>
      </w:pPr>
      <w:r>
        <w:rPr>
          <w:rFonts w:ascii="Arial" w:cs="Arial" w:eastAsia="Arial" w:hAnsi="Arial"/>
          <w:color w:val="2C3E50"/>
          <w:sz w:val="22"/>
          <w:szCs w:val="22"/>
        </w:rPr>
        <w:t xml:space="preserve">Compares the total cost of sending a fixed amount of money from the USA to a selected country across multiple transfer services (Wise, Remitly, Western Union, PayPal). Shows exchange rate, fees, and total received in destination currency.</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Input fields</w:t>
      </w:r>
    </w:p>
    <w:p>
      <w:pPr>
        <w:pStyle w:val="ListParagraph"/>
        <w:numPr>
          <w:ilvl w:val="0"/>
          <w:numId w:val="2"/>
        </w:numPr>
        <w:spacing w:after="60" w:before="60"/>
      </w:pPr>
      <w:r>
        <w:rPr>
          <w:rFonts w:ascii="Arial" w:cs="Arial" w:eastAsia="Arial" w:hAnsi="Arial"/>
          <w:color w:val="2C3E50"/>
          <w:sz w:val="22"/>
          <w:szCs w:val="22"/>
        </w:rPr>
        <w:t xml:space="preserve">Amount to send (USD) — number input, default $500</w:t>
      </w:r>
    </w:p>
    <w:p>
      <w:pPr>
        <w:pStyle w:val="ListParagraph"/>
        <w:numPr>
          <w:ilvl w:val="0"/>
          <w:numId w:val="2"/>
        </w:numPr>
        <w:spacing w:after="60" w:before="60"/>
      </w:pPr>
      <w:r>
        <w:rPr>
          <w:rFonts w:ascii="Arial" w:cs="Arial" w:eastAsia="Arial" w:hAnsi="Arial"/>
          <w:color w:val="2C3E50"/>
          <w:sz w:val="22"/>
          <w:szCs w:val="22"/>
        </w:rPr>
        <w:t xml:space="preserve">Destination country — dropdown (start with top 10: India, Mexico, Philippines, Nigeria, China, Pakistan, Bangladesh, Guatemala, Dominican Republic, El Salvador)</w:t>
      </w:r>
    </w:p>
    <w:p>
      <w:pPr>
        <w:pStyle w:val="ListParagraph"/>
        <w:numPr>
          <w:ilvl w:val="0"/>
          <w:numId w:val="2"/>
        </w:numPr>
        <w:spacing w:after="60" w:before="60"/>
      </w:pPr>
      <w:r>
        <w:rPr>
          <w:rFonts w:ascii="Arial" w:cs="Arial" w:eastAsia="Arial" w:hAnsi="Arial"/>
          <w:color w:val="2C3E50"/>
          <w:sz w:val="22"/>
          <w:szCs w:val="22"/>
        </w:rPr>
        <w:t xml:space="preserve">Transfer speed preference — radio buttons: Instant / 1–3 days / 3–5 days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Output display</w:t>
      </w:r>
    </w:p>
    <w:p>
      <w:pPr>
        <w:pStyle w:val="ListParagraph"/>
        <w:numPr>
          <w:ilvl w:val="0"/>
          <w:numId w:val="2"/>
        </w:numPr>
        <w:spacing w:after="60" w:before="60"/>
      </w:pPr>
      <w:r>
        <w:rPr>
          <w:rFonts w:ascii="Arial" w:cs="Arial" w:eastAsia="Arial" w:hAnsi="Arial"/>
          <w:color w:val="2C3E50"/>
          <w:sz w:val="22"/>
          <w:szCs w:val="22"/>
        </w:rPr>
        <w:t xml:space="preserve">Results table: Service name | Fee | Exchange rate | Amount received | Transfer speed | Link to service</w:t>
      </w:r>
    </w:p>
    <w:p>
      <w:pPr>
        <w:pStyle w:val="ListParagraph"/>
        <w:numPr>
          <w:ilvl w:val="0"/>
          <w:numId w:val="2"/>
        </w:numPr>
        <w:spacing w:after="60" w:before="60"/>
      </w:pPr>
      <w:r>
        <w:rPr>
          <w:rFonts w:ascii="Arial" w:cs="Arial" w:eastAsia="Arial" w:hAnsi="Arial"/>
          <w:color w:val="2C3E50"/>
          <w:sz w:val="22"/>
          <w:szCs w:val="22"/>
        </w:rPr>
        <w:t xml:space="preserve">Highlight the cheapest option in green</w:t>
      </w:r>
    </w:p>
    <w:p>
      <w:pPr>
        <w:pStyle w:val="ListParagraph"/>
        <w:numPr>
          <w:ilvl w:val="0"/>
          <w:numId w:val="2"/>
        </w:numPr>
        <w:spacing w:after="60" w:before="60"/>
      </w:pPr>
      <w:r>
        <w:rPr>
          <w:rFonts w:ascii="Arial" w:cs="Arial" w:eastAsia="Arial" w:hAnsi="Arial"/>
          <w:color w:val="2C3E50"/>
          <w:sz w:val="22"/>
          <w:szCs w:val="22"/>
        </w:rPr>
        <w:t xml:space="preserve">Show total savings vs most expensive option</w:t>
      </w:r>
    </w:p>
    <w:p>
      <w:pPr>
        <w:pStyle w:val="ListParagraph"/>
        <w:numPr>
          <w:ilvl w:val="0"/>
          <w:numId w:val="2"/>
        </w:numPr>
        <w:spacing w:after="60" w:before="60"/>
      </w:pPr>
      <w:r>
        <w:rPr>
          <w:rFonts w:ascii="Arial" w:cs="Arial" w:eastAsia="Arial" w:hAnsi="Arial"/>
          <w:color w:val="2C3E50"/>
          <w:sz w:val="22"/>
          <w:szCs w:val="22"/>
        </w:rPr>
        <w:t xml:space="preserve">Add affiliate links to each service (Wise, Remitly, Western Union)</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Data approach</w:t>
      </w:r>
    </w:p>
    <w:p>
      <w:pPr>
        <w:pStyle w:val="ListParagraph"/>
        <w:numPr>
          <w:ilvl w:val="0"/>
          <w:numId w:val="2"/>
        </w:numPr>
        <w:spacing w:after="60" w:before="60"/>
      </w:pPr>
      <w:r>
        <w:rPr>
          <w:rFonts w:ascii="Arial" w:cs="Arial" w:eastAsia="Arial" w:hAnsi="Arial"/>
          <w:color w:val="2C3E50"/>
          <w:sz w:val="22"/>
          <w:szCs w:val="22"/>
        </w:rPr>
        <w:t xml:space="preserve">Hardcode approximate rates and fees per provider per country — update monthly</w:t>
      </w:r>
    </w:p>
    <w:p>
      <w:pPr>
        <w:pStyle w:val="ListParagraph"/>
        <w:numPr>
          <w:ilvl w:val="0"/>
          <w:numId w:val="2"/>
        </w:numPr>
        <w:spacing w:after="60" w:before="60"/>
      </w:pPr>
      <w:r>
        <w:rPr>
          <w:rFonts w:ascii="Arial" w:cs="Arial" w:eastAsia="Arial" w:hAnsi="Arial"/>
          <w:color w:val="2C3E50"/>
          <w:sz w:val="22"/>
          <w:szCs w:val="22"/>
        </w:rPr>
        <w:t xml:space="preserve">Add a "Rates last updated: [date]" disclaimer below the calculator</w:t>
      </w:r>
    </w:p>
    <w:p>
      <w:pPr>
        <w:pStyle w:val="ListParagraph"/>
        <w:numPr>
          <w:ilvl w:val="0"/>
          <w:numId w:val="2"/>
        </w:numPr>
        <w:spacing w:after="60" w:before="60"/>
      </w:pPr>
      <w:r>
        <w:rPr>
          <w:rFonts w:ascii="Arial" w:cs="Arial" w:eastAsia="Arial" w:hAnsi="Arial"/>
          <w:color w:val="2C3E50"/>
          <w:sz w:val="22"/>
          <w:szCs w:val="22"/>
        </w:rPr>
        <w:t xml:space="preserve">Note: Do not use live API calls initially — static data tables are fine to launch</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5.2 H1B Tax Estimator</w:t>
      </w:r>
    </w:p>
    <w:p>
      <w:pPr>
        <w:pStyle w:val="Heading3"/>
        <w:spacing w:after="120" w:before="240"/>
      </w:pPr>
      <w:r>
        <w:rPr>
          <w:rFonts w:ascii="Arial" w:cs="Arial" w:eastAsia="Arial" w:hAnsi="Arial"/>
          <w:b/>
          <w:bCs/>
          <w:color w:val="2C3E50"/>
          <w:sz w:val="24"/>
          <w:szCs w:val="24"/>
        </w:rPr>
        <w:t xml:space="preserve">What it does</w:t>
      </w:r>
    </w:p>
    <w:p>
      <w:pPr>
        <w:spacing w:after="120" w:before="80"/>
      </w:pPr>
      <w:r>
        <w:rPr>
          <w:rFonts w:ascii="Arial" w:cs="Arial" w:eastAsia="Arial" w:hAnsi="Arial"/>
          <w:color w:val="2C3E50"/>
          <w:sz w:val="22"/>
          <w:szCs w:val="22"/>
        </w:rPr>
        <w:t xml:space="preserve">Estimates federal and state income tax owed for an H1B visa holder based on their salary, filing status, state, and whether they have dependents. Helps users understand their effective tax rate and net take-home pay.</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Input fields</w:t>
      </w:r>
    </w:p>
    <w:p>
      <w:pPr>
        <w:pStyle w:val="ListParagraph"/>
        <w:numPr>
          <w:ilvl w:val="0"/>
          <w:numId w:val="2"/>
        </w:numPr>
        <w:spacing w:after="60" w:before="60"/>
      </w:pPr>
      <w:r>
        <w:rPr>
          <w:rFonts w:ascii="Arial" w:cs="Arial" w:eastAsia="Arial" w:hAnsi="Arial"/>
          <w:color w:val="2C3E50"/>
          <w:sz w:val="22"/>
          <w:szCs w:val="22"/>
        </w:rPr>
        <w:t xml:space="preserve">Annual gross salary (USD)</w:t>
      </w:r>
    </w:p>
    <w:p>
      <w:pPr>
        <w:pStyle w:val="ListParagraph"/>
        <w:numPr>
          <w:ilvl w:val="0"/>
          <w:numId w:val="2"/>
        </w:numPr>
        <w:spacing w:after="60" w:before="60"/>
      </w:pPr>
      <w:r>
        <w:rPr>
          <w:rFonts w:ascii="Arial" w:cs="Arial" w:eastAsia="Arial" w:hAnsi="Arial"/>
          <w:color w:val="2C3E50"/>
          <w:sz w:val="22"/>
          <w:szCs w:val="22"/>
        </w:rPr>
        <w:t xml:space="preserve">State of employment — dropdown</w:t>
      </w:r>
    </w:p>
    <w:p>
      <w:pPr>
        <w:pStyle w:val="ListParagraph"/>
        <w:numPr>
          <w:ilvl w:val="0"/>
          <w:numId w:val="2"/>
        </w:numPr>
        <w:spacing w:after="60" w:before="60"/>
      </w:pPr>
      <w:r>
        <w:rPr>
          <w:rFonts w:ascii="Arial" w:cs="Arial" w:eastAsia="Arial" w:hAnsi="Arial"/>
          <w:color w:val="2C3E50"/>
          <w:sz w:val="22"/>
          <w:szCs w:val="22"/>
        </w:rPr>
        <w:t xml:space="preserve">Filing status — Single / Married Filing Jointly / Married Filing Separately</w:t>
      </w:r>
    </w:p>
    <w:p>
      <w:pPr>
        <w:pStyle w:val="ListParagraph"/>
        <w:numPr>
          <w:ilvl w:val="0"/>
          <w:numId w:val="2"/>
        </w:numPr>
        <w:spacing w:after="60" w:before="60"/>
      </w:pPr>
      <w:r>
        <w:rPr>
          <w:rFonts w:ascii="Arial" w:cs="Arial" w:eastAsia="Arial" w:hAnsi="Arial"/>
          <w:color w:val="2C3E50"/>
          <w:sz w:val="22"/>
          <w:szCs w:val="22"/>
        </w:rPr>
        <w:t xml:space="preserve">Number of dependents — 0 / 1 / 2 / 3+</w:t>
      </w:r>
    </w:p>
    <w:p>
      <w:pPr>
        <w:pStyle w:val="ListParagraph"/>
        <w:numPr>
          <w:ilvl w:val="0"/>
          <w:numId w:val="2"/>
        </w:numPr>
        <w:spacing w:after="60" w:before="60"/>
      </w:pPr>
      <w:r>
        <w:rPr>
          <w:rFonts w:ascii="Arial" w:cs="Arial" w:eastAsia="Arial" w:hAnsi="Arial"/>
          <w:color w:val="2C3E50"/>
          <w:sz w:val="22"/>
          <w:szCs w:val="22"/>
        </w:rPr>
        <w:t xml:space="preserve">Pre-tax deductions (401k contribution, HSA) — optional, number input</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Output display</w:t>
      </w:r>
    </w:p>
    <w:p>
      <w:pPr>
        <w:pStyle w:val="ListParagraph"/>
        <w:numPr>
          <w:ilvl w:val="0"/>
          <w:numId w:val="2"/>
        </w:numPr>
        <w:spacing w:after="60" w:before="60"/>
      </w:pPr>
      <w:r>
        <w:rPr>
          <w:rFonts w:ascii="Arial" w:cs="Arial" w:eastAsia="Arial" w:hAnsi="Arial"/>
          <w:color w:val="2C3E50"/>
          <w:sz w:val="22"/>
          <w:szCs w:val="22"/>
        </w:rPr>
        <w:t xml:space="preserve">Gross income</w:t>
      </w:r>
    </w:p>
    <w:p>
      <w:pPr>
        <w:pStyle w:val="ListParagraph"/>
        <w:numPr>
          <w:ilvl w:val="0"/>
          <w:numId w:val="2"/>
        </w:numPr>
        <w:spacing w:after="60" w:before="60"/>
      </w:pPr>
      <w:r>
        <w:rPr>
          <w:rFonts w:ascii="Arial" w:cs="Arial" w:eastAsia="Arial" w:hAnsi="Arial"/>
          <w:color w:val="2C3E50"/>
          <w:sz w:val="22"/>
          <w:szCs w:val="22"/>
        </w:rPr>
        <w:t xml:space="preserve">Total estimated federal tax</w:t>
      </w:r>
    </w:p>
    <w:p>
      <w:pPr>
        <w:pStyle w:val="ListParagraph"/>
        <w:numPr>
          <w:ilvl w:val="0"/>
          <w:numId w:val="2"/>
        </w:numPr>
        <w:spacing w:after="60" w:before="60"/>
      </w:pPr>
      <w:r>
        <w:rPr>
          <w:rFonts w:ascii="Arial" w:cs="Arial" w:eastAsia="Arial" w:hAnsi="Arial"/>
          <w:color w:val="2C3E50"/>
          <w:sz w:val="22"/>
          <w:szCs w:val="22"/>
        </w:rPr>
        <w:t xml:space="preserve">Estimated state tax</w:t>
      </w:r>
    </w:p>
    <w:p>
      <w:pPr>
        <w:pStyle w:val="ListParagraph"/>
        <w:numPr>
          <w:ilvl w:val="0"/>
          <w:numId w:val="2"/>
        </w:numPr>
        <w:spacing w:after="60" w:before="60"/>
      </w:pPr>
      <w:r>
        <w:rPr>
          <w:rFonts w:ascii="Arial" w:cs="Arial" w:eastAsia="Arial" w:hAnsi="Arial"/>
          <w:color w:val="2C3E50"/>
          <w:sz w:val="22"/>
          <w:szCs w:val="22"/>
        </w:rPr>
        <w:t xml:space="preserve">FICA (Social Security + Medicare)</w:t>
      </w:r>
    </w:p>
    <w:p>
      <w:pPr>
        <w:pStyle w:val="ListParagraph"/>
        <w:numPr>
          <w:ilvl w:val="0"/>
          <w:numId w:val="2"/>
        </w:numPr>
        <w:spacing w:after="60" w:before="60"/>
      </w:pPr>
      <w:r>
        <w:rPr>
          <w:rFonts w:ascii="Arial" w:cs="Arial" w:eastAsia="Arial" w:hAnsi="Arial"/>
          <w:color w:val="2C3E50"/>
          <w:sz w:val="22"/>
          <w:szCs w:val="22"/>
        </w:rPr>
        <w:t xml:space="preserve">Estimated net annual take-home</w:t>
      </w:r>
    </w:p>
    <w:p>
      <w:pPr>
        <w:pStyle w:val="ListParagraph"/>
        <w:numPr>
          <w:ilvl w:val="0"/>
          <w:numId w:val="2"/>
        </w:numPr>
        <w:spacing w:after="60" w:before="60"/>
      </w:pPr>
      <w:r>
        <w:rPr>
          <w:rFonts w:ascii="Arial" w:cs="Arial" w:eastAsia="Arial" w:hAnsi="Arial"/>
          <w:color w:val="2C3E50"/>
          <w:sz w:val="22"/>
          <w:szCs w:val="22"/>
        </w:rPr>
        <w:t xml:space="preserve">Estimated monthly take-home</w:t>
      </w:r>
    </w:p>
    <w:p>
      <w:pPr>
        <w:pStyle w:val="ListParagraph"/>
        <w:numPr>
          <w:ilvl w:val="0"/>
          <w:numId w:val="2"/>
        </w:numPr>
        <w:spacing w:after="60" w:before="60"/>
      </w:pPr>
      <w:r>
        <w:rPr>
          <w:rFonts w:ascii="Arial" w:cs="Arial" w:eastAsia="Arial" w:hAnsi="Arial"/>
          <w:color w:val="2C3E50"/>
          <w:sz w:val="22"/>
          <w:szCs w:val="22"/>
        </w:rPr>
        <w:t xml:space="preserve">Effective tax rate</w:t>
      </w:r>
    </w:p>
    <w:p>
      <w:pPr>
        <w:pStyle w:val="ListParagraph"/>
        <w:numPr>
          <w:ilvl w:val="0"/>
          <w:numId w:val="2"/>
        </w:numPr>
        <w:spacing w:after="60" w:before="60"/>
      </w:pPr>
      <w:r>
        <w:rPr>
          <w:rFonts w:ascii="Arial" w:cs="Arial" w:eastAsia="Arial" w:hAnsi="Arial"/>
          <w:color w:val="2C3E50"/>
          <w:sz w:val="22"/>
          <w:szCs w:val="22"/>
        </w:rPr>
        <w:t xml:space="preserve">Below result: CTA to Sprintax or TurboTax (affiliate link)</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5.3 Substantial Presence Test Calculator</w:t>
      </w:r>
    </w:p>
    <w:p>
      <w:pPr>
        <w:pStyle w:val="Heading3"/>
        <w:spacing w:after="120" w:before="240"/>
      </w:pPr>
      <w:r>
        <w:rPr>
          <w:rFonts w:ascii="Arial" w:cs="Arial" w:eastAsia="Arial" w:hAnsi="Arial"/>
          <w:b/>
          <w:bCs/>
          <w:color w:val="2C3E50"/>
          <w:sz w:val="24"/>
          <w:szCs w:val="24"/>
        </w:rPr>
        <w:t xml:space="preserve">What it does</w:t>
      </w:r>
    </w:p>
    <w:p>
      <w:pPr>
        <w:spacing w:after="120" w:before="80"/>
      </w:pPr>
      <w:r>
        <w:rPr>
          <w:rFonts w:ascii="Arial" w:cs="Arial" w:eastAsia="Arial" w:hAnsi="Arial"/>
          <w:color w:val="2C3E50"/>
          <w:sz w:val="22"/>
          <w:szCs w:val="22"/>
        </w:rPr>
        <w:t xml:space="preserve">Determines whether a foreign national qualifies as a US tax resident under the IRS Substantial Presence Test based on days spent in the US over a 3-year period.</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Input fields</w:t>
      </w:r>
    </w:p>
    <w:p>
      <w:pPr>
        <w:pStyle w:val="ListParagraph"/>
        <w:numPr>
          <w:ilvl w:val="0"/>
          <w:numId w:val="2"/>
        </w:numPr>
        <w:spacing w:after="60" w:before="60"/>
      </w:pPr>
      <w:r>
        <w:rPr>
          <w:rFonts w:ascii="Arial" w:cs="Arial" w:eastAsia="Arial" w:hAnsi="Arial"/>
          <w:color w:val="2C3E50"/>
          <w:sz w:val="22"/>
          <w:szCs w:val="22"/>
        </w:rPr>
        <w:t xml:space="preserve">Days in the US this year — number input</w:t>
      </w:r>
    </w:p>
    <w:p>
      <w:pPr>
        <w:pStyle w:val="ListParagraph"/>
        <w:numPr>
          <w:ilvl w:val="0"/>
          <w:numId w:val="2"/>
        </w:numPr>
        <w:spacing w:after="60" w:before="60"/>
      </w:pPr>
      <w:r>
        <w:rPr>
          <w:rFonts w:ascii="Arial" w:cs="Arial" w:eastAsia="Arial" w:hAnsi="Arial"/>
          <w:color w:val="2C3E50"/>
          <w:sz w:val="22"/>
          <w:szCs w:val="22"/>
        </w:rPr>
        <w:t xml:space="preserve">Days in the US last year — number input</w:t>
      </w:r>
    </w:p>
    <w:p>
      <w:pPr>
        <w:pStyle w:val="ListParagraph"/>
        <w:numPr>
          <w:ilvl w:val="0"/>
          <w:numId w:val="2"/>
        </w:numPr>
        <w:spacing w:after="60" w:before="60"/>
      </w:pPr>
      <w:r>
        <w:rPr>
          <w:rFonts w:ascii="Arial" w:cs="Arial" w:eastAsia="Arial" w:hAnsi="Arial"/>
          <w:color w:val="2C3E50"/>
          <w:sz w:val="22"/>
          <w:szCs w:val="22"/>
        </w:rPr>
        <w:t xml:space="preserve">Days in the US two years ago — number input</w:t>
      </w:r>
    </w:p>
    <w:p>
      <w:pPr>
        <w:pStyle w:val="ListParagraph"/>
        <w:numPr>
          <w:ilvl w:val="0"/>
          <w:numId w:val="2"/>
        </w:numPr>
        <w:spacing w:after="60" w:before="60"/>
      </w:pPr>
      <w:r>
        <w:rPr>
          <w:rFonts w:ascii="Arial" w:cs="Arial" w:eastAsia="Arial" w:hAnsi="Arial"/>
          <w:color w:val="2C3E50"/>
          <w:sz w:val="22"/>
          <w:szCs w:val="22"/>
        </w:rPr>
        <w:t xml:space="preserve">Visa type — dropdown (affects exempt days)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Output display</w:t>
      </w:r>
    </w:p>
    <w:p>
      <w:pPr>
        <w:pStyle w:val="ListParagraph"/>
        <w:numPr>
          <w:ilvl w:val="0"/>
          <w:numId w:val="2"/>
        </w:numPr>
        <w:spacing w:after="60" w:before="60"/>
      </w:pPr>
      <w:r>
        <w:rPr>
          <w:rFonts w:ascii="Arial" w:cs="Arial" w:eastAsia="Arial" w:hAnsi="Arial"/>
          <w:color w:val="2C3E50"/>
          <w:sz w:val="22"/>
          <w:szCs w:val="22"/>
        </w:rPr>
        <w:t xml:space="preserve">Calculated weighted day count using IRS formula (current year x1 + last year x1/3 + two years ago x1/6)</w:t>
      </w:r>
    </w:p>
    <w:p>
      <w:pPr>
        <w:pStyle w:val="ListParagraph"/>
        <w:numPr>
          <w:ilvl w:val="0"/>
          <w:numId w:val="2"/>
        </w:numPr>
        <w:spacing w:after="60" w:before="60"/>
      </w:pPr>
      <w:r>
        <w:rPr>
          <w:rFonts w:ascii="Arial" w:cs="Arial" w:eastAsia="Arial" w:hAnsi="Arial"/>
          <w:color w:val="2C3E50"/>
          <w:sz w:val="22"/>
          <w:szCs w:val="22"/>
        </w:rPr>
        <w:t xml:space="preserve">Pass / Fail result with explanation</w:t>
      </w:r>
    </w:p>
    <w:p>
      <w:pPr>
        <w:pStyle w:val="ListParagraph"/>
        <w:numPr>
          <w:ilvl w:val="0"/>
          <w:numId w:val="2"/>
        </w:numPr>
        <w:spacing w:after="60" w:before="60"/>
      </w:pPr>
      <w:r>
        <w:rPr>
          <w:rFonts w:ascii="Arial" w:cs="Arial" w:eastAsia="Arial" w:hAnsi="Arial"/>
          <w:color w:val="2C3E50"/>
          <w:sz w:val="22"/>
          <w:szCs w:val="22"/>
        </w:rPr>
        <w:t xml:space="preserve">If fail: explanation of what nonresident alien status means for taxes</w:t>
      </w:r>
    </w:p>
    <w:p>
      <w:pPr>
        <w:pStyle w:val="ListParagraph"/>
        <w:numPr>
          <w:ilvl w:val="0"/>
          <w:numId w:val="2"/>
        </w:numPr>
        <w:spacing w:after="60" w:before="60"/>
      </w:pPr>
      <w:r>
        <w:rPr>
          <w:rFonts w:ascii="Arial" w:cs="Arial" w:eastAsia="Arial" w:hAnsi="Arial"/>
          <w:color w:val="2C3E50"/>
          <w:sz w:val="22"/>
          <w:szCs w:val="22"/>
        </w:rPr>
        <w:t xml:space="preserve">If pass: explanation of resident alien tax obligations</w:t>
      </w:r>
    </w:p>
    <w:p>
      <w:pPr>
        <w:pStyle w:val="ListParagraph"/>
        <w:numPr>
          <w:ilvl w:val="0"/>
          <w:numId w:val="2"/>
        </w:numPr>
        <w:spacing w:after="60" w:before="60"/>
      </w:pPr>
      <w:r>
        <w:rPr>
          <w:rFonts w:ascii="Arial" w:cs="Arial" w:eastAsia="Arial" w:hAnsi="Arial"/>
          <w:color w:val="2C3E50"/>
          <w:sz w:val="22"/>
          <w:szCs w:val="22"/>
        </w:rPr>
        <w:t xml:space="preserve">CTA: Link to relevant tax guide on Finovly + Sprintax affiliate link</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5.4 F1 OPT Tax Calculator</w:t>
      </w:r>
    </w:p>
    <w:p>
      <w:pPr>
        <w:pStyle w:val="Heading3"/>
        <w:spacing w:after="120" w:before="240"/>
      </w:pPr>
      <w:r>
        <w:rPr>
          <w:rFonts w:ascii="Arial" w:cs="Arial" w:eastAsia="Arial" w:hAnsi="Arial"/>
          <w:b/>
          <w:bCs/>
          <w:color w:val="2C3E50"/>
          <w:sz w:val="24"/>
          <w:szCs w:val="24"/>
        </w:rPr>
        <w:t xml:space="preserve">What it does</w:t>
      </w:r>
    </w:p>
    <w:p>
      <w:pPr>
        <w:spacing w:after="120" w:before="80"/>
      </w:pPr>
      <w:r>
        <w:rPr>
          <w:rFonts w:ascii="Arial" w:cs="Arial" w:eastAsia="Arial" w:hAnsi="Arial"/>
          <w:color w:val="2C3E50"/>
          <w:sz w:val="22"/>
          <w:szCs w:val="22"/>
        </w:rPr>
        <w:t xml:space="preserve">Estimates federal tax withholding for F1 students on OPT or CPT income, who are typically nonresident aliens exempt from FICA taxes.</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Input fields</w:t>
      </w:r>
    </w:p>
    <w:p>
      <w:pPr>
        <w:pStyle w:val="ListParagraph"/>
        <w:numPr>
          <w:ilvl w:val="0"/>
          <w:numId w:val="2"/>
        </w:numPr>
        <w:spacing w:after="60" w:before="60"/>
      </w:pPr>
      <w:r>
        <w:rPr>
          <w:rFonts w:ascii="Arial" w:cs="Arial" w:eastAsia="Arial" w:hAnsi="Arial"/>
          <w:color w:val="2C3E50"/>
          <w:sz w:val="22"/>
          <w:szCs w:val="22"/>
        </w:rPr>
        <w:t xml:space="preserve">Annual OPT / CPT income</w:t>
      </w:r>
    </w:p>
    <w:p>
      <w:pPr>
        <w:pStyle w:val="ListParagraph"/>
        <w:numPr>
          <w:ilvl w:val="0"/>
          <w:numId w:val="2"/>
        </w:numPr>
        <w:spacing w:after="60" w:before="60"/>
      </w:pPr>
      <w:r>
        <w:rPr>
          <w:rFonts w:ascii="Arial" w:cs="Arial" w:eastAsia="Arial" w:hAnsi="Arial"/>
          <w:color w:val="2C3E50"/>
          <w:sz w:val="22"/>
          <w:szCs w:val="22"/>
        </w:rPr>
        <w:t xml:space="preserve">State of employment</w:t>
      </w:r>
    </w:p>
    <w:p>
      <w:pPr>
        <w:pStyle w:val="ListParagraph"/>
        <w:numPr>
          <w:ilvl w:val="0"/>
          <w:numId w:val="2"/>
        </w:numPr>
        <w:spacing w:after="60" w:before="60"/>
      </w:pPr>
      <w:r>
        <w:rPr>
          <w:rFonts w:ascii="Arial" w:cs="Arial" w:eastAsia="Arial" w:hAnsi="Arial"/>
          <w:color w:val="2C3E50"/>
          <w:sz w:val="22"/>
          <w:szCs w:val="22"/>
        </w:rPr>
        <w:t xml:space="preserve">Years in F1 status (affects FICA exemption)</w:t>
      </w:r>
    </w:p>
    <w:p>
      <w:pPr>
        <w:pStyle w:val="ListParagraph"/>
        <w:numPr>
          <w:ilvl w:val="0"/>
          <w:numId w:val="2"/>
        </w:numPr>
        <w:spacing w:after="60" w:before="60"/>
      </w:pPr>
      <w:r>
        <w:rPr>
          <w:rFonts w:ascii="Arial" w:cs="Arial" w:eastAsia="Arial" w:hAnsi="Arial"/>
          <w:color w:val="2C3E50"/>
          <w:sz w:val="22"/>
          <w:szCs w:val="22"/>
        </w:rPr>
        <w:t xml:space="preserve">Any treaty benefits (checkbox + country dropdown)</w:t>
      </w:r>
    </w:p>
    <w:p>
      <w:pPr>
        <w:spacing w:after="120" w:before="0"/>
      </w:pPr>
      <w:r>
        <w:t xml:space="preserve"/>
      </w:r>
    </w:p>
    <w:p>
      <w:pPr>
        <w:pStyle w:val="Heading3"/>
        <w:spacing w:after="120" w:before="240"/>
      </w:pPr>
      <w:r>
        <w:rPr>
          <w:rFonts w:ascii="Arial" w:cs="Arial" w:eastAsia="Arial" w:hAnsi="Arial"/>
          <w:b/>
          <w:bCs/>
          <w:color w:val="2C3E50"/>
          <w:sz w:val="24"/>
          <w:szCs w:val="24"/>
        </w:rPr>
        <w:t xml:space="preserve">Output display</w:t>
      </w:r>
    </w:p>
    <w:p>
      <w:pPr>
        <w:pStyle w:val="ListParagraph"/>
        <w:numPr>
          <w:ilvl w:val="0"/>
          <w:numId w:val="2"/>
        </w:numPr>
        <w:spacing w:after="60" w:before="60"/>
      </w:pPr>
      <w:r>
        <w:rPr>
          <w:rFonts w:ascii="Arial" w:cs="Arial" w:eastAsia="Arial" w:hAnsi="Arial"/>
          <w:color w:val="2C3E50"/>
          <w:sz w:val="22"/>
          <w:szCs w:val="22"/>
        </w:rPr>
        <w:t xml:space="preserve">Federal tax estimate</w:t>
      </w:r>
    </w:p>
    <w:p>
      <w:pPr>
        <w:pStyle w:val="ListParagraph"/>
        <w:numPr>
          <w:ilvl w:val="0"/>
          <w:numId w:val="2"/>
        </w:numPr>
        <w:spacing w:after="60" w:before="60"/>
      </w:pPr>
      <w:r>
        <w:rPr>
          <w:rFonts w:ascii="Arial" w:cs="Arial" w:eastAsia="Arial" w:hAnsi="Arial"/>
          <w:color w:val="2C3E50"/>
          <w:sz w:val="22"/>
          <w:szCs w:val="22"/>
        </w:rPr>
        <w:t xml:space="preserve">State tax estimate</w:t>
      </w:r>
    </w:p>
    <w:p>
      <w:pPr>
        <w:pStyle w:val="ListParagraph"/>
        <w:numPr>
          <w:ilvl w:val="0"/>
          <w:numId w:val="2"/>
        </w:numPr>
        <w:spacing w:after="60" w:before="60"/>
      </w:pPr>
      <w:r>
        <w:rPr>
          <w:rFonts w:ascii="Arial" w:cs="Arial" w:eastAsia="Arial" w:hAnsi="Arial"/>
          <w:color w:val="2C3E50"/>
          <w:sz w:val="22"/>
          <w:szCs w:val="22"/>
        </w:rPr>
        <w:t xml:space="preserve">FICA liability (usually $0 with explanation)</w:t>
      </w:r>
    </w:p>
    <w:p>
      <w:pPr>
        <w:pStyle w:val="ListParagraph"/>
        <w:numPr>
          <w:ilvl w:val="0"/>
          <w:numId w:val="2"/>
        </w:numPr>
        <w:spacing w:after="60" w:before="60"/>
      </w:pPr>
      <w:r>
        <w:rPr>
          <w:rFonts w:ascii="Arial" w:cs="Arial" w:eastAsia="Arial" w:hAnsi="Arial"/>
          <w:color w:val="2C3E50"/>
          <w:sz w:val="22"/>
          <w:szCs w:val="22"/>
        </w:rPr>
        <w:t xml:space="preserve">Net take-home</w:t>
      </w:r>
    </w:p>
    <w:p>
      <w:pPr>
        <w:pStyle w:val="ListParagraph"/>
        <w:numPr>
          <w:ilvl w:val="0"/>
          <w:numId w:val="2"/>
        </w:numPr>
        <w:spacing w:after="60" w:before="60"/>
      </w:pPr>
      <w:r>
        <w:rPr>
          <w:rFonts w:ascii="Arial" w:cs="Arial" w:eastAsia="Arial" w:hAnsi="Arial"/>
          <w:color w:val="2C3E50"/>
          <w:sz w:val="22"/>
          <w:szCs w:val="22"/>
        </w:rPr>
        <w:t xml:space="preserve">Reminder about quarterly estimated tax payments if applicable</w:t>
      </w:r>
    </w:p>
    <w:p>
      <w:pPr>
        <w:pStyle w:val="ListParagraph"/>
        <w:numPr>
          <w:ilvl w:val="0"/>
          <w:numId w:val="2"/>
        </w:numPr>
        <w:spacing w:after="60" w:before="60"/>
      </w:pPr>
      <w:r>
        <w:rPr>
          <w:rFonts w:ascii="Arial" w:cs="Arial" w:eastAsia="Arial" w:hAnsi="Arial"/>
          <w:color w:val="2C3E50"/>
          <w:sz w:val="22"/>
          <w:szCs w:val="22"/>
        </w:rPr>
        <w:t xml:space="preserve">CTA: Sprintax affiliate link (specialized nonresident tax software)</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5.5 General Calculator UI Standards</w:t>
      </w:r>
    </w:p>
    <w:p>
      <w:pPr>
        <w:pStyle w:val="ListParagraph"/>
        <w:numPr>
          <w:ilvl w:val="0"/>
          <w:numId w:val="2"/>
        </w:numPr>
        <w:spacing w:after="60" w:before="60"/>
      </w:pPr>
      <w:r>
        <w:rPr>
          <w:rFonts w:ascii="Arial" w:cs="Arial" w:eastAsia="Arial" w:hAnsi="Arial"/>
          <w:color w:val="2C3E50"/>
          <w:sz w:val="22"/>
          <w:szCs w:val="22"/>
        </w:rPr>
        <w:t xml:space="preserve">All calculators must be mobile-responsive — inputs stack vertically on small screens</w:t>
      </w:r>
    </w:p>
    <w:p>
      <w:pPr>
        <w:pStyle w:val="ListParagraph"/>
        <w:numPr>
          <w:ilvl w:val="0"/>
          <w:numId w:val="2"/>
        </w:numPr>
        <w:spacing w:after="60" w:before="60"/>
      </w:pPr>
      <w:r>
        <w:rPr>
          <w:rFonts w:ascii="Arial" w:cs="Arial" w:eastAsia="Arial" w:hAnsi="Arial"/>
          <w:color w:val="2C3E50"/>
          <w:sz w:val="22"/>
          <w:szCs w:val="22"/>
        </w:rPr>
        <w:t xml:space="preserve">Show a loading state when calculating (even if instant) — it signals the tool is working</w:t>
      </w:r>
    </w:p>
    <w:p>
      <w:pPr>
        <w:pStyle w:val="ListParagraph"/>
        <w:numPr>
          <w:ilvl w:val="0"/>
          <w:numId w:val="2"/>
        </w:numPr>
        <w:spacing w:after="60" w:before="60"/>
      </w:pPr>
      <w:r>
        <w:rPr>
          <w:rFonts w:ascii="Arial" w:cs="Arial" w:eastAsia="Arial" w:hAnsi="Arial"/>
          <w:color w:val="2C3E50"/>
          <w:sz w:val="22"/>
          <w:szCs w:val="22"/>
        </w:rPr>
        <w:t xml:space="preserve">Never show an error without a helpful message explaining what went wrong</w:t>
      </w:r>
    </w:p>
    <w:p>
      <w:pPr>
        <w:pStyle w:val="ListParagraph"/>
        <w:numPr>
          <w:ilvl w:val="0"/>
          <w:numId w:val="2"/>
        </w:numPr>
        <w:spacing w:after="60" w:before="60"/>
      </w:pPr>
      <w:r>
        <w:rPr>
          <w:rFonts w:ascii="Arial" w:cs="Arial" w:eastAsia="Arial" w:hAnsi="Arial"/>
          <w:color w:val="2C3E50"/>
          <w:sz w:val="22"/>
          <w:szCs w:val="22"/>
        </w:rPr>
        <w:t xml:space="preserve">All calculator pages must have a written guide below the tool (minimum 600 words) explaining the topic</w:t>
      </w:r>
    </w:p>
    <w:p>
      <w:pPr>
        <w:pStyle w:val="ListParagraph"/>
        <w:numPr>
          <w:ilvl w:val="0"/>
          <w:numId w:val="2"/>
        </w:numPr>
        <w:spacing w:after="60" w:before="60"/>
      </w:pPr>
      <w:r>
        <w:rPr>
          <w:rFonts w:ascii="Arial" w:cs="Arial" w:eastAsia="Arial" w:hAnsi="Arial"/>
          <w:color w:val="2C3E50"/>
          <w:sz w:val="22"/>
          <w:szCs w:val="22"/>
        </w:rPr>
        <w:t xml:space="preserve">Add schema markup (FAQPage or HowTo) to every calculator page for SEO</w:t>
      </w:r>
    </w:p>
    <w:p>
      <w:r>
        <w:br w:type="page"/>
      </w:r>
    </w:p>
    <w:p>
      <w:pPr>
        <w:pStyle w:val="Heading1"/>
        <w:spacing w:after="200" w:before="400"/>
      </w:pPr>
      <w:r>
        <w:rPr>
          <w:rFonts w:ascii="Arial" w:cs="Arial" w:eastAsia="Arial" w:hAnsi="Arial"/>
          <w:b/>
          <w:bCs/>
          <w:color w:val="1B3A6B"/>
          <w:sz w:val="36"/>
          <w:szCs w:val="36"/>
        </w:rPr>
        <w:t xml:space="preserve">6. SEO Technical Requirements</w:t>
      </w:r>
    </w:p>
    <w:p>
      <w:pPr>
        <w:pBdr>
          <w:bottom w:val="single" w:color="D0D8E4" w:sz="4" w:space="1"/>
        </w:pBdr>
        <w:spacing w:after="200" w:before="200"/>
      </w:pPr>
      <w:r>
        <w:t xml:space="preserve"/>
      </w:r>
    </w:p>
    <w:p>
      <w:pPr>
        <w:pStyle w:val="Heading2"/>
        <w:spacing w:after="160" w:before="320"/>
      </w:pPr>
      <w:r>
        <w:rPr>
          <w:rFonts w:ascii="Arial" w:cs="Arial" w:eastAsia="Arial" w:hAnsi="Arial"/>
          <w:b/>
          <w:bCs/>
          <w:color w:val="2E86C1"/>
          <w:sz w:val="28"/>
          <w:szCs w:val="28"/>
        </w:rPr>
        <w:t xml:space="preserve">6.1 On-Page SEO Checklist</w:t>
      </w:r>
    </w:p>
    <w:p>
      <w:pPr>
        <w:spacing w:after="120" w:before="80"/>
      </w:pPr>
      <w:r>
        <w:rPr>
          <w:rFonts w:ascii="Arial" w:cs="Arial" w:eastAsia="Arial" w:hAnsi="Arial"/>
          <w:color w:val="2C3E50"/>
          <w:sz w:val="22"/>
          <w:szCs w:val="22"/>
        </w:rPr>
        <w:t xml:space="preserve">The developer and content team are jointly responsible for ensuring every published page meets these requirements before going live.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4680"/>
        <w:gridCol w:w="2520"/>
      </w:tblGrid>
      <w:tr>
        <w:tc>
          <w:tcPr>
            <w:tcW w:type="dxa" w:w="21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SEO Element</w:t>
            </w:r>
          </w:p>
        </w:tc>
        <w:tc>
          <w:tcPr>
            <w:tcW w:type="dxa" w:w="46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5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Who is Responsible</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Page Title</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50–60 characters | Include primary keyword | Include brand name at end</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Content Writer</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Meta Description</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140–160 characters | Include keyword | Include a benefit or number</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Content Writer</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 Tag</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Exactly one per page | Contains primary keyword | Matches search intent</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Content Writer</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URL Slug</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Short, lowercase, hyphenated | Contains primary keyword | No stop words</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Internal Links</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Minimum 3 per article pointing to relevant pillar pages or calculators</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Content Writer</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Image Alt Text</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Descriptive, keyword-relevant, under 125 characters</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Content Writer</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Schema Markup</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Article schema on blog posts | FAQ schema on guides | HowTo on calculators</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Page Speed</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Core Web Vitals pass | LCP under 2.5s | CLS under 0.1 | FID under 100ms</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Mobile Responsiveness</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All pages fully functional and readable on 375px viewport</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Canonical Tag</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Every page must have a self-referencing canonical tag</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XML Sitemap</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Auto-generated, submitted to Google Search Console</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Robots.txt</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Must not block any content pages or calculator pages</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Developer</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6.2 Site Speed Requirements</w:t>
      </w:r>
    </w:p>
    <w:p>
      <w:pPr>
        <w:pStyle w:val="ListParagraph"/>
        <w:numPr>
          <w:ilvl w:val="0"/>
          <w:numId w:val="2"/>
        </w:numPr>
        <w:spacing w:after="60" w:before="60"/>
      </w:pPr>
      <w:r>
        <w:rPr>
          <w:rFonts w:ascii="Arial" w:cs="Arial" w:eastAsia="Arial" w:hAnsi="Arial"/>
          <w:color w:val="2C3E50"/>
          <w:sz w:val="22"/>
          <w:szCs w:val="22"/>
        </w:rPr>
        <w:t xml:space="preserve">Images: Compress all images to under 150KB — use WebP format</w:t>
      </w:r>
    </w:p>
    <w:p>
      <w:pPr>
        <w:pStyle w:val="ListParagraph"/>
        <w:numPr>
          <w:ilvl w:val="0"/>
          <w:numId w:val="2"/>
        </w:numPr>
        <w:spacing w:after="60" w:before="60"/>
      </w:pPr>
      <w:r>
        <w:rPr>
          <w:rFonts w:ascii="Arial" w:cs="Arial" w:eastAsia="Arial" w:hAnsi="Arial"/>
          <w:color w:val="2C3E50"/>
          <w:sz w:val="22"/>
          <w:szCs w:val="22"/>
        </w:rPr>
        <w:t xml:space="preserve">Lazy loading: Enable for all images below the fold</w:t>
      </w:r>
    </w:p>
    <w:p>
      <w:pPr>
        <w:pStyle w:val="ListParagraph"/>
        <w:numPr>
          <w:ilvl w:val="0"/>
          <w:numId w:val="2"/>
        </w:numPr>
        <w:spacing w:after="60" w:before="60"/>
      </w:pPr>
      <w:r>
        <w:rPr>
          <w:rFonts w:ascii="Arial" w:cs="Arial" w:eastAsia="Arial" w:hAnsi="Arial"/>
          <w:color w:val="2C3E50"/>
          <w:sz w:val="22"/>
          <w:szCs w:val="22"/>
        </w:rPr>
        <w:t xml:space="preserve">Caching: Enable server-side caching on Hostinger</w:t>
      </w:r>
    </w:p>
    <w:p>
      <w:pPr>
        <w:pStyle w:val="ListParagraph"/>
        <w:numPr>
          <w:ilvl w:val="0"/>
          <w:numId w:val="2"/>
        </w:numPr>
        <w:spacing w:after="60" w:before="60"/>
      </w:pPr>
      <w:r>
        <w:rPr>
          <w:rFonts w:ascii="Arial" w:cs="Arial" w:eastAsia="Arial" w:hAnsi="Arial"/>
          <w:color w:val="2C3E50"/>
          <w:sz w:val="22"/>
          <w:szCs w:val="22"/>
        </w:rPr>
        <w:t xml:space="preserve">CDN: Enable Hostinger's built-in CDN for static assets</w:t>
      </w:r>
    </w:p>
    <w:p>
      <w:pPr>
        <w:pStyle w:val="ListParagraph"/>
        <w:numPr>
          <w:ilvl w:val="0"/>
          <w:numId w:val="2"/>
        </w:numPr>
        <w:spacing w:after="60" w:before="60"/>
      </w:pPr>
      <w:r>
        <w:rPr>
          <w:rFonts w:ascii="Arial" w:cs="Arial" w:eastAsia="Arial" w:hAnsi="Arial"/>
          <w:color w:val="2C3E50"/>
          <w:sz w:val="22"/>
          <w:szCs w:val="22"/>
        </w:rPr>
        <w:t xml:space="preserve">Minification: Minify CSS, JS, and HTML — most WordPress themes handle this with a plugin</w:t>
      </w:r>
    </w:p>
    <w:p>
      <w:pPr>
        <w:pStyle w:val="ListParagraph"/>
        <w:numPr>
          <w:ilvl w:val="0"/>
          <w:numId w:val="2"/>
        </w:numPr>
        <w:spacing w:after="60" w:before="60"/>
      </w:pPr>
      <w:r>
        <w:rPr>
          <w:rFonts w:ascii="Arial" w:cs="Arial" w:eastAsia="Arial" w:hAnsi="Arial"/>
          <w:color w:val="2C3E50"/>
          <w:sz w:val="22"/>
          <w:szCs w:val="22"/>
        </w:rPr>
        <w:t xml:space="preserve">Google Fonts: Self-host or use font-display: swap to prevent render blocking</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6.3 Google Search Console Setup</w:t>
      </w:r>
    </w:p>
    <w:p>
      <w:pPr>
        <w:pStyle w:val="ListParagraph"/>
        <w:numPr>
          <w:ilvl w:val="0"/>
          <w:numId w:val="3"/>
        </w:numPr>
        <w:spacing w:after="60" w:before="60"/>
      </w:pPr>
      <w:r>
        <w:rPr>
          <w:rFonts w:ascii="Arial" w:cs="Arial" w:eastAsia="Arial" w:hAnsi="Arial"/>
          <w:color w:val="2C3E50"/>
          <w:sz w:val="22"/>
          <w:szCs w:val="22"/>
        </w:rPr>
        <w:t xml:space="preserve">Verify Finovly.com ownership in Google Search Console</w:t>
      </w:r>
    </w:p>
    <w:p>
      <w:pPr>
        <w:pStyle w:val="ListParagraph"/>
        <w:numPr>
          <w:ilvl w:val="0"/>
          <w:numId w:val="3"/>
        </w:numPr>
        <w:spacing w:after="60" w:before="60"/>
      </w:pPr>
      <w:r>
        <w:rPr>
          <w:rFonts w:ascii="Arial" w:cs="Arial" w:eastAsia="Arial" w:hAnsi="Arial"/>
          <w:color w:val="2C3E50"/>
          <w:sz w:val="22"/>
          <w:szCs w:val="22"/>
        </w:rPr>
        <w:t xml:space="preserve">Submit sitemap.xml once all Phase 1 content is live</w:t>
      </w:r>
    </w:p>
    <w:p>
      <w:pPr>
        <w:pStyle w:val="ListParagraph"/>
        <w:numPr>
          <w:ilvl w:val="0"/>
          <w:numId w:val="3"/>
        </w:numPr>
        <w:spacing w:after="60" w:before="60"/>
      </w:pPr>
      <w:r>
        <w:rPr>
          <w:rFonts w:ascii="Arial" w:cs="Arial" w:eastAsia="Arial" w:hAnsi="Arial"/>
          <w:color w:val="2C3E50"/>
          <w:sz w:val="22"/>
          <w:szCs w:val="22"/>
        </w:rPr>
        <w:t xml:space="preserve">Check for crawl errors weekly for the first 3 months</w:t>
      </w:r>
    </w:p>
    <w:p>
      <w:pPr>
        <w:pStyle w:val="ListParagraph"/>
        <w:numPr>
          <w:ilvl w:val="0"/>
          <w:numId w:val="3"/>
        </w:numPr>
        <w:spacing w:after="60" w:before="60"/>
      </w:pPr>
      <w:r>
        <w:rPr>
          <w:rFonts w:ascii="Arial" w:cs="Arial" w:eastAsia="Arial" w:hAnsi="Arial"/>
          <w:color w:val="2C3E50"/>
          <w:sz w:val="22"/>
          <w:szCs w:val="22"/>
        </w:rPr>
        <w:t xml:space="preserve">Monitor Core Web Vitals report monthly</w:t>
      </w:r>
    </w:p>
    <w:p>
      <w:pPr>
        <w:pStyle w:val="ListParagraph"/>
        <w:numPr>
          <w:ilvl w:val="0"/>
          <w:numId w:val="3"/>
        </w:numPr>
        <w:spacing w:after="60" w:before="60"/>
      </w:pPr>
      <w:r>
        <w:rPr>
          <w:rFonts w:ascii="Arial" w:cs="Arial" w:eastAsia="Arial" w:hAnsi="Arial"/>
          <w:color w:val="2C3E50"/>
          <w:sz w:val="22"/>
          <w:szCs w:val="22"/>
        </w:rPr>
        <w:t xml:space="preserve">Set up email alerts for manual actions or coverage issues</w:t>
      </w:r>
    </w:p>
    <w:p>
      <w:r>
        <w:br w:type="page"/>
      </w:r>
    </w:p>
    <w:p>
      <w:pPr>
        <w:pStyle w:val="Heading1"/>
        <w:spacing w:after="200" w:before="400"/>
      </w:pPr>
      <w:r>
        <w:rPr>
          <w:rFonts w:ascii="Arial" w:cs="Arial" w:eastAsia="Arial" w:hAnsi="Arial"/>
          <w:b/>
          <w:bCs/>
          <w:color w:val="1B3A6B"/>
          <w:sz w:val="36"/>
          <w:szCs w:val="36"/>
        </w:rPr>
        <w:t xml:space="preserve">7. Affiliate Monetization Setup</w:t>
      </w:r>
    </w:p>
    <w:p>
      <w:pPr>
        <w:pBdr>
          <w:bottom w:val="single" w:color="D0D8E4" w:sz="4" w:space="1"/>
        </w:pBdr>
        <w:spacing w:after="200" w:before="200"/>
      </w:pPr>
      <w:r>
        <w:t xml:space="preserve"/>
      </w:r>
    </w:p>
    <w:p>
      <w:pPr>
        <w:pStyle w:val="Heading2"/>
        <w:spacing w:after="160" w:before="320"/>
      </w:pPr>
      <w:r>
        <w:rPr>
          <w:rFonts w:ascii="Arial" w:cs="Arial" w:eastAsia="Arial" w:hAnsi="Arial"/>
          <w:b/>
          <w:bCs/>
          <w:color w:val="2E86C1"/>
          <w:sz w:val="28"/>
          <w:szCs w:val="28"/>
        </w:rPr>
        <w:t xml:space="preserve">7.1 Affiliate Programs to Apply For</w:t>
      </w:r>
    </w:p>
    <w:p>
      <w:pPr>
        <w:spacing w:after="120" w:before="80"/>
      </w:pPr>
      <w:r>
        <w:rPr>
          <w:rFonts w:ascii="Arial" w:cs="Arial" w:eastAsia="Arial" w:hAnsi="Arial"/>
          <w:color w:val="2C3E50"/>
          <w:sz w:val="22"/>
          <w:szCs w:val="22"/>
        </w:rPr>
        <w:t xml:space="preserve">Apply to these programs in Week 2–3, before content is published. Some programs take 2–4 weeks to approve. The content team should not add affiliate links until approval is confirmed.</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2160"/>
        <w:gridCol w:w="2520"/>
      </w:tblGrid>
      <w:tr>
        <w:tc>
          <w:tcPr>
            <w:tcW w:type="dxa" w:w="180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Partner</w:t>
            </w:r>
          </w:p>
        </w:tc>
        <w:tc>
          <w:tcPr>
            <w:tcW w:type="dxa" w:w="28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Network / Apply At</w:t>
            </w:r>
          </w:p>
        </w:tc>
        <w:tc>
          <w:tcPr>
            <w:tcW w:type="dxa" w:w="21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Commission</w:t>
            </w:r>
          </w:p>
        </w:tc>
        <w:tc>
          <w:tcPr>
            <w:tcW w:type="dxa" w:w="252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Relevant Pages</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Wise (TransferWise)</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wise.com/affiliates or CJ Affiliate</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$20–50 per funded transfer</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Remittance calculator, Send Money section</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Remitly</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impact.com</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$20–40 per first transfer</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Remittance calculator, country guides</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Western Union</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CJ Affiliate or direct</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Variable CPA</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Remittance comparison posts</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Chime</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impact.com</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$50–100 per opened account</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Best banks for immigrants</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SoFi</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impact.com or direct</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$50–100 per account</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Banking guides, credit builder</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Sprintax</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sprintax.com/affiliates</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20–30% per tax filing</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All tax guides, F1 &amp; H1B calculators</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Webull</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webull.com affiliates</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$50–200 per funded account</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Investing on a visa guides</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PolicyGenius</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policygenius.com affiliates</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High CPA on life/health insurance</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Insurance guides</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Deserve EDU Card</w:t>
            </w:r>
          </w:p>
        </w:tc>
        <w:tc>
          <w:tcPr>
            <w:tcW w:type="dxa" w:w="28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deserve.com direct outreach</w:t>
            </w:r>
          </w:p>
        </w:tc>
        <w:tc>
          <w:tcPr>
            <w:tcW w:type="dxa" w:w="21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CPA per card approval</w:t>
            </w:r>
          </w:p>
        </w:tc>
        <w:tc>
          <w:tcPr>
            <w:tcW w:type="dxa" w:w="252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F1 student guides, credit building</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Nova Credit</w:t>
            </w:r>
          </w:p>
        </w:tc>
        <w:tc>
          <w:tcPr>
            <w:tcW w:type="dxa" w:w="28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novacredit.com direct outreach</w:t>
            </w:r>
          </w:p>
        </w:tc>
        <w:tc>
          <w:tcPr>
            <w:tcW w:type="dxa" w:w="21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CPA deal — negotiate directly</w:t>
            </w:r>
          </w:p>
        </w:tc>
        <w:tc>
          <w:tcPr>
            <w:tcW w:type="dxa" w:w="252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Credit building pillar, banking guides</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7.2 Affiliate Link Placement Rules</w:t>
      </w:r>
    </w:p>
    <w:p>
      <w:pPr>
        <w:pStyle w:val="ListParagraph"/>
        <w:numPr>
          <w:ilvl w:val="0"/>
          <w:numId w:val="2"/>
        </w:numPr>
        <w:spacing w:after="60" w:before="60"/>
      </w:pPr>
      <w:r>
        <w:rPr>
          <w:rFonts w:ascii="Arial" w:cs="Arial" w:eastAsia="Arial" w:hAnsi="Arial"/>
          <w:color w:val="2C3E50"/>
          <w:sz w:val="22"/>
          <w:szCs w:val="22"/>
        </w:rPr>
        <w:t xml:space="preserve">Never place affiliate links in the first paragraph of any article — Google penalizes thin affiliate content</w:t>
      </w:r>
    </w:p>
    <w:p>
      <w:pPr>
        <w:pStyle w:val="ListParagraph"/>
        <w:numPr>
          <w:ilvl w:val="0"/>
          <w:numId w:val="2"/>
        </w:numPr>
        <w:spacing w:after="60" w:before="60"/>
      </w:pPr>
      <w:r>
        <w:rPr>
          <w:rFonts w:ascii="Arial" w:cs="Arial" w:eastAsia="Arial" w:hAnsi="Arial"/>
          <w:color w:val="2C3E50"/>
          <w:sz w:val="22"/>
          <w:szCs w:val="22"/>
        </w:rPr>
        <w:t xml:space="preserve">Always disclose affiliate relationships at the top of any page containing affiliate links (required by FTC)</w:t>
      </w:r>
    </w:p>
    <w:p>
      <w:pPr>
        <w:pStyle w:val="ListParagraph"/>
        <w:numPr>
          <w:ilvl w:val="0"/>
          <w:numId w:val="2"/>
        </w:numPr>
        <w:spacing w:after="60" w:before="60"/>
      </w:pPr>
      <w:r>
        <w:rPr>
          <w:rFonts w:ascii="Arial" w:cs="Arial" w:eastAsia="Arial" w:hAnsi="Arial"/>
          <w:color w:val="2C3E50"/>
          <w:sz w:val="22"/>
          <w:szCs w:val="22"/>
        </w:rPr>
        <w:t xml:space="preserve">Use a dedicated "Tools We Recommend" page that lists all affiliate partners transparently</w:t>
      </w:r>
    </w:p>
    <w:p>
      <w:pPr>
        <w:pStyle w:val="ListParagraph"/>
        <w:numPr>
          <w:ilvl w:val="0"/>
          <w:numId w:val="2"/>
        </w:numPr>
        <w:spacing w:after="60" w:before="60"/>
      </w:pPr>
      <w:r>
        <w:rPr>
          <w:rFonts w:ascii="Arial" w:cs="Arial" w:eastAsia="Arial" w:hAnsi="Arial"/>
          <w:color w:val="2C3E50"/>
          <w:sz w:val="22"/>
          <w:szCs w:val="22"/>
        </w:rPr>
        <w:t xml:space="preserve">In comparison articles, rank products honestly — do not list the highest-paying affiliate first</w:t>
      </w:r>
    </w:p>
    <w:p>
      <w:pPr>
        <w:pStyle w:val="ListParagraph"/>
        <w:numPr>
          <w:ilvl w:val="0"/>
          <w:numId w:val="2"/>
        </w:numPr>
        <w:spacing w:after="60" w:before="60"/>
      </w:pPr>
      <w:r>
        <w:rPr>
          <w:rFonts w:ascii="Arial" w:cs="Arial" w:eastAsia="Arial" w:hAnsi="Arial"/>
          <w:color w:val="2C3E50"/>
          <w:sz w:val="22"/>
          <w:szCs w:val="22"/>
        </w:rPr>
        <w:t xml:space="preserve">Use a link management plugin (ThirstyAffiliates or Pretty Links) to cloak and track affiliate links</w:t>
      </w:r>
    </w:p>
    <w:p>
      <w:pPr>
        <w:pStyle w:val="ListParagraph"/>
        <w:numPr>
          <w:ilvl w:val="0"/>
          <w:numId w:val="2"/>
        </w:numPr>
        <w:spacing w:after="60" w:before="60"/>
      </w:pPr>
      <w:r>
        <w:rPr>
          <w:rFonts w:ascii="Arial" w:cs="Arial" w:eastAsia="Arial" w:hAnsi="Arial"/>
          <w:color w:val="2C3E50"/>
          <w:sz w:val="22"/>
          <w:szCs w:val="22"/>
        </w:rPr>
        <w:t xml:space="preserve">Add rel="sponsored" or rel="nofollow" attribute to all affiliate links</w:t>
      </w:r>
    </w:p>
    <w:p>
      <w:pPr>
        <w:spacing w:after="120" w:before="0"/>
      </w:pPr>
      <w:r>
        <w:t xml:space="preserve"/>
      </w:r>
    </w:p>
    <w:p>
      <w:pPr>
        <w:pStyle w:val="Heading2"/>
        <w:spacing w:after="160" w:before="320"/>
      </w:pPr>
      <w:r>
        <w:rPr>
          <w:rFonts w:ascii="Arial" w:cs="Arial" w:eastAsia="Arial" w:hAnsi="Arial"/>
          <w:b/>
          <w:bCs/>
          <w:color w:val="2E86C1"/>
          <w:sz w:val="28"/>
          <w:szCs w:val="28"/>
        </w:rPr>
        <w:t xml:space="preserve">7.3 Affiliate Disclosure Template</w:t>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8E4" w:sz="1"/>
              <w:left w:val="single" w:color="D0D8E4" w:sz="1"/>
              <w:bottom w:val="single" w:color="D0D8E4" w:sz="1"/>
              <w:right w:val="single" w:color="D0D8E4" w:sz="1"/>
            </w:tcBorders>
            <w:shd w:fill="1B3A6B" w:val="clear"/>
            <w:tcMar>
              <w:top w:type="dxa" w:w="100"/>
              <w:left w:type="dxa" w:w="160"/>
              <w:bottom w:type="dxa" w:w="100"/>
              <w:right w:type="dxa" w:w="160"/>
            </w:tcMar>
          </w:tcPr>
          <w:p>
            <w:r>
              <w:rPr>
                <w:rFonts w:ascii="Arial" w:cs="Arial" w:eastAsia="Arial" w:hAnsi="Arial"/>
                <w:b/>
                <w:bCs/>
                <w:color w:val="FFFFFF"/>
                <w:sz w:val="22"/>
                <w:szCs w:val="22"/>
              </w:rPr>
              <w:t xml:space="preserve">REQUIRED DISCLOSURE (add to top of all affiliate pages)</w:t>
            </w:r>
          </w:p>
        </w:tc>
      </w:tr>
      <w:tr>
        <w:tc>
          <w:tcPr>
            <w:tcW w:type="dxa" w:w="9360"/>
            <w:tcBorders>
              <w:top w:val="single" w:color="D0D8E4" w:sz="1"/>
              <w:left w:val="single" w:color="D0D8E4" w:sz="1"/>
              <w:bottom w:val="single" w:color="D0D8E4" w:sz="1"/>
              <w:right w:val="single" w:color="D0D8E4" w:sz="1"/>
            </w:tcBorders>
            <w:shd w:fill="FFF8E7" w:val="clear"/>
            <w:tcMar>
              <w:top w:type="dxa" w:w="120"/>
              <w:left w:type="dxa" w:w="160"/>
              <w:bottom w:type="dxa" w:w="120"/>
              <w:right w:type="dxa" w:w="160"/>
            </w:tcMar>
          </w:tcPr>
          <w:p>
            <w:pPr>
              <w:spacing w:after="60" w:before="60"/>
            </w:pPr>
            <w:r>
              <w:rPr>
                <w:rFonts w:ascii="Arial" w:cs="Arial" w:eastAsia="Arial" w:hAnsi="Arial"/>
                <w:color w:val="2C3E50"/>
                <w:sz w:val="22"/>
                <w:szCs w:val="22"/>
              </w:rPr>
              <w:t xml:space="preserve">Disclosure: This page contains affiliate links. If you sign up for a product or service through our links, Finovly may earn a commission at no extra cost to you. We only recommend products we believe will genuinely help our readers. Learn more in our Affiliate Disclosure Policy.</w:t>
            </w:r>
          </w:p>
        </w:tc>
      </w:tr>
    </w:tbl>
    <w:p>
      <w:r>
        <w:br w:type="page"/>
      </w:r>
    </w:p>
    <w:p>
      <w:pPr>
        <w:pStyle w:val="Heading1"/>
        <w:spacing w:after="200" w:before="400"/>
      </w:pPr>
      <w:r>
        <w:rPr>
          <w:rFonts w:ascii="Arial" w:cs="Arial" w:eastAsia="Arial" w:hAnsi="Arial"/>
          <w:b/>
          <w:bCs/>
          <w:color w:val="1B3A6B"/>
          <w:sz w:val="36"/>
          <w:szCs w:val="36"/>
        </w:rPr>
        <w:t xml:space="preserve">8. Implementation Timeline</w:t>
      </w:r>
    </w:p>
    <w:p>
      <w:pPr>
        <w:pBdr>
          <w:bottom w:val="single" w:color="D0D8E4" w:sz="4" w:space="1"/>
        </w:pBd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c>
          <w:tcPr>
            <w:tcW w:type="dxa" w:w="180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Week / Month</w:t>
            </w:r>
          </w:p>
        </w:tc>
        <w:tc>
          <w:tcPr>
            <w:tcW w:type="dxa" w:w="576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Tasks</w:t>
            </w:r>
          </w:p>
        </w:tc>
        <w:tc>
          <w:tcPr>
            <w:tcW w:type="dxa" w:w="180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Owner</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Week 1–2</w:t>
            </w:r>
          </w:p>
        </w:tc>
        <w:tc>
          <w:tcPr>
            <w:tcW w:type="dxa" w:w="57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Finalize brand positioning | Update homepage copy and tagline | Update About page with new mission statement | Apply to affiliate programs</w:t>
            </w:r>
          </w:p>
        </w:tc>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Saud + Writer</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Week 2–4</w:t>
            </w:r>
          </w:p>
        </w:tc>
        <w:tc>
          <w:tcPr>
            <w:tcW w:type="dxa" w:w="57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Implement new site navigation | Build new URL structure | Set up category pages | Technical SEO audit and fixes</w:t>
            </w:r>
          </w:p>
        </w:tc>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Developer</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Month 1</w:t>
            </w:r>
          </w:p>
        </w:tc>
        <w:tc>
          <w:tcPr>
            <w:tcW w:type="dxa" w:w="57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Write H1B pillar page | Write F1 pillar page | Build remittance fee calculator | Build substantial presence test calculator</w:t>
            </w:r>
          </w:p>
        </w:tc>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Writer + Developer</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Month 2</w:t>
            </w:r>
          </w:p>
        </w:tc>
        <w:tc>
          <w:tcPr>
            <w:tcW w:type="dxa" w:w="57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Write credit building pillar | Build H1B tax estimator | Build F1 OPT calculator | Publish first 3 cluster posts</w:t>
            </w:r>
          </w:p>
        </w:tc>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Writer + Developer</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Month 3</w:t>
            </w:r>
          </w:p>
        </w:tc>
        <w:tc>
          <w:tcPr>
            <w:tcW w:type="dxa" w:w="57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Publish remaining cluster posts (8 total) | Add affiliate links once approved | Submit sitemap | Begin Reddit community engagement</w:t>
            </w:r>
          </w:p>
        </w:tc>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Writer + Saud</w:t>
            </w:r>
          </w:p>
        </w:tc>
      </w:tr>
      <w:tr>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Month 4–6</w:t>
            </w:r>
          </w:p>
        </w:tc>
        <w:tc>
          <w:tcPr>
            <w:tcW w:type="dxa" w:w="576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Add country-specific remittance guides | Build cost of living comparison tool | Start email list with lead magnet | Monitor SEO rankings</w:t>
            </w:r>
          </w:p>
        </w:tc>
        <w:tc>
          <w:tcPr>
            <w:tcW w:type="dxa" w:w="180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All</w:t>
            </w:r>
          </w:p>
        </w:tc>
      </w:tr>
      <w:tr>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Month 6–12</w:t>
            </w:r>
          </w:p>
        </w:tc>
        <w:tc>
          <w:tcPr>
            <w:tcW w:type="dxa" w:w="576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Scale content to 2 posts per month | Expand visa guide section | Outreach for backlinks | Analyze affiliate performance</w:t>
            </w:r>
          </w:p>
        </w:tc>
        <w:tc>
          <w:tcPr>
            <w:tcW w:type="dxa" w:w="180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All</w:t>
            </w:r>
          </w:p>
        </w:tc>
      </w:tr>
    </w:tbl>
    <w:p>
      <w:pPr>
        <w:spacing w:after="120" w:before="0"/>
      </w:pPr>
      <w:r>
        <w:t xml:space="preserve"/>
      </w:r>
    </w:p>
    <w:p>
      <w:pPr>
        <w:pStyle w:val="Heading2"/>
        <w:spacing w:after="160" w:before="320"/>
      </w:pPr>
      <w:r>
        <w:rPr>
          <w:rFonts w:ascii="Arial" w:cs="Arial" w:eastAsia="Arial" w:hAnsi="Arial"/>
          <w:b/>
          <w:bCs/>
          <w:color w:val="2E86C1"/>
          <w:sz w:val="28"/>
          <w:szCs w:val="28"/>
        </w:rPr>
        <w:t xml:space="preserve">8.1 Definition of Done — Launch Checklist</w:t>
      </w:r>
    </w:p>
    <w:p>
      <w:pPr>
        <w:spacing w:after="120" w:before="80"/>
      </w:pPr>
      <w:r>
        <w:rPr>
          <w:rFonts w:ascii="Arial" w:cs="Arial" w:eastAsia="Arial" w:hAnsi="Arial"/>
          <w:color w:val="2C3E50"/>
          <w:sz w:val="22"/>
          <w:szCs w:val="22"/>
        </w:rPr>
        <w:t xml:space="preserve">The site is not ready to re-launch in the new niche until all of the following are complete:</w:t>
      </w:r>
    </w:p>
    <w:p>
      <w:pPr>
        <w:spacing w:after="120" w:before="0"/>
      </w:pPr>
      <w:r>
        <w:t xml:space="preserve"/>
      </w:r>
    </w:p>
    <w:p>
      <w:pPr>
        <w:pStyle w:val="ListParagraph"/>
        <w:numPr>
          <w:ilvl w:val="0"/>
          <w:numId w:val="2"/>
        </w:numPr>
        <w:spacing w:after="60" w:before="60"/>
      </w:pPr>
      <w:r>
        <w:rPr>
          <w:rFonts w:ascii="Arial" w:cs="Arial" w:eastAsia="Arial" w:hAnsi="Arial"/>
          <w:color w:val="2C3E50"/>
          <w:sz w:val="22"/>
          <w:szCs w:val="22"/>
        </w:rPr>
        <w:t xml:space="preserve">Homepage updated with new copy, hero, and audience selector</w:t>
      </w:r>
    </w:p>
    <w:p>
      <w:pPr>
        <w:pStyle w:val="ListParagraph"/>
        <w:numPr>
          <w:ilvl w:val="0"/>
          <w:numId w:val="2"/>
        </w:numPr>
        <w:spacing w:after="60" w:before="60"/>
      </w:pPr>
      <w:r>
        <w:rPr>
          <w:rFonts w:ascii="Arial" w:cs="Arial" w:eastAsia="Arial" w:hAnsi="Arial"/>
          <w:color w:val="2C3E50"/>
          <w:sz w:val="22"/>
          <w:szCs w:val="22"/>
        </w:rPr>
        <w:t xml:space="preserve">New navigation menu live with all top-level sections</w:t>
      </w:r>
    </w:p>
    <w:p>
      <w:pPr>
        <w:pStyle w:val="ListParagraph"/>
        <w:numPr>
          <w:ilvl w:val="0"/>
          <w:numId w:val="2"/>
        </w:numPr>
        <w:spacing w:after="60" w:before="60"/>
      </w:pPr>
      <w:r>
        <w:rPr>
          <w:rFonts w:ascii="Arial" w:cs="Arial" w:eastAsia="Arial" w:hAnsi="Arial"/>
          <w:color w:val="2C3E50"/>
          <w:sz w:val="22"/>
          <w:szCs w:val="22"/>
        </w:rPr>
        <w:t xml:space="preserve">At least 2 pillar pages published (H1B guide + F1 guide minimum)</w:t>
      </w:r>
    </w:p>
    <w:p>
      <w:pPr>
        <w:pStyle w:val="ListParagraph"/>
        <w:numPr>
          <w:ilvl w:val="0"/>
          <w:numId w:val="2"/>
        </w:numPr>
        <w:spacing w:after="60" w:before="60"/>
      </w:pPr>
      <w:r>
        <w:rPr>
          <w:rFonts w:ascii="Arial" w:cs="Arial" w:eastAsia="Arial" w:hAnsi="Arial"/>
          <w:color w:val="2C3E50"/>
          <w:sz w:val="22"/>
          <w:szCs w:val="22"/>
        </w:rPr>
        <w:t xml:space="preserve">At least 2 calculators live and functional on mobile</w:t>
      </w:r>
    </w:p>
    <w:p>
      <w:pPr>
        <w:pStyle w:val="ListParagraph"/>
        <w:numPr>
          <w:ilvl w:val="0"/>
          <w:numId w:val="2"/>
        </w:numPr>
        <w:spacing w:after="60" w:before="60"/>
      </w:pPr>
      <w:r>
        <w:rPr>
          <w:rFonts w:ascii="Arial" w:cs="Arial" w:eastAsia="Arial" w:hAnsi="Arial"/>
          <w:color w:val="2C3E50"/>
          <w:sz w:val="22"/>
          <w:szCs w:val="22"/>
        </w:rPr>
        <w:t xml:space="preserve">Affiliate disclosure page live</w:t>
      </w:r>
    </w:p>
    <w:p>
      <w:pPr>
        <w:pStyle w:val="ListParagraph"/>
        <w:numPr>
          <w:ilvl w:val="0"/>
          <w:numId w:val="2"/>
        </w:numPr>
        <w:spacing w:after="60" w:before="60"/>
      </w:pPr>
      <w:r>
        <w:rPr>
          <w:rFonts w:ascii="Arial" w:cs="Arial" w:eastAsia="Arial" w:hAnsi="Arial"/>
          <w:color w:val="2C3E50"/>
          <w:sz w:val="22"/>
          <w:szCs w:val="22"/>
        </w:rPr>
        <w:t xml:space="preserve">Privacy policy and terms of service updated</w:t>
      </w:r>
    </w:p>
    <w:p>
      <w:pPr>
        <w:pStyle w:val="ListParagraph"/>
        <w:numPr>
          <w:ilvl w:val="0"/>
          <w:numId w:val="2"/>
        </w:numPr>
        <w:spacing w:after="60" w:before="60"/>
      </w:pPr>
      <w:r>
        <w:rPr>
          <w:rFonts w:ascii="Arial" w:cs="Arial" w:eastAsia="Arial" w:hAnsi="Arial"/>
          <w:color w:val="2C3E50"/>
          <w:sz w:val="22"/>
          <w:szCs w:val="22"/>
        </w:rPr>
        <w:t xml:space="preserve">Google Search Console verified and sitemap submitted</w:t>
      </w:r>
    </w:p>
    <w:p>
      <w:pPr>
        <w:pStyle w:val="ListParagraph"/>
        <w:numPr>
          <w:ilvl w:val="0"/>
          <w:numId w:val="2"/>
        </w:numPr>
        <w:spacing w:after="60" w:before="60"/>
      </w:pPr>
      <w:r>
        <w:rPr>
          <w:rFonts w:ascii="Arial" w:cs="Arial" w:eastAsia="Arial" w:hAnsi="Arial"/>
          <w:color w:val="2C3E50"/>
          <w:sz w:val="22"/>
          <w:szCs w:val="22"/>
        </w:rPr>
        <w:t xml:space="preserve">Site loads in under 3 seconds on mobile (test with PageSpeed Insights)</w:t>
      </w:r>
    </w:p>
    <w:p>
      <w:pPr>
        <w:pStyle w:val="ListParagraph"/>
        <w:numPr>
          <w:ilvl w:val="0"/>
          <w:numId w:val="2"/>
        </w:numPr>
        <w:spacing w:after="60" w:before="60"/>
      </w:pPr>
      <w:r>
        <w:rPr>
          <w:rFonts w:ascii="Arial" w:cs="Arial" w:eastAsia="Arial" w:hAnsi="Arial"/>
          <w:color w:val="2C3E50"/>
          <w:sz w:val="22"/>
          <w:szCs w:val="22"/>
        </w:rPr>
        <w:t xml:space="preserve">At least 1 affiliate program approved and links placed</w:t>
      </w:r>
    </w:p>
    <w:p>
      <w:pPr>
        <w:pStyle w:val="ListParagraph"/>
        <w:numPr>
          <w:ilvl w:val="0"/>
          <w:numId w:val="2"/>
        </w:numPr>
        <w:spacing w:after="60" w:before="60"/>
      </w:pPr>
      <w:r>
        <w:rPr>
          <w:rFonts w:ascii="Arial" w:cs="Arial" w:eastAsia="Arial" w:hAnsi="Arial"/>
          <w:color w:val="2C3E50"/>
          <w:sz w:val="22"/>
          <w:szCs w:val="22"/>
        </w:rPr>
        <w:t xml:space="preserve">All existing general finance content either updated to fit new niche or set to draft</w:t>
      </w:r>
    </w:p>
    <w:p>
      <w:r>
        <w:br w:type="page"/>
      </w:r>
    </w:p>
    <w:p>
      <w:pPr>
        <w:pStyle w:val="Heading1"/>
        <w:spacing w:after="200" w:before="400"/>
      </w:pPr>
      <w:r>
        <w:rPr>
          <w:rFonts w:ascii="Arial" w:cs="Arial" w:eastAsia="Arial" w:hAnsi="Arial"/>
          <w:b/>
          <w:bCs/>
          <w:color w:val="1B3A6B"/>
          <w:sz w:val="36"/>
          <w:szCs w:val="36"/>
        </w:rPr>
        <w:t xml:space="preserve">9. Quick Reference — Key Decisions</w:t>
      </w:r>
    </w:p>
    <w:p>
      <w:pPr>
        <w:pBdr>
          <w:bottom w:val="single" w:color="D0D8E4" w:sz="4" w:space="1"/>
        </w:pBdr>
        <w:spacing w:after="200" w:before="200"/>
      </w:pPr>
      <w:r>
        <w:t xml:space="preserve"/>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4680"/>
            <w:tcBorders>
              <w:top w:val="single" w:color="D0D8E4" w:sz="1"/>
              <w:left w:val="single" w:color="D0D8E4" w:sz="1"/>
              <w:bottom w:val="single" w:color="D0D8E4" w:sz="1"/>
              <w:right w:val="single" w:color="D0D8E4" w:sz="1"/>
            </w:tcBorders>
            <w:shd w:fill="1B3A6B" w:val="clear"/>
            <w:tcMar>
              <w:top w:type="dxa" w:w="80"/>
              <w:left w:type="dxa" w:w="120"/>
              <w:bottom w:type="dxa" w:w="80"/>
              <w:right w:type="dxa" w:w="120"/>
            </w:tcMar>
          </w:tcPr>
          <w:p>
            <w:r>
              <w:rPr>
                <w:rFonts w:ascii="Arial" w:cs="Arial" w:eastAsia="Arial" w:hAnsi="Arial"/>
                <w:b/>
                <w:bCs/>
                <w:color w:val="FFFFFF"/>
                <w:sz w:val="20"/>
                <w:szCs w:val="20"/>
              </w:rPr>
              <w:t xml:space="preserve">Answer</w:t>
            </w:r>
          </w:p>
        </w:tc>
      </w:tr>
      <w:tr>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Brand name change?</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 — Finovly stays. Update tagline only.</w:t>
            </w:r>
          </w:p>
        </w:tc>
      </w:tr>
      <w:tr>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Primary color?</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Deep Navy #1B3A6B — keep existing brand color</w:t>
            </w:r>
          </w:p>
        </w:tc>
      </w:tr>
      <w:tr>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First content to publish?</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H1B Financial Guide + Remittance Calculator</w:t>
            </w:r>
          </w:p>
        </w:tc>
      </w:tr>
      <w:tr>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First affiliate to prioritize?</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Sprintax (tax) + Wise (remittance) — highest relevance</w:t>
            </w:r>
          </w:p>
        </w:tc>
      </w:tr>
      <w:tr>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Broad or narrow audience?</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All immigrants broadly — do not limit to one nationality</w:t>
            </w:r>
          </w:p>
        </w:tc>
      </w:tr>
      <w:tr>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Blog post frequency?</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2 per month minimum — consistency over volume</w:t>
            </w:r>
          </w:p>
        </w:tc>
      </w:tr>
      <w:tr>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Social media?</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Reddit first (r/h1b, r/f1visa, r/immigration) — free and targeted</w:t>
            </w:r>
          </w:p>
        </w:tc>
      </w:tr>
      <w:tr>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Email list?</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Start from day one — lead magnet: New Immigrant Financial Checklist</w:t>
            </w:r>
          </w:p>
        </w:tc>
      </w:tr>
      <w:tr>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Paid ads?</w:t>
            </w:r>
          </w:p>
        </w:tc>
        <w:tc>
          <w:tcPr>
            <w:tcW w:type="dxa" w:w="4680"/>
            <w:tcBorders>
              <w:top w:val="single" w:color="D0D8E4" w:sz="1"/>
              <w:left w:val="single" w:color="D0D8E4" w:sz="1"/>
              <w:bottom w:val="single" w:color="D0D8E4" w:sz="1"/>
              <w:right w:val="single" w:color="D0D8E4" w:sz="1"/>
            </w:tcBorders>
            <w:shd w:fill="FFFFFF" w:val="clear"/>
            <w:tcMar>
              <w:top w:type="dxa" w:w="80"/>
              <w:left w:type="dxa" w:w="120"/>
              <w:bottom w:type="dxa" w:w="80"/>
              <w:right w:type="dxa" w:w="120"/>
            </w:tcMar>
          </w:tcPr>
          <w:p>
            <w:r>
              <w:rPr>
                <w:rFonts w:ascii="Arial" w:cs="Arial" w:eastAsia="Arial" w:hAnsi="Arial"/>
                <w:color w:val="2C3E50"/>
                <w:sz w:val="20"/>
                <w:szCs w:val="20"/>
              </w:rPr>
              <w:t xml:space="preserve">Not yet — invest in SEO and content first for 12 months</w:t>
            </w:r>
          </w:p>
        </w:tc>
      </w:tr>
      <w:tr>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Content outsourcing?</w:t>
            </w:r>
          </w:p>
        </w:tc>
        <w:tc>
          <w:tcPr>
            <w:tcW w:type="dxa" w:w="4680"/>
            <w:tcBorders>
              <w:top w:val="single" w:color="D0D8E4" w:sz="1"/>
              <w:left w:val="single" w:color="D0D8E4" w:sz="1"/>
              <w:bottom w:val="single" w:color="D0D8E4" w:sz="1"/>
              <w:right w:val="single" w:color="D0D8E4" w:sz="1"/>
            </w:tcBorders>
            <w:shd w:fill="F5F7FA" w:val="clear"/>
            <w:tcMar>
              <w:top w:type="dxa" w:w="80"/>
              <w:left w:type="dxa" w:w="120"/>
              <w:bottom w:type="dxa" w:w="80"/>
              <w:right w:type="dxa" w:w="120"/>
            </w:tcMar>
          </w:tcPr>
          <w:p>
            <w:r>
              <w:rPr>
                <w:rFonts w:ascii="Arial" w:cs="Arial" w:eastAsia="Arial" w:hAnsi="Arial"/>
                <w:color w:val="2C3E50"/>
                <w:sz w:val="20"/>
                <w:szCs w:val="20"/>
              </w:rPr>
              <w:t xml:space="preserve">Only outsource to writers familiar with US immigration finance</w:t>
            </w:r>
          </w:p>
        </w:tc>
      </w:tr>
    </w:tbl>
    <w:p>
      <w:pPr>
        <w:spacing w:after="120" w:before="0"/>
      </w:pPr>
      <w:r>
        <w:t xml:space="preserve"/>
      </w:r>
    </w:p>
    <w:p>
      <w:pPr>
        <w:spacing w:after="12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8E4" w:sz="1"/>
              <w:left w:val="single" w:color="D0D8E4" w:sz="1"/>
              <w:bottom w:val="single" w:color="D0D8E4" w:sz="1"/>
              <w:right w:val="single" w:color="D0D8E4" w:sz="1"/>
            </w:tcBorders>
            <w:shd w:fill="1B3A6B" w:val="clear"/>
            <w:tcMar>
              <w:top w:type="dxa" w:w="100"/>
              <w:left w:type="dxa" w:w="160"/>
              <w:bottom w:type="dxa" w:w="100"/>
              <w:right w:type="dxa" w:w="160"/>
            </w:tcMar>
          </w:tcPr>
          <w:p>
            <w:r>
              <w:rPr>
                <w:rFonts w:ascii="Arial" w:cs="Arial" w:eastAsia="Arial" w:hAnsi="Arial"/>
                <w:b/>
                <w:bCs/>
                <w:color w:val="FFFFFF"/>
                <w:sz w:val="22"/>
                <w:szCs w:val="22"/>
              </w:rPr>
              <w:t xml:space="preserve">FINAL NOTE TO THE TEAM</w:t>
            </w:r>
          </w:p>
        </w:tc>
      </w:tr>
      <w:tr>
        <w:tc>
          <w:tcPr>
            <w:tcW w:type="dxa" w:w="9360"/>
            <w:tcBorders>
              <w:top w:val="single" w:color="D0D8E4" w:sz="1"/>
              <w:left w:val="single" w:color="D0D8E4" w:sz="1"/>
              <w:bottom w:val="single" w:color="D0D8E4" w:sz="1"/>
              <w:right w:val="single" w:color="D0D8E4" w:sz="1"/>
            </w:tcBorders>
            <w:shd w:fill="E8EFF9" w:val="clear"/>
            <w:tcMar>
              <w:top w:type="dxa" w:w="120"/>
              <w:left w:type="dxa" w:w="160"/>
              <w:bottom w:type="dxa" w:w="120"/>
              <w:right w:type="dxa" w:w="160"/>
            </w:tcMar>
          </w:tcPr>
          <w:p>
            <w:pPr>
              <w:spacing w:after="60" w:before="60"/>
            </w:pPr>
            <w:r>
              <w:rPr>
                <w:rFonts w:ascii="Arial" w:cs="Arial" w:eastAsia="Arial" w:hAnsi="Arial"/>
                <w:color w:val="2C3E50"/>
                <w:sz w:val="22"/>
                <w:szCs w:val="22"/>
              </w:rPr>
              <w:t xml:space="preserve">The immigrant finance niche is a long-term play. Do not expect significant organic traffic before month 4–6. The sites that win in this space are the ones that publish consistently, build genuinely helpful tools, and treat the audience with respect.</w:t>
            </w:r>
          </w:p>
          <w:p>
            <w:pPr>
              <w:spacing w:after="60" w:before="60"/>
            </w:pPr>
            <w:r>
              <w:rPr>
                <w:rFonts w:ascii="Arial" w:cs="Arial" w:eastAsia="Arial" w:hAnsi="Arial"/>
                <w:color w:val="2C3E50"/>
                <w:sz w:val="22"/>
                <w:szCs w:val="22"/>
              </w:rPr>
              <w:t xml:space="preserve"/>
            </w:r>
          </w:p>
          <w:p>
            <w:pPr>
              <w:spacing w:after="60" w:before="60"/>
            </w:pPr>
            <w:r>
              <w:rPr>
                <w:rFonts w:ascii="Arial" w:cs="Arial" w:eastAsia="Arial" w:hAnsi="Arial"/>
                <w:color w:val="2C3E50"/>
                <w:sz w:val="22"/>
                <w:szCs w:val="22"/>
              </w:rPr>
              <w:t xml:space="preserve">Every piece of content we publish should answer a real question that someone going through the US immigration process is Googling right now. If it does not do that, do not publish it.</w:t>
            </w:r>
          </w:p>
          <w:p>
            <w:pPr>
              <w:spacing w:after="60" w:before="60"/>
            </w:pPr>
            <w:r>
              <w:rPr>
                <w:rFonts w:ascii="Arial" w:cs="Arial" w:eastAsia="Arial" w:hAnsi="Arial"/>
                <w:color w:val="2C3E50"/>
                <w:sz w:val="22"/>
                <w:szCs w:val="22"/>
              </w:rPr>
              <w:t xml:space="preserve"/>
            </w:r>
          </w:p>
          <w:p>
            <w:pPr>
              <w:spacing w:after="60" w:before="60"/>
            </w:pPr>
            <w:r>
              <w:rPr>
                <w:rFonts w:ascii="Arial" w:cs="Arial" w:eastAsia="Arial" w:hAnsi="Arial"/>
                <w:color w:val="2C3E50"/>
                <w:sz w:val="22"/>
                <w:szCs w:val="22"/>
              </w:rPr>
              <w:t xml:space="preserve">Questions? All strategic decisions route through Saud. Technical questions go to the developer lead. Content questions go to the content lead.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3A6B" w:sz="4" w:space="1"/>
      </w:pBdr>
      <w:spacing w:after="0" w:before="120"/>
      <w:jc w:val="center"/>
    </w:pPr>
    <w:r>
      <w:rPr>
        <w:rFonts w:ascii="Arial" w:cs="Arial" w:eastAsia="Arial" w:hAnsi="Arial"/>
        <w:color w:val="888888"/>
        <w:sz w:val="18"/>
        <w:szCs w:val="18"/>
      </w:rPr>
      <w:t xml:space="preserve">Confidential — Internal Use Only   |   Page </w:t>
    </w:r>
    <w:r>
      <w:rPr>
        <w:rFonts w:ascii="Arial" w:cs="Arial" w:eastAsia="Arial" w:hAnsi="Arial"/>
        <w:color w:val="888888"/>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6B" w:sz="6" w:space="1"/>
      </w:pBdr>
      <w:spacing w:after="160" w:before="0"/>
    </w:pPr>
    <w:r>
      <w:rPr>
        <w:rFonts w:ascii="Arial" w:cs="Arial" w:eastAsia="Arial" w:hAnsi="Arial"/>
        <w:b/>
        <w:bCs/>
        <w:color w:val="1B3A6B"/>
        <w:sz w:val="20"/>
        <w:szCs w:val="20"/>
      </w:rPr>
      <w:t xml:space="preserve">FINOVLY.COM</w:t>
    </w:r>
    <w:r>
      <w:rPr>
        <w:rFonts w:ascii="Arial" w:cs="Arial" w:eastAsia="Arial" w:hAnsi="Arial"/>
        <w:color w:val="888888"/>
        <w:sz w:val="18"/>
        <w:szCs w:val="18"/>
      </w:rPr>
      <w:t xml:space="preserve">   |   Website Transformation Report — Immigrant Finance Niche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6B"/>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86C1"/>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2026-06-18T00:24:27.924Z</dcterms:created>
  <dcterms:modified xsi:type="dcterms:W3CDTF">2026-06-18T00:24:27.924Z</dcterms:modified>
</cp:coreProperties>
</file>

<file path=docProps/custom.xml><?xml version="1.0" encoding="utf-8"?>
<Properties xmlns="http://schemas.openxmlformats.org/officeDocument/2006/custom-properties" xmlns:vt="http://schemas.openxmlformats.org/officeDocument/2006/docPropsVTypes"/>
</file>