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666666"/>
          <w:sz w:val="18"/>
          <w:szCs w:val="18"/>
        </w:rPr>
        <w:t xml:space="preserve">NABARD Hackathon @ Global FinTech Fest 2026 — Round 1 Idea Submission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D2A52"/>
          <w:sz w:val="56"/>
          <w:szCs w:val="56"/>
        </w:rPr>
        <w:t xml:space="preserve">DhanDrishti</w:t>
      </w:r>
      <w:r>
        <w:rPr>
          <w:rFonts w:ascii="Georgia" w:cs="Georgia" w:eastAsia="Georgia" w:hAnsi="Georgia"/>
          <w:color w:val="B8860B"/>
          <w:sz w:val="40"/>
          <w:szCs w:val="40"/>
        </w:rPr>
        <w:t xml:space="preserve">  धन-दृष्टि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222222"/>
          <w:sz w:val="26"/>
          <w:szCs w:val="26"/>
        </w:rPr>
        <w:t xml:space="preserve">Cash-flow foresight and early-warning intelligence for rural micro enterprises</w:t>
      </w:r>
    </w:p>
    <w:p>
      <w:pPr>
        <w:pBdr>
          <w:bottom w:val="single" w:color="B8860B" w:sz="8"/>
        </w:pBdr>
        <w:spacing w:after="240"/>
      </w:pPr>
      <w:r>
        <w:rPr>
          <w:color w:val="666666"/>
          <w:sz w:val="19"/>
          <w:szCs w:val="19"/>
        </w:rPr>
        <w:t xml:space="preserve">Theme: AI-Driven Cash Flow Prediction &amp; Risk Flagging System for Rural Micro Enterprises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DhanDrishti is an AI platform that gives lenders, NABARD field teams and rural entrepreneurs the same thing city CFOs take for granted: knowing what their cash position will look like three months from now. For every enrolled micro enterprise, it produces a probabilistic 12-week cash-flow forecast, a calibrated 0–100 risk score with discrete early-warning flags, plain-language bilingual (English/Hindi) reason codes explaining every alert, and a concrete recommended intervention for the field officer — weeks before a missed EMI would reveal the problem.</w:t>
      </w:r>
    </w:p>
    <w:p>
      <w:pPr>
        <w:spacing w:after="120" w:before="0"/>
      </w:pPr>
      <w:r>
        <w:rPr>
          <w:b w:val="false"/>
          <w:bCs w:val="false"/>
          <w:color w:val="222222"/>
          <w:sz w:val="21"/>
          <w:szCs w:val="21"/>
        </w:rPr>
        <w:t xml:space="preserve">We are not submitting only an idea: a working prototype already exists. On a realistic 200-enterprise simulated panel it forecasts weekly net cash flow 25% more accurately than a seasonal-naive baseline, detects engineered distress episodes with AUC 0.83, and raises its first alert a median of 3 weeks before the distress event — with every alert carrying human-readable reasons and a suggested action.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2. The problem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Only ~14% of India's 6.3 crore MSMEs have access to formal credit (Deloitte, 2025); the financing gap is ≥ ₹25 lakh crore and worst in rural districts (~32% vs ~20% urban).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Rural micro enterprises — kirana stores, dairy units, tailoring shops, agri-input dealers, food processors, handloom weavers — are credit-invisible: cash-heavy, seasonal, with no audited books and thin bureau files.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Lenders (RRBs, DCCBs, MFIs, SFBs) discover stress only after a missed instalment; field officers have no forward-looking tooling, so interventions come too late and NPAs crystallise.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Meanwhile the raw signal now exists at national scale — UPI (~21.7 billion transactions/month), the Account Aggregator framework (₹1.67 lakh crore disbursed on AA rails in FY25), open mandi price and weather feeds — but nobody has stitched it into enterprise-level cash-flow foresight for Bharat.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3. What DhanDrishti delivers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426"/>
      </w:tblGrid>
      <w:tr>
        <w:trPr>
          <w:tblHeader/>
        </w:trPr>
        <w:tc>
          <w:tcPr>
            <w:tcW w:type="dxa" w:w="3300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Output</w:t>
            </w:r>
          </w:p>
        </w:tc>
        <w:tc>
          <w:tcPr>
            <w:tcW w:type="dxa" w:w="3300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What it answers</w:t>
            </w:r>
          </w:p>
        </w:tc>
        <w:tc>
          <w:tcPr>
            <w:tcW w:type="dxa" w:w="2426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For whom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12-week probabilistic cash-flow forecast (P10/P50/P90, conformally calibrated)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“Will this enterprise face a liquidity crunch before Diwali?”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Lenders, field officers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Risk score (0–100) + early-warning flags (liquidity crunch ahead, EMI stress, buyer concentration, payment irregularity, seasonal dip, negative trend)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“Who in my portfolio needs attention this week — and why?”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Portfolio &amp; branch managers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Bilingual reason codes (TreeSHAP → curated English + Hindi templates)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“Explain this alert so I can act on it”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Field officers, BC sakhis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Recommended interventions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“What should I do — restructure the EMI, advance working capital, diversify buyers?”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Field officers, entrepreneurs</w:t>
            </w:r>
          </w:p>
        </w:tc>
      </w:tr>
    </w:tbl>
    <w:p>
      <w:pPr>
        <w:spacing w:after="60" w:before="0"/>
      </w:pPr>
      <w:r>
        <w:rPr>
          <w:color w:val="222222"/>
          <w:sz w:val="21"/>
          <w:szCs w:val="21"/>
        </w:rPr>
        <w:t xml:space="preserve"/>
      </w:r>
    </w:p>
    <w:p>
      <w:pPr>
        <w:spacing w:after="160" w:before="0"/>
      </w:pPr>
      <w:r>
        <w:rPr>
          <w:color w:val="222222"/>
          <w:sz w:val="21"/>
          <w:szCs w:val="21"/>
        </w:rPr>
        <w:t xml:space="preserve">Surfaces: a lender/field dashboard (offline-capable PWA, English/Hindi toggle), a scoring API for bank LOS/LMS integration via OCEN-style rails, and (roadmap) SMS/WhatsApp/IVR vernacular nudges directly to the entrepreneur.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4. How it works</w:t>
      </w:r>
    </w:p>
    <w:p>
      <w:pPr>
        <w:pStyle w:val="Heading2"/>
        <w:spacing w:after="120" w:before="260"/>
      </w:pPr>
      <w:r>
        <w:rPr>
          <w:b/>
          <w:bCs/>
          <w:color w:val="1D2A52"/>
          <w:sz w:val="23"/>
          <w:szCs w:val="23"/>
        </w:rPr>
        <w:t xml:space="preserve">4.1 Data strategy — consent-first, DPI-native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Source</w:t>
            </w:r>
          </w:p>
        </w:tc>
        <w:tc>
          <w:tcPr>
            <w:tcW w:type="dxa" w:w="4000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Signal</w:t>
            </w:r>
          </w:p>
        </w:tc>
        <w:tc>
          <w:tcPr>
            <w:tcW w:type="dxa" w:w="2426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Access rail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Bank / UPI statements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Inflow-outflow rhythm, counterparty diversity, balance trajectory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Account Aggregator (consented)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QR / UPI merchant payments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Daily revenue proxy, customer count, ticket size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PSP APIs / AA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SHG/JLG ledgers, Udyam registry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Group repayment history, enterprise vintage &amp; segment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NABARD / SHG federation MoUs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Mandi &amp; commodity prices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Input-cost and realisation trends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Agmarknet / eNAM open data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Weather &amp; crop calendar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Monsoon risk, harvest timing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IMD open data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Festival / event calendar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Demand seasonality</w:t>
            </w:r>
          </w:p>
        </w:tc>
        <w:tc>
          <w:tcPr>
            <w:tcW w:type="dxa" w:w="2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Curated</w:t>
            </w:r>
          </w:p>
        </w:tc>
      </w:tr>
    </w:tbl>
    <w:p>
      <w:pPr>
        <w:spacing w:after="60" w:before="0"/>
      </w:pPr>
      <w:r>
        <w:rPr>
          <w:color w:val="222222"/>
          <w:sz w:val="21"/>
          <w:szCs w:val="21"/>
        </w:rPr>
        <w:t xml:space="preserve"/>
      </w:r>
    </w:p>
    <w:p>
      <w:pPr>
        <w:spacing w:after="160" w:before="0"/>
      </w:pPr>
      <w:r>
        <w:rPr>
          <w:color w:val="222222"/>
          <w:sz w:val="21"/>
          <w:szCs w:val="21"/>
        </w:rPr>
        <w:t xml:space="preserve">No Aadhaar numbers, no location tracking, no social-media scraping. Consent artefacts are logged per the AA framework; features are pseudonymous — aligned with the DPDP Act from day one. Cold start is handled with segment-level seasonality priors that refine as history accrues.</w:t>
      </w:r>
    </w:p>
    <w:p>
      <w:pPr>
        <w:pStyle w:val="Heading2"/>
        <w:spacing w:after="120" w:before="260"/>
      </w:pPr>
      <w:r>
        <w:rPr>
          <w:b/>
          <w:bCs/>
          <w:color w:val="1D2A52"/>
          <w:sz w:val="23"/>
          <w:szCs w:val="23"/>
        </w:rPr>
        <w:t xml:space="preserve">4.2 AI engine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Probabilistic forecaster: gradient-boosted quantile regression (P10/P50/P90) over ~28 engineered weekly features, direct multi-horizon to 12 weeks, conformalized on a temporal holdout so the 80% band actually covers 80%.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Early-warning classifier: gradient-boosted model predicting distress within 8 weeks, with domain monotonicity constraints (risk can only rise as runway falls, as EMI burden rises, as volatility rises …) and Platt calibration — smooth, defensible probabilities, not black-box spikes.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Explainability as a feature: TreeSHAP attributions are mapped to a curated vocabulary of ~10 reason codes rendered from bilingual templates — e.g. “Revenue is down ~58% vs the same season last year” / “आय पिछले वर्ष की इसी अवधि से लगभग 58% कम है”.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Rules overlay: transparent domain rules (stress-path balance projection, EMI-to-inflow, segment-relative concentration and volatility) generate discrete flags; the final score blends model probability with rule severity so the score and the flags can never contradict each other.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Segment-aware by design: six enterprise archetypes (kirana, dairy, tailoring, agri-inputs, food processing, handloom) with distinct seasonality priors — a dairy unit's single-cooperative concentration is normal; a kirana store's is not.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5. Already built: working prototype and measured results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We built the full pipeline — synthetic-but-realistic data generator (200 enterprises × 104 weeks with harvest/festival/monsoon seasonality, UPI adoption drift, owner household draws, and ground-truth distress episodes), feature store, both models, and an offline-capable bilingual dashboard (FastAPI + zero-dependency SVG frontend; runs on a laptop, deployable on-prem at an RRB).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rPr>
          <w:tblHeader/>
        </w:trPr>
        <w:tc>
          <w:tcPr>
            <w:tcW w:type="dxa" w:w="5800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Metric (temporal holdout)</w:t>
            </w:r>
          </w:p>
        </w:tc>
        <w:tc>
          <w:tcPr>
            <w:tcW w:type="dxa" w:w="3226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Forecast MAE vs seasonal-naive baseline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−25% (skill 0.25)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P10–P90 band coverage after conformal calibration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80% (nominal 80%)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Early-warning AUC / average precision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0.83 / 0.51 (13× lift over 3.9% base rate)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Median warning lead time before distress event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3 weeks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Portfolio triage on demo panel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10 HIGH · 4 WATCH of 200 — every top-10 alert corresponds to a genuine engineered distress ramp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191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color w:val="666666"/>
          <w:sz w:val="17"/>
          <w:szCs w:val="17"/>
        </w:rPr>
        <w:t xml:space="preserve">The working dashboard drill-down: calibrated risk dial, early-warning flags with recommended actions, SMS-nudge and printable field-brief tools, bilingual (EN/हिंदी) throughout — fully offline-capable.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color w:val="666666"/>
          <w:sz w:val="17"/>
          <w:szCs w:val="17"/>
        </w:rPr>
        <w:t xml:space="preserve">Actual prototype output: projected balance with conformal stress path — flagged 9 weeks before the projected ₹0 crossing, with a concrete recommended action.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color w:val="666666"/>
          <w:sz w:val="17"/>
          <w:szCs w:val="17"/>
        </w:rPr>
        <w:t xml:space="preserve">Actual prototype output: 12-week probabilistic net cash-flow forecast for the same enterprise.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6. Why this is different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Probabilistic, not point estimates: lending decisions ride on the stress path (P10), not an average that hides tail risk — and the bands are honest (conformalized).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Explainable in the field officer's language: every alert ships with Hindi/English reason codes and one recommended action — adoption lives or dies on this, and it anticipates RBI's digital-lending transparency expectations.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Score and flags can never disagree: a noisy-OR blend of calibrated model probability and transparent rules — auditors and field staff see the same story.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Low-network by design: offline-capable PWA, zero external assets, CPU-only models (LightGBM) that run on-prem at an RRB data centre; SMS fallback on the roadmap.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DPI-native: designed around Account Aggregator consent, OCEN-style APIs, Agmarknet/IMD open data — no proprietary data moats, which is exactly what makes it deployable by public institutions.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7. Feasibility and deployment path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The stack is deliberately boring where it should be: Python, LightGBM, FastAPI — no GPUs, no exotic infrastructure. A district pilot needs one server (or a NABARD/partner-bank VM), AA consent journeys for enrolled enterprises, and field-officer onboarding. The models retrain weekly in minutes on CPU. Because the entire demo runs offline on synthetic data, the same artefact doubles as a training simulator for field staff.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8. Impact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For lenders: earlier intervention → lower slippage and NPAs on micro-enterprise books; a defensible, explainable basis for cash-flow-based lending to the credit-invisible.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For entrepreneurs: a bankable, consent-based cash-flow record — the on-ramp from informal moneylenders to formal working capital; vernacular nudges that help them plan for lean seasons.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22222"/>
          <w:sz w:val="21"/>
          <w:szCs w:val="21"/>
        </w:rPr>
        <w:t xml:space="preserve">For NABARD: portfolio-level early-warning heatmaps across districts and segments; evidence for policy design; a reusable public-good scoring rail for RRBs, DCCBs and SHG federations.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9.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Phase</w:t>
            </w:r>
          </w:p>
        </w:tc>
        <w:tc>
          <w:tcPr>
            <w:tcW w:type="dxa" w:w="6426"/>
            <w:shd w:fill="EE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D2A52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Prototype (done)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Full pipeline on simulated panel: forecaster + early-warning + bilingual explainability + dashboard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Round 2 (Jul–Aug 2026)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Hardening, live AA-sandbox integration demo, SMS nudge prototype, demo video and deployment guide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Pilot (post-GFF)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One district, one RRB/DCCB partner, 500–1,000 consented enterprises; measure lead time, intervention uptake, repayment outcomes vs control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Scale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222222"/>
                <w:sz w:val="19"/>
                <w:szCs w:val="19"/>
              </w:rPr>
              <w:t xml:space="preserve">State roll-out via NABARD ecosystem; OCEN-integrated scoring API; multilingual expansion (Marathi, Telugu, Bangla …)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10. Technology stack</w:t>
      </w:r>
    </w:p>
    <w:p>
      <w:pPr>
        <w:spacing w:after="120" w:before="0"/>
      </w:pPr>
      <w:r>
        <w:rPr>
          <w:color w:val="222222"/>
          <w:sz w:val="21"/>
          <w:szCs w:val="21"/>
        </w:rPr>
        <w:t xml:space="preserve">Python 3.10 · LightGBM (quantile + monotone-constrained classifiers) · scikit-learn (calibration) · TreeSHAP · conformal prediction · FastAPI · zero-dependency SVG dashboard (PWA-ready, EN/HI) · Account Aggregator &amp; OCEN-style APIs (integration path) · Agmarknet / eNAM / IMD open data. Optional GenAI layer (LLM) for free-form vernacular advisory over structured outputs — roadmap, not a dependency.</w:t>
      </w:r>
    </w:p>
    <w:p>
      <w:pPr>
        <w:pStyle w:val="Heading1"/>
        <w:spacing w:after="120" w:before="260"/>
      </w:pPr>
      <w:r>
        <w:rPr>
          <w:b/>
          <w:bCs/>
          <w:color w:val="1D2A52"/>
          <w:sz w:val="26"/>
          <w:szCs w:val="26"/>
        </w:rPr>
        <w:t xml:space="preserve">11. Team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«Team name» — «member 1, role» · «member 2, role» · «member 3, role»  |  Contact: «email / phone»</w:t>
      </w:r>
    </w:p>
    <w:p>
      <w:pPr>
        <w:spacing w:after="120" w:before="200"/>
      </w:pPr>
      <w:r>
        <w:rPr>
          <w:color w:val="666666"/>
          <w:sz w:val="17"/>
          <w:szCs w:val="17"/>
        </w:rPr>
        <w:t xml:space="preserve">Note: all data in this submission is synthetic; no real enterprise or personal data was used. The prototype avoids sensitive personal information by design and supports low-network environments.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e9adf41efb9c29e6f1ffb3b733ab3deba83bce.png"/><Relationship Id="rId8" Type="http://schemas.openxmlformats.org/officeDocument/2006/relationships/image" Target="media/642e04ec4da5767eb82ef8246028b705f3f0fa88.png"/><Relationship Id="rId9" Type="http://schemas.openxmlformats.org/officeDocument/2006/relationships/image" Target="media/b5a90f0cf01ba01f81819be860fa2658ce4840f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2026-07-16T16:52:04.393Z</dcterms:created>
  <dcterms:modified xsi:type="dcterms:W3CDTF">2026-07-16T16:52:04.394Z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