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144C6" w14:textId="1A542D81" w:rsidR="000C1869" w:rsidRDefault="00DD1480">
      <w:r w:rsidRPr="00DD1480">
        <w:t xml:space="preserve">Part E — Business Insights Finding 1 — Everyday customers drive the largest share of transaction activity Finding: The Everyday customer segment generates the highest transaction activity and overall transaction value among the four customer segments. Evidence: • Everyday: 5,644 transactions • Total transaction value: ₦261.46 million • Average transaction value: ₦46,325 • Premium: 2,361 transactions and ₦107.75 million • Student: 2,289 transactions and ₦107.48 million • SME: 1,706 transactions and ₦83.79 million Business Meaning: The Everyday segment is an important contributor to </w:t>
      </w:r>
      <w:proofErr w:type="spellStart"/>
      <w:r w:rsidRPr="00DD1480">
        <w:t>FinTrust's</w:t>
      </w:r>
      <w:proofErr w:type="spellEnd"/>
      <w:r w:rsidRPr="00DD1480">
        <w:t xml:space="preserve"> overall transaction activity. Its high transaction volume means that changes in the behaviour or engagement of this customer group could have a noticeable effect on overall transaction performance. </w:t>
      </w:r>
      <w:proofErr w:type="spellStart"/>
      <w:r w:rsidRPr="00DD1480">
        <w:t>FinTrust</w:t>
      </w:r>
      <w:proofErr w:type="spellEnd"/>
      <w:r w:rsidRPr="00DD1480">
        <w:t xml:space="preserve"> should therefore closely monitor this segment when evaluating customer activity and transaction trends. Finding 2 — SME customers have the highest average transaction value Finding: Although SME customers have the lowest transaction volume among the four segments, they have the highest average transaction value. Evidence: Segment Average Transaction Value SME ₦49,115.69 Student ₦46,953.20 Everyday ₦46,325.11 Premium ₦45,637.95 Business Meaning: This shows that transaction volume does not necessarily indicate the value of individual transactions. SME customers conduct fewer transactions, but each transaction is worth more on average. This could make the SME segment important when </w:t>
      </w:r>
      <w:proofErr w:type="spellStart"/>
      <w:r w:rsidRPr="00DD1480">
        <w:t>FinTrust</w:t>
      </w:r>
      <w:proofErr w:type="spellEnd"/>
      <w:r w:rsidRPr="00DD1480">
        <w:t xml:space="preserve"> evaluates transaction value and customer behaviour separately from transaction frequency. Finding 3 — Mobile App is the dominant transaction channel Finding: The Mobile App is the most frequently used transaction channel </w:t>
      </w:r>
      <w:proofErr w:type="gramStart"/>
      <w:r w:rsidRPr="00DD1480">
        <w:t>and also</w:t>
      </w:r>
      <w:proofErr w:type="gramEnd"/>
      <w:r w:rsidRPr="00DD1480">
        <w:t xml:space="preserve"> generates the highest total transaction value. Evidence: • Mobile App: 5,102 transactions • Total value: approximately ₦240.1 million • POS: 2,393 transactions • Web: 1,869 transactions • ATM: 1,747 transactions • USSD: 889 transactions The Mobile App accounts for approximately 42.5% of the 12,000 transactions. Business Meaning: The Mobile App is a major point of customer interaction with </w:t>
      </w:r>
      <w:proofErr w:type="spellStart"/>
      <w:r w:rsidRPr="00DD1480">
        <w:t>FinTrust</w:t>
      </w:r>
      <w:proofErr w:type="spellEnd"/>
      <w:r w:rsidRPr="00DD1480">
        <w:t xml:space="preserve">. Its high transaction volume and value indicate that digital mobile activity is an important part of the bank's transaction ecosystem. Understanding customer behaviour and transaction performance on this channel can therefore provide useful information about overall customer activity. Finding 4 — Most transactions are successful, but a meaningful proportion require further investigation Finding: </w:t>
      </w:r>
      <w:proofErr w:type="gramStart"/>
      <w:r w:rsidRPr="00DD1480">
        <w:t>The majority of</w:t>
      </w:r>
      <w:proofErr w:type="gramEnd"/>
      <w:r w:rsidRPr="00DD1480">
        <w:t xml:space="preserve"> transactions are completed successfully, but 9.5% fall into failed, reversed or pending categories. Evidence: Transaction Status Percentage Successful Failed Reversed Pending Business Meaning: 90.5% 5.2% 2.7% 1.6% The high successful transaction rate indicates that most recorded transactions reach a successful status. However, the remaining 9.5% represent transactions that were failed, reversed or pending. Understanding where these outcomes occur—for example, by transaction type, channel or customer segment—could help </w:t>
      </w:r>
      <w:proofErr w:type="spellStart"/>
      <w:r w:rsidRPr="00DD1480">
        <w:t>FinTrust</w:t>
      </w:r>
      <w:proofErr w:type="spellEnd"/>
      <w:r w:rsidRPr="00DD1480">
        <w:t xml:space="preserve"> better understand transaction performance and potential service issues. Finding 5 — Risk-reviewed transactions represent a substantial financial value Finding: Almost one in five transactions are flagged for risk review, and these transactions represent a significant amount of transaction value. Evidence: • Not flagged: 9,648 transactions (80.4%) • Risk flagged: 2,352 transactions (19.6%) • Value of flagged transactions: ₦161.78 million • Value of non-flagged transactions: ₦398.69 million Business Meaning: Risk-reviewed transactions account for nearly 20% of transaction volume, making risk-related activity an important component of </w:t>
      </w:r>
      <w:proofErr w:type="spellStart"/>
      <w:r w:rsidRPr="00DD1480">
        <w:t>FinTrust's</w:t>
      </w:r>
      <w:proofErr w:type="spellEnd"/>
      <w:r w:rsidRPr="00DD1480">
        <w:t xml:space="preserve"> transaction data. The ₦161.78 million associated with flagged transactions also shows that the pattern is financially significant. Further analysis by transaction type, channel, customer segment and international status could help </w:t>
      </w:r>
      <w:proofErr w:type="spellStart"/>
      <w:r w:rsidRPr="00DD1480">
        <w:t>FinTrust</w:t>
      </w:r>
      <w:proofErr w:type="spellEnd"/>
      <w:r w:rsidRPr="00DD1480">
        <w:t xml:space="preserve"> understand the characteristics of transactions that receive risk reviews. Finding 6 — Transfers and card purchases dominate transaction activity Finding: Transfers and card </w:t>
      </w:r>
      <w:proofErr w:type="gramStart"/>
      <w:r w:rsidRPr="00DD1480">
        <w:t>purchases</w:t>
      </w:r>
      <w:proofErr w:type="gramEnd"/>
      <w:r w:rsidRPr="00DD1480">
        <w:t xml:space="preserve"> account for the largest transaction volumes in the dataset. Evidence: Transaction Type Transactions Transfer Card Purchase Bill Payment 3,549 3,033 1,475 Cash Withdrawal 1,430 Deposit Airtime/Data 1,328 1,185 Transfers represent approximately 29.6% of all transactions, while card purchases represent approximately 25.3%. Business Meaning: Transfers and card </w:t>
      </w:r>
      <w:proofErr w:type="gramStart"/>
      <w:r w:rsidRPr="00DD1480">
        <w:t>purchases</w:t>
      </w:r>
      <w:proofErr w:type="gramEnd"/>
      <w:r w:rsidRPr="00DD1480">
        <w:t xml:space="preserve"> together account for more than half of all recorded transactions. This indicates that </w:t>
      </w:r>
      <w:r w:rsidRPr="00DD1480">
        <w:lastRenderedPageBreak/>
        <w:t xml:space="preserve">these transaction types are central to customer activity within the dataset. Analysing their transaction values, success rates and risk-review patterns could provide </w:t>
      </w:r>
      <w:proofErr w:type="spellStart"/>
      <w:r w:rsidRPr="00DD1480">
        <w:t>FinTrust</w:t>
      </w:r>
      <w:proofErr w:type="spellEnd"/>
      <w:r w:rsidRPr="00DD1480">
        <w:t xml:space="preserve"> with a clearer understanding of its major transaction activities.</w:t>
      </w:r>
    </w:p>
    <w:p w14:paraId="5B9B6AC5" w14:textId="77777777" w:rsidR="00DD1480" w:rsidRDefault="00DD1480"/>
    <w:p w14:paraId="04B21B25" w14:textId="71C31E83" w:rsidR="00DD1480" w:rsidRDefault="00DD1480">
      <w:r>
        <w:t>Business Findings Validation</w:t>
      </w:r>
    </w:p>
    <w:p w14:paraId="0BBDB11B" w14:textId="143BE345" w:rsidR="00DD1480" w:rsidRDefault="00DD1480">
      <w:r w:rsidRPr="00DD1480">
        <w:t>Overall, the Week 3 analysis validated the major findings identified in Week 2. Everyday customers continued to generate the highest transaction volume and total value, while SME customers recorded the highest average transaction value. The Mobile App remained the dominant transaction channel, although it had the lowest channel success rate. The analysis also revealed a substantially higher risk-review rate for international transactions compared with domestic transactions. These additional analyses strengthened the original findings and provided more detailed evidence for management decision-making.</w:t>
      </w:r>
    </w:p>
    <w:sectPr w:rsidR="00DD1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480"/>
    <w:rsid w:val="000C1869"/>
    <w:rsid w:val="0046632B"/>
    <w:rsid w:val="007E0813"/>
    <w:rsid w:val="00B15E13"/>
    <w:rsid w:val="00DD14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5ABE9"/>
  <w15:chartTrackingRefBased/>
  <w15:docId w15:val="{F99E873C-506E-4C80-A172-13A618AD8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4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14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14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14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4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4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14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14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14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4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480"/>
    <w:rPr>
      <w:rFonts w:eastAsiaTheme="majorEastAsia" w:cstheme="majorBidi"/>
      <w:color w:val="272727" w:themeColor="text1" w:themeTint="D8"/>
    </w:rPr>
  </w:style>
  <w:style w:type="paragraph" w:styleId="Title">
    <w:name w:val="Title"/>
    <w:basedOn w:val="Normal"/>
    <w:next w:val="Normal"/>
    <w:link w:val="TitleChar"/>
    <w:uiPriority w:val="10"/>
    <w:qFormat/>
    <w:rsid w:val="00DD1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480"/>
    <w:pPr>
      <w:spacing w:before="160"/>
      <w:jc w:val="center"/>
    </w:pPr>
    <w:rPr>
      <w:i/>
      <w:iCs/>
      <w:color w:val="404040" w:themeColor="text1" w:themeTint="BF"/>
    </w:rPr>
  </w:style>
  <w:style w:type="character" w:customStyle="1" w:styleId="QuoteChar">
    <w:name w:val="Quote Char"/>
    <w:basedOn w:val="DefaultParagraphFont"/>
    <w:link w:val="Quote"/>
    <w:uiPriority w:val="29"/>
    <w:rsid w:val="00DD1480"/>
    <w:rPr>
      <w:i/>
      <w:iCs/>
      <w:color w:val="404040" w:themeColor="text1" w:themeTint="BF"/>
    </w:rPr>
  </w:style>
  <w:style w:type="paragraph" w:styleId="ListParagraph">
    <w:name w:val="List Paragraph"/>
    <w:basedOn w:val="Normal"/>
    <w:uiPriority w:val="34"/>
    <w:qFormat/>
    <w:rsid w:val="00DD1480"/>
    <w:pPr>
      <w:ind w:left="720"/>
      <w:contextualSpacing/>
    </w:pPr>
  </w:style>
  <w:style w:type="character" w:styleId="IntenseEmphasis">
    <w:name w:val="Intense Emphasis"/>
    <w:basedOn w:val="DefaultParagraphFont"/>
    <w:uiPriority w:val="21"/>
    <w:qFormat/>
    <w:rsid w:val="00DD1480"/>
    <w:rPr>
      <w:i/>
      <w:iCs/>
      <w:color w:val="2F5496" w:themeColor="accent1" w:themeShade="BF"/>
    </w:rPr>
  </w:style>
  <w:style w:type="paragraph" w:styleId="IntenseQuote">
    <w:name w:val="Intense Quote"/>
    <w:basedOn w:val="Normal"/>
    <w:next w:val="Normal"/>
    <w:link w:val="IntenseQuoteChar"/>
    <w:uiPriority w:val="30"/>
    <w:qFormat/>
    <w:rsid w:val="00DD14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480"/>
    <w:rPr>
      <w:i/>
      <w:iCs/>
      <w:color w:val="2F5496" w:themeColor="accent1" w:themeShade="BF"/>
    </w:rPr>
  </w:style>
  <w:style w:type="character" w:styleId="IntenseReference">
    <w:name w:val="Intense Reference"/>
    <w:basedOn w:val="DefaultParagraphFont"/>
    <w:uiPriority w:val="32"/>
    <w:qFormat/>
    <w:rsid w:val="00DD14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819</Words>
  <Characters>4671</Characters>
  <Application>Microsoft Office Word</Application>
  <DocSecurity>0</DocSecurity>
  <Lines>38</Lines>
  <Paragraphs>10</Paragraphs>
  <ScaleCrop>false</ScaleCrop>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SAUDAT BADA-AKANDE</dc:creator>
  <cp:keywords/>
  <dc:description/>
  <cp:lastModifiedBy>SAUDAT BADA-AKANDE</cp:lastModifiedBy>
  <cp:revision>2</cp:revision>
  <dcterms:created xsi:type="dcterms:W3CDTF">2026-10-04T12:59:00Z</dcterms:created>
  <dcterms:modified xsi:type="dcterms:W3CDTF">2026-10-04T12:59:00Z</dcterms:modified>
</cp:coreProperties>
</file>