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Arial" w:hAnsi="Arial" w:cs="Arial"/>
          <w:b/>
          <w:i w:val="0"/>
          <w:color w:val="000000"/>
          <w:sz w:val="24"/>
        </w:rPr>
        <w:t>JOÃO PEDRO ANTUNES LACERDA</w:t>
      </w:r>
    </w:p>
    <w:p>
      <w:pPr>
        <w:spacing w:before="0" w:after="3960" w:line="360" w:lineRule="auto"/>
        <w:jc w:val="center"/>
      </w:pPr>
      <w:r>
        <w:rPr>
          <w:rFonts w:ascii="Arial" w:hAnsi="Arial" w:cs="Arial"/>
          <w:b/>
          <w:i w:val="0"/>
          <w:color w:val="000000"/>
          <w:sz w:val="24"/>
        </w:rPr>
        <w:t>MATHEUS MATIAS CARVALHO DOS SANTOS</w:t>
      </w:r>
    </w:p>
    <w:p>
      <w:pPr>
        <w:spacing w:before="0" w:after="0" w:line="360" w:lineRule="auto"/>
        <w:jc w:val="center"/>
      </w:pPr>
      <w:r>
        <w:rPr>
          <w:rFonts w:ascii="Arial" w:hAnsi="Arial" w:cs="Arial"/>
          <w:b/>
          <w:i w:val="0"/>
          <w:color w:val="000000"/>
          <w:sz w:val="24"/>
        </w:rPr>
        <w:t>SAÚDE NA MÃO</w:t>
      </w:r>
    </w:p>
    <w:p>
      <w:pPr>
        <w:spacing w:before="0" w:after="0" w:line="360" w:lineRule="auto"/>
        <w:jc w:val="center"/>
      </w:pPr>
      <w:r>
        <w:rPr>
          <w:rFonts w:ascii="Arial" w:hAnsi="Arial" w:cs="Arial"/>
          <w:b/>
          <w:i w:val="0"/>
          <w:color w:val="000000"/>
          <w:sz w:val="24"/>
        </w:rPr>
        <w:t>DIAGRAMA ENTIDADE-RELACIONAMENTO E MODELO LÓGICO DO BANCO</w:t>
      </w:r>
    </w:p>
    <w:p>
      <w:pPr>
        <w:spacing w:before="0" w:after="5100" w:line="360" w:lineRule="auto"/>
        <w:jc w:val="center"/>
      </w:pPr>
      <w:r>
        <w:rPr>
          <w:rFonts w:ascii="Arial" w:hAnsi="Arial" w:cs="Arial"/>
          <w:b w:val="0"/>
          <w:i w:val="0"/>
          <w:color w:val="000000"/>
          <w:sz w:val="24"/>
        </w:rPr>
        <w:t>Modelagem de dados do sistema web para compra, validação, entrega e acompanhamento de medicamentos.</w:t>
      </w:r>
    </w:p>
    <w:p>
      <w:pPr>
        <w:spacing w:before="0" w:after="0" w:line="360" w:lineRule="auto"/>
        <w:jc w:val="center"/>
      </w:pPr>
      <w:r>
        <w:rPr>
          <w:rFonts w:ascii="Arial" w:hAnsi="Arial" w:cs="Arial"/>
          <w:b w:val="0"/>
          <w:i w:val="0"/>
          <w:color w:val="000000"/>
          <w:sz w:val="24"/>
        </w:rPr>
        <w:t>BRASIL</w:t>
      </w:r>
    </w:p>
    <w:p>
      <w:pPr>
        <w:spacing w:before="0" w:after="0" w:line="360" w:lineRule="auto"/>
        <w:jc w:val="center"/>
      </w:pPr>
      <w:r>
        <w:rPr>
          <w:rFonts w:ascii="Arial" w:hAnsi="Arial" w:cs="Arial"/>
          <w:b w:val="0"/>
          <w:i w:val="0"/>
          <w:color w:val="000000"/>
          <w:sz w:val="24"/>
        </w:rPr>
        <w:t>2026</w:t>
      </w:r>
    </w:p>
    <w:p>
      <w:r>
        <w:br w:type="page"/>
      </w:r>
    </w:p>
    <w:p>
      <w:pPr>
        <w:spacing w:before="0" w:after="240" w:line="360" w:lineRule="auto"/>
        <w:jc w:val="center"/>
      </w:pPr>
      <w:r>
        <w:rPr>
          <w:rFonts w:ascii="Arial" w:hAnsi="Arial" w:cs="Arial"/>
          <w:b/>
          <w:i w:val="0"/>
          <w:color w:val="000000"/>
          <w:sz w:val="24"/>
        </w:rPr>
        <w:t>DIAGRAMA ENTIDADE-RELACIONAMENTO E MODELO LÓGICO DO BANCO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Este documento apresenta o Diagrama Entidade-Relacionamento conceitual e o modelo lógico do banco de dados do projeto Saúde na Mão. Como a implementação atual utiliza MongoDB com Mongoose, o modelo lógico é descrito em termos de coleções, documentos, subdocumentos, referências ObjectId, índices e restrições de schema.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381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Campo</w:t>
            </w:r>
          </w:p>
        </w:tc>
        <w:tc>
          <w:tcPr>
            <w:tcW w:type="dxa" w:w="6689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20"/>
              </w:rPr>
              <w:t>Informação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Projeto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Saúde na Mão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Documento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Diagrama Entidade-Relacionamento + Modelo Lógico do Banco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Versão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1.0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Data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10/06/2026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Autores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João Pedro Antunes Lacerda; Matheus Matias Carvalho dos Santos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Professor acompanhando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Generoso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Banco atual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MongoDB com Mongoose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Arquivo do diagrama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20"/>
              </w:rPr>
              <w:t>04_DER_Diagrama_Entidade_Relacionamento.drawio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1. Objetivo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O objetivo desta modelagem é registrar as entidades persistidas do sistema, seus relacionamentos lógicos, as coleções utilizadas pelo MongoDB e as principais regras de integridade aplicadas pelos schemas Mongoose.</w:t>
      </w: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2. Observação sobre o tipo de banco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Embora o termo DER seja tradicionalmente associado a bancos relacionais, este projeto usa MongoDB. Assim, o DER representa a visão conceitual das entidades do domínio e suas cardinalidades, enquanto o modelo lógico descreve a implementação documental: coleções, referências ObjectId e arrays/subdocumentos embutidos.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Entidades com vida própria foram modeladas como coleções.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Dados fortemente dependentes do documento pai foram modelados como subdocumentos embutidos.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Relacionamentos entre agregados principais usam ObjectId com ref Mongoose.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Algumas relações N:M são representadas por arrays de subdocumentos com referências, como itens do carrinho, itens do pedido e uso de cupons.</w:t>
      </w: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3. Diagrama Entidade-Relacionamento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O diagrama editável foi gerado no formato Draw.io e está salvo em documentos/04_DER_Diagrama_Entidade_Relacionamento.drawio. Ele contém as entidades principais, suas coleções, campos-chave e cardinalidades lógicas.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381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Elemento</w:t>
            </w:r>
          </w:p>
        </w:tc>
        <w:tc>
          <w:tcPr>
            <w:tcW w:type="dxa" w:w="6689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Entidades principais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User, Pharmacy, Product, Cart, Order, Payment, Delivery, Prescription, Review, SupportMessage e AuditLog.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Entidades de apoio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MedicineCatalog, Coupon, Address, Pharmacist, FraudAlert, MedicineTracking, ReceitaDigital, PrescriptionUseLog, FAQ, DrugInteraction e DrugContraindication.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Chave primária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Todas as coleções principais usam _id ObjectId como identificador primário.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Chaves estrangeiras lógicas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Representadas por campos ObjectId com ref, como id_usuario, id_farmacia, id_pedido, id_produto e id_receita.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Subdocumentos</w:t>
            </w:r>
          </w:p>
        </w:tc>
        <w:tc>
          <w:tcPr>
            <w:tcW w:type="dxa" w:w="6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Representam itens, históricos, mensagens, etapas e listas dependentes do documento pai.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4. Entidades e relacionamentos principais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43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7"/>
              </w:rPr>
              <w:t>Origem</w:t>
            </w:r>
          </w:p>
        </w:tc>
        <w:tc>
          <w:tcPr>
            <w:tcW w:type="dxa" w:w="243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7"/>
              </w:rPr>
              <w:t>Destino</w:t>
            </w:r>
          </w:p>
        </w:tc>
        <w:tc>
          <w:tcPr>
            <w:tcW w:type="dxa" w:w="4195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7"/>
              </w:rPr>
              <w:t>Cardinalidade / Observação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User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Address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1:N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User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Cart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1:0..1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User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Order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1:N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User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Prescription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1:N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User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Review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1:N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User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SupportMessage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1:N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User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AuditLog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1:N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User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FraudAlert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1:N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User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Pharmacist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1:0..1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User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Pharmacy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1:N dono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Pharmacy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Product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1:N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Pharmacy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Order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1:N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Pharmacy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Delivery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1:N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Pharmacy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Review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1:N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Pharmacy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SupportMessage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1:N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Pharmacy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Pharmacist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1:N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MedicineCatalog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Product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1:N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Cart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Product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N:M itens[]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Cart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Prescription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N:0..N itens[]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Order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Product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N:M itens[]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Order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Prescription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N:0..N itens[]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Order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Payment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1:0..1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Order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Delivery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1:0..1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Order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PrescriptionUseLog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1:N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Prescription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PrescriptionUseLog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1:N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Prescription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ReceitaDigital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1:0..1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Product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MedicineTracking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1:N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Pharmacy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MedicineTracking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1:N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User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MedicineTracking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1:N cliente/farmaceutico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User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Delivery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1:N cliente/entregador</w:t>
            </w:r>
          </w:p>
        </w:tc>
      </w:tr>
      <w:tr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Coupon</w:t>
            </w:r>
          </w:p>
        </w:tc>
        <w:tc>
          <w:tcPr>
            <w:tcW w:type="dxa" w:w="24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User</w:t>
            </w:r>
          </w:p>
        </w:tc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7"/>
              </w:rPr>
              <w:t>N:M usuarios_utilizaram[]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5. Modelo lógico por coleção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A tabela a seguir descreve as coleções do MongoDB e seus principais atributos lógicos.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41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5"/>
              </w:rPr>
              <w:t>Coleção</w:t>
            </w:r>
          </w:p>
        </w:tc>
        <w:tc>
          <w:tcPr>
            <w:tcW w:type="dxa" w:w="1474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5"/>
              </w:rPr>
              <w:t>Model</w:t>
            </w:r>
          </w:p>
        </w:tc>
        <w:tc>
          <w:tcPr>
            <w:tcW w:type="dxa" w:w="1814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5"/>
              </w:rPr>
              <w:t>Finalidade</w:t>
            </w:r>
          </w:p>
        </w:tc>
        <w:tc>
          <w:tcPr>
            <w:tcW w:type="dxa" w:w="79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5"/>
              </w:rPr>
              <w:t>PK</w:t>
            </w:r>
          </w:p>
        </w:tc>
        <w:tc>
          <w:tcPr>
            <w:tcW w:type="dxa" w:w="2381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5"/>
              </w:rPr>
              <w:t>Campos/restrições principais</w:t>
            </w:r>
          </w:p>
        </w:tc>
        <w:tc>
          <w:tcPr>
            <w:tcW w:type="dxa" w:w="1190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5"/>
              </w:rPr>
              <w:t>Referências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users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User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Usuários e autenticação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_id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email único; cpf único quando informado; role/tipo_usuario; dados_embutidos por perfil</w:t>
            </w:r>
          </w:p>
        </w:tc>
        <w:tc>
          <w:tcPr>
            <w:tcW w:type="dxa" w:w="11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Address, Cart, Order, Prescription, Pharmacy, Pharmacist, Delivery, Review, SupportMessage, AuditLog, FraudAlert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addresses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Address/Adress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Endereços do usuário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_id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id_usuario obrigatório; CEP com 8 dígitos; apenas um endereço padrão por usuário via pre-save</w:t>
            </w:r>
          </w:p>
        </w:tc>
        <w:tc>
          <w:tcPr>
            <w:tcW w:type="dxa" w:w="11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User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pharmacies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Pharmacy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Farmácias e dados de conformidade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_id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cnpj único; endereço obrigatório; id_dono opcional; índice 2dsphere em location</w:t>
            </w:r>
          </w:p>
        </w:tc>
        <w:tc>
          <w:tcPr>
            <w:tcW w:type="dxa" w:w="11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User, Product, Order, Delivery, Review, Pharmacist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pharmacists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Pharmacist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Cadastro operacional de farmacêuticos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_id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email e crm únicos; id_farmacia obrigatório; status e métricas de atendimento</w:t>
            </w:r>
          </w:p>
        </w:tc>
        <w:tc>
          <w:tcPr>
            <w:tcW w:type="dxa" w:w="11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User, Pharmacy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products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Product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Produtos e medicamentos vendidos por farmácia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_id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id_farmacia obrigatório; preço/estoque não negativos; índice textual; classificação de receita</w:t>
            </w:r>
          </w:p>
        </w:tc>
        <w:tc>
          <w:tcPr>
            <w:tcW w:type="dxa" w:w="11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Pharmacy, MedicineCatalog, Cart, Order, Prescription, MedicineTracking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medicinecatalogs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MedicineCatalog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Catálogo base de medicamentos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_id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classificacao_receita obrigatória; índice textual por nome/princípio ativo/categoria</w:t>
            </w:r>
          </w:p>
        </w:tc>
        <w:tc>
          <w:tcPr>
            <w:tcW w:type="dxa" w:w="11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Product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carts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Cart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Carrinho ativo por usuário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_id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id_usuario único; itens embutidos; todos os itens devem pertencer à mesma farmácia; expiração de 48h</w:t>
            </w:r>
          </w:p>
        </w:tc>
        <w:tc>
          <w:tcPr>
            <w:tcW w:type="dxa" w:w="11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User, Product, Pharmacy, Address, Prescription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orders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Order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Pedidos de compra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_id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id_usuario e id_farmacia obrigatórios; itens embutidos; enum de status; histórico embutido</w:t>
            </w:r>
          </w:p>
        </w:tc>
        <w:tc>
          <w:tcPr>
            <w:tcW w:type="dxa" w:w="11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User, Pharmacy, Product, Prescription, Payment, Delivery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payments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Payment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Pagamentos dos pedidos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_id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id_pedido único; status e forma de pagamento por enum; dados de gateway e split</w:t>
            </w:r>
          </w:p>
        </w:tc>
        <w:tc>
          <w:tcPr>
            <w:tcW w:type="dxa" w:w="11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Order, User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deliveries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Delivery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Entregas e histórico logístico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_id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id_pedido, id_farmacia e id_cliente obrigatórios; status por enum; histórico embutido</w:t>
            </w:r>
          </w:p>
        </w:tc>
        <w:tc>
          <w:tcPr>
            <w:tcW w:type="dxa" w:w="11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Order, User, Pharmacy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prescriptions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Prescription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Receitas médicas enviadas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_id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id_usuario obrigatório; arquivo obrigatório; tipo MIME controlado; status por enum; histórico e chat embutidos</w:t>
            </w:r>
          </w:p>
        </w:tc>
        <w:tc>
          <w:tcPr>
            <w:tcW w:type="dxa" w:w="11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User, Pharmacy, Product, Order, PrescriptionUseLog, ReceitaDigital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prescriptionuselogs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PrescriptionUseLog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Uso/auditoria de receitas em pedidos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_id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id_receita, id_pedido, id_usuario, id_farmacia e token_unico obrigatório/único</w:t>
            </w:r>
          </w:p>
        </w:tc>
        <w:tc>
          <w:tcPr>
            <w:tcW w:type="dxa" w:w="11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Prescription, Order, User, Pharmacy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receitadigitals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ReceitaDigital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Receitas digitais assinadas/verificáveis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_id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prescriptionId obrigatório; hash único; paciente e farmacêutico embutidos</w:t>
            </w:r>
          </w:p>
        </w:tc>
        <w:tc>
          <w:tcPr>
            <w:tcW w:type="dxa" w:w="11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Prescription, User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reviews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Review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Avaliações de farmácias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_id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id_farmacia e id_usuario obrigatórios; nota 1 a 5; índice único farmácia+usuário</w:t>
            </w:r>
          </w:p>
        </w:tc>
        <w:tc>
          <w:tcPr>
            <w:tcW w:type="dxa" w:w="11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Pharmacy, User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supportmessages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SupportMessage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Tickets e mensagens de suporte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_id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id_usuario obrigatório; id_atendente/id_farmacia opcionais; mensagens embutidas</w:t>
            </w:r>
          </w:p>
        </w:tc>
        <w:tc>
          <w:tcPr>
            <w:tcW w:type="dxa" w:w="11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User, Pharmacy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coupons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Coupon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Cupons de desconto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_id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codigo único; validade indexada; usuários utilizados em subdocumento</w:t>
            </w:r>
          </w:p>
        </w:tc>
        <w:tc>
          <w:tcPr>
            <w:tcW w:type="dxa" w:w="11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User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auditlogs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AuditLog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Auditoria das ações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_id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usuario_id opcional; acao/recurso obrigatórios; TTL de 7 anos; updates/deletes comuns desabilitados</w:t>
            </w:r>
          </w:p>
        </w:tc>
        <w:tc>
          <w:tcPr>
            <w:tcW w:type="dxa" w:w="11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User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fraudalerts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FraudAlert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Alertas de fraude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_id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id_usuario obrigatório; investigador opcional; risco/status por enum</w:t>
            </w:r>
          </w:p>
        </w:tc>
        <w:tc>
          <w:tcPr>
            <w:tcW w:type="dxa" w:w="11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User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medicinetrackings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MedicineTracking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Rastreabilidade de medicamento/lote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_id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medicamento_id, farmacia_origem e cliente_destino obrigatórios; etapas embutidas</w:t>
            </w:r>
          </w:p>
        </w:tc>
        <w:tc>
          <w:tcPr>
            <w:tcW w:type="dxa" w:w="11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Product, Pharmacy, User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drug_interactions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DrugInteraction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Interações medicamentosas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_id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medicamento1/medicamento2 embutidos; severidade por enum; índices por princípio ativo</w:t>
            </w:r>
          </w:p>
        </w:tc>
        <w:tc>
          <w:tcPr>
            <w:tcW w:type="dxa" w:w="11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Catálogo técnico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drug_contraindications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DrugContraindication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Contraindicações medicamentosas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_id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medicamento embutido; condições/restrições em arrays</w:t>
            </w:r>
          </w:p>
        </w:tc>
        <w:tc>
          <w:tcPr>
            <w:tcW w:type="dxa" w:w="11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Catálogo técnico</w:t>
            </w:r>
          </w:p>
        </w:tc>
      </w:tr>
      <w:tr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faqs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FAQ</w:t>
            </w:r>
          </w:p>
        </w:tc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Perguntas frequentes</w:t>
            </w:r>
          </w:p>
        </w:tc>
        <w:tc>
          <w:tcPr>
            <w:tcW w:type="dxa" w:w="7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_id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pergunta/resposta obrigatórias; categoria por enum; índice textual</w:t>
            </w:r>
          </w:p>
        </w:tc>
        <w:tc>
          <w:tcPr>
            <w:tcW w:type="dxa" w:w="11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5"/>
              </w:rPr>
              <w:t>Independente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6. Subdocumentos e arrays relevantes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551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Subdocumento/array</w:t>
            </w:r>
          </w:p>
        </w:tc>
        <w:tc>
          <w:tcPr>
            <w:tcW w:type="dxa" w:w="6519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Cart.itens[]</w:t>
            </w:r>
          </w:p>
        </w:tc>
        <w:tc>
          <w:tcPr>
            <w:tcW w:type="dxa" w:w="65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Itens do carrinho com id_produto, id_farmacia, quantidade, preço, subtotal e id_receita opcional.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Order.itens[]</w:t>
            </w:r>
          </w:p>
        </w:tc>
        <w:tc>
          <w:tcPr>
            <w:tcW w:type="dxa" w:w="65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Itens do pedido com produto, preço, quantidade, subtotal e informações de receita/classificação.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Order.historico_status[]</w:t>
            </w:r>
          </w:p>
        </w:tc>
        <w:tc>
          <w:tcPr>
            <w:tcW w:type="dxa" w:w="65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Histórico de status do pedido com status, data e observação.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Delivery.historico_status[]</w:t>
            </w:r>
          </w:p>
        </w:tc>
        <w:tc>
          <w:tcPr>
            <w:tcW w:type="dxa" w:w="65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Histórico da entrega com status, data, observação e localização.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Prescription.historico_status[]</w:t>
            </w:r>
          </w:p>
        </w:tc>
        <w:tc>
          <w:tcPr>
            <w:tcW w:type="dxa" w:w="65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Histórico de status da receita com usuário responsável e observação.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Prescription.chat_mensagens[]</w:t>
            </w:r>
          </w:p>
        </w:tc>
        <w:tc>
          <w:tcPr>
            <w:tcW w:type="dxa" w:w="65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Mensagens de chat vinculadas à receita.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SupportMessage.mensagens[]</w:t>
            </w:r>
          </w:p>
        </w:tc>
        <w:tc>
          <w:tcPr>
            <w:tcW w:type="dxa" w:w="65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Mensagens do ticket de suporte.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MedicineTracking.etapas[]</w:t>
            </w:r>
          </w:p>
        </w:tc>
        <w:tc>
          <w:tcPr>
            <w:tcW w:type="dxa" w:w="65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Etapas do rastreamento de lote/medicamento.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Coupon.usuarios_utilizaram[]</w:t>
            </w:r>
          </w:p>
        </w:tc>
        <w:tc>
          <w:tcPr>
            <w:tcW w:type="dxa" w:w="65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Controle de uso de cupom por usuário.</w:t>
            </w:r>
          </w:p>
        </w:tc>
      </w:tr>
      <w:tr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PrescriptionUseLog.historico_validacoes[]</w:t>
            </w:r>
          </w:p>
        </w:tc>
        <w:tc>
          <w:tcPr>
            <w:tcW w:type="dxa" w:w="65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Registros de validações executadas na utilização da receita.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7. Restrições, índices e integridade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948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Campo/Regra</w:t>
            </w:r>
          </w:p>
        </w:tc>
        <w:tc>
          <w:tcPr>
            <w:tcW w:type="dxa" w:w="6122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Restrição aplicada</w:t>
            </w:r>
          </w:p>
        </w:tc>
      </w:tr>
      <w:t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User.email</w:t>
            </w:r>
          </w:p>
        </w:tc>
        <w:tc>
          <w:tcPr>
            <w:tcW w:type="dxa" w:w="61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Único; obrigatório; lowercase.</w:t>
            </w:r>
          </w:p>
        </w:tc>
      </w:tr>
      <w:t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User.cpf</w:t>
            </w:r>
          </w:p>
        </w:tc>
        <w:tc>
          <w:tcPr>
            <w:tcW w:type="dxa" w:w="61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Único e sparse quando informado.</w:t>
            </w:r>
          </w:p>
        </w:tc>
      </w:tr>
      <w:t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User.senha</w:t>
            </w:r>
          </w:p>
        </w:tc>
        <w:tc>
          <w:tcPr>
            <w:tcW w:type="dxa" w:w="61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Obrigatória; armazenada com hash bcrypt; select false em consultas comuns.</w:t>
            </w:r>
          </w:p>
        </w:tc>
      </w:tr>
      <w:t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Pharmacy.cnpj</w:t>
            </w:r>
          </w:p>
        </w:tc>
        <w:tc>
          <w:tcPr>
            <w:tcW w:type="dxa" w:w="61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Único e obrigatório.</w:t>
            </w:r>
          </w:p>
        </w:tc>
      </w:tr>
      <w:t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Product.preco / Product.estoque</w:t>
            </w:r>
          </w:p>
        </w:tc>
        <w:tc>
          <w:tcPr>
            <w:tcW w:type="dxa" w:w="61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Valores mínimos zero; estoque padrão 0.</w:t>
            </w:r>
          </w:p>
        </w:tc>
      </w:tr>
      <w:t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Product.id_farmacia</w:t>
            </w:r>
          </w:p>
        </w:tc>
        <w:tc>
          <w:tcPr>
            <w:tcW w:type="dxa" w:w="61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Referência obrigatória para Pharmacy.</w:t>
            </w:r>
          </w:p>
        </w:tc>
      </w:tr>
      <w:t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Cart.id_usuario</w:t>
            </w:r>
          </w:p>
        </w:tc>
        <w:tc>
          <w:tcPr>
            <w:tcW w:type="dxa" w:w="61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Único; garante um carrinho ativo por usuário.</w:t>
            </w:r>
          </w:p>
        </w:tc>
      </w:tr>
      <w:t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Cart.itens</w:t>
            </w:r>
          </w:p>
        </w:tc>
        <w:tc>
          <w:tcPr>
            <w:tcW w:type="dxa" w:w="61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Todos os itens devem pertencer à mesma farmácia.</w:t>
            </w:r>
          </w:p>
        </w:tc>
      </w:tr>
      <w:t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Payment.id_pedido</w:t>
            </w:r>
          </w:p>
        </w:tc>
        <w:tc>
          <w:tcPr>
            <w:tcW w:type="dxa" w:w="61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Único; um pagamento principal por pedido.</w:t>
            </w:r>
          </w:p>
        </w:tc>
      </w:tr>
      <w:t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Review.id_farmacia + Review.id_usuario</w:t>
            </w:r>
          </w:p>
        </w:tc>
        <w:tc>
          <w:tcPr>
            <w:tcW w:type="dxa" w:w="61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Índice único; evita avaliação duplicada da mesma farmácia pelo mesmo usuário.</w:t>
            </w:r>
          </w:p>
        </w:tc>
      </w:tr>
      <w:t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Prescription.tipo_arquivo</w:t>
            </w:r>
          </w:p>
        </w:tc>
        <w:tc>
          <w:tcPr>
            <w:tcW w:type="dxa" w:w="61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Aceita image/jpeg, image/png ou application/pdf.</w:t>
            </w:r>
          </w:p>
        </w:tc>
      </w:tr>
      <w:t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Prescription.validade</w:t>
            </w:r>
          </w:p>
        </w:tc>
        <w:tc>
          <w:tcPr>
            <w:tcW w:type="dxa" w:w="61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Não pode ultrapassar limite legal calculado por tipo de receita quando data de emissão existe.</w:t>
            </w:r>
          </w:p>
        </w:tc>
      </w:tr>
      <w:t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PrescriptionUseLog.token_unico</w:t>
            </w:r>
          </w:p>
        </w:tc>
        <w:tc>
          <w:tcPr>
            <w:tcW w:type="dxa" w:w="61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Único; usado para auditoria de utilização da receita.</w:t>
            </w:r>
          </w:p>
        </w:tc>
      </w:tr>
      <w:t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ReceitaDigital.hash</w:t>
            </w:r>
          </w:p>
        </w:tc>
        <w:tc>
          <w:tcPr>
            <w:tcW w:type="dxa" w:w="61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Único; usado para integridade da receita digital.</w:t>
            </w:r>
          </w:p>
        </w:tc>
      </w:tr>
      <w:t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AuditLog.criado_em</w:t>
            </w:r>
          </w:p>
        </w:tc>
        <w:tc>
          <w:tcPr>
            <w:tcW w:type="dxa" w:w="61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TTL de 7 anos; update/delete comuns desabilitados no model.</w:t>
            </w:r>
          </w:p>
        </w:tc>
      </w:tr>
      <w:t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Geo índices</w:t>
            </w:r>
          </w:p>
        </w:tc>
        <w:tc>
          <w:tcPr>
            <w:tcW w:type="dxa" w:w="612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Pharmacy.location, Delivery.endereco_* e User.dados_entregador usam índices 2dsphere quando coordenadas existem.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8. Modelo lógico resumido por domínio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154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Domínio</w:t>
            </w:r>
          </w:p>
        </w:tc>
        <w:tc>
          <w:tcPr>
            <w:tcW w:type="dxa" w:w="2834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Coleções</w:t>
            </w:r>
          </w:p>
        </w:tc>
        <w:tc>
          <w:tcPr>
            <w:tcW w:type="dxa" w:w="4081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 lógica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Identidade e acesso</w:t>
            </w:r>
          </w:p>
        </w:tc>
        <w:tc>
          <w:tcPr>
            <w:tcW w:type="dxa" w:w="28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users, addresses</w:t>
            </w:r>
          </w:p>
        </w:tc>
        <w:tc>
          <w:tcPr>
            <w:tcW w:type="dxa" w:w="40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Usuários, papéis, autenticação, consentimento LGPD e endereços.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Farmácias e catálogo</w:t>
            </w:r>
          </w:p>
        </w:tc>
        <w:tc>
          <w:tcPr>
            <w:tcW w:type="dxa" w:w="28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pharmacies, pharmacists, products, medicinecatalogs</w:t>
            </w:r>
          </w:p>
        </w:tc>
        <w:tc>
          <w:tcPr>
            <w:tcW w:type="dxa" w:w="40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Farmácias, responsáveis, produtos vendidos e catálogo de medicamentos regulados.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Compra</w:t>
            </w:r>
          </w:p>
        </w:tc>
        <w:tc>
          <w:tcPr>
            <w:tcW w:type="dxa" w:w="28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carts, orders, payments, coupons</w:t>
            </w:r>
          </w:p>
        </w:tc>
        <w:tc>
          <w:tcPr>
            <w:tcW w:type="dxa" w:w="40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Carrinho, pedido, pagamento, cupom e cálculo de totais.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Receitas e validação</w:t>
            </w:r>
          </w:p>
        </w:tc>
        <w:tc>
          <w:tcPr>
            <w:tcW w:type="dxa" w:w="28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prescriptions, prescriptionuselogs, receitadigitals</w:t>
            </w:r>
          </w:p>
        </w:tc>
        <w:tc>
          <w:tcPr>
            <w:tcW w:type="dxa" w:w="40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Upload, validação, consumo, histórico e integridade de receitas.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Entrega e rastreio</w:t>
            </w:r>
          </w:p>
        </w:tc>
        <w:tc>
          <w:tcPr>
            <w:tcW w:type="dxa" w:w="28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deliveries, medicinetrackings</w:t>
            </w:r>
          </w:p>
        </w:tc>
        <w:tc>
          <w:tcPr>
            <w:tcW w:type="dxa" w:w="40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Entrega do pedido, status logístico e rastreabilidade de medicamento/lote.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Relacionamento e suporte</w:t>
            </w:r>
          </w:p>
        </w:tc>
        <w:tc>
          <w:tcPr>
            <w:tcW w:type="dxa" w:w="28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reviews, supportmessages, faqs</w:t>
            </w:r>
          </w:p>
        </w:tc>
        <w:tc>
          <w:tcPr>
            <w:tcW w:type="dxa" w:w="40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Avaliações, tickets/mensagens de suporte e perguntas frequentes.</w:t>
            </w:r>
          </w:p>
        </w:tc>
      </w:tr>
      <w:tr>
        <w:tc>
          <w:tcPr>
            <w:tcW w:type="dxa" w:w="21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Segurança e auditoria</w:t>
            </w:r>
          </w:p>
        </w:tc>
        <w:tc>
          <w:tcPr>
            <w:tcW w:type="dxa" w:w="28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auditlogs, fraudalerts, drug_interactions, drug_contraindications</w:t>
            </w:r>
          </w:p>
        </w:tc>
        <w:tc>
          <w:tcPr>
            <w:tcW w:type="dxa" w:w="40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Registro de ações, alertas de fraude e bases técnicas de risco/interação.</w:t>
            </w:r>
          </w:p>
        </w:tc>
      </w:tr>
    </w:tbl>
    <w:p>
      <w:pPr>
        <w:spacing w:before="0" w:after="120" w:line="360" w:lineRule="auto"/>
        <w:jc w:val="both"/>
      </w:pP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9. Considerações para migração futura para PostgreSQL</w:t>
      </w:r>
    </w:p>
    <w:p>
      <w:pPr>
        <w:spacing w:before="0" w:after="0" w:line="360" w:lineRule="auto"/>
        <w:ind w:firstLine="709"/>
        <w:jc w:val="both"/>
      </w:pPr>
      <w:r>
        <w:rPr>
          <w:rFonts w:ascii="Arial" w:hAnsi="Arial" w:cs="Arial"/>
          <w:b w:val="0"/>
          <w:i w:val="0"/>
          <w:color w:val="000000"/>
          <w:sz w:val="24"/>
        </w:rPr>
        <w:t>O README registra a migração para PostgreSQL como evolução futura para fortalecer métricas e consultas analíticas. Caso essa migração seja realizada, os arrays embutidos com regras de negócio relevantes devem ser avaliados para normalização em tabelas próprias.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Order.itens[] pode se tornar tabela order_items.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Cart.itens[] pode se tornar tabela cart_items.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Históricos de status podem se tornar tabelas order_status_history, delivery_status_history e prescription_status_history.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Mensagens de suporte e chat de receita podem se tornar tabelas separadas.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Coupon.usuarios_utilizaram[] pode se tornar coupon_user_usage.</w:t>
      </w:r>
    </w:p>
    <w:p>
      <w:pPr>
        <w:pStyle w:val="ListBullet"/>
        <w:spacing w:after="0" w:line="360" w:lineRule="auto"/>
        <w:ind w:left="709"/>
        <w:jc w:val="both"/>
      </w:pPr>
      <w:r>
        <w:rPr>
          <w:rFonts w:ascii="Arial" w:hAnsi="Arial" w:cs="Arial"/>
          <w:color w:val="000000"/>
          <w:sz w:val="24"/>
        </w:rPr>
        <w:t>A camada de analytics pode se beneficiar de tabelas agregadas ou views materializadas.</w:t>
      </w:r>
    </w:p>
    <w:p>
      <w:pPr>
        <w:pStyle w:val="Heading1"/>
        <w:spacing w:before="240" w:after="120" w:line="360" w:lineRule="auto"/>
        <w:jc w:val="left"/>
      </w:pPr>
      <w:r>
        <w:rPr>
          <w:rFonts w:ascii="Arial" w:hAnsi="Arial" w:cs="Arial"/>
          <w:b/>
          <w:color w:val="000000"/>
          <w:sz w:val="24"/>
        </w:rPr>
        <w:t>10. Controle de alterações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3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Versão</w:t>
            </w:r>
          </w:p>
        </w:tc>
        <w:tc>
          <w:tcPr>
            <w:tcW w:type="dxa" w:w="1587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Data</w:t>
            </w:r>
          </w:p>
        </w:tc>
        <w:tc>
          <w:tcPr>
            <w:tcW w:type="dxa" w:w="3401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Responsável</w:t>
            </w:r>
          </w:p>
        </w:tc>
        <w:tc>
          <w:tcPr>
            <w:tcW w:type="dxa" w:w="2948"/>
            <w:shd w:fill="D9D9D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Descrição</w:t>
            </w:r>
          </w:p>
        </w:tc>
      </w:tr>
      <w:tr>
        <w:tc>
          <w:tcPr>
            <w:tcW w:type="dxa" w:w="11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2F2F2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1.0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10/06/2026</w:t>
            </w:r>
          </w:p>
        </w:tc>
        <w:tc>
          <w:tcPr>
            <w:tcW w:type="dxa" w:w="34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João Pedro Antunes Lacerda; Matheus Matias Carvalho dos Santos</w:t>
            </w:r>
          </w:p>
        </w:tc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cs="Arial"/>
                <w:color w:val="000000"/>
                <w:sz w:val="18"/>
              </w:rPr>
              <w:t>Emissão inicial do DER e modelo lógico com base nos models Mongoose atuais.</w:t>
            </w:r>
          </w:p>
        </w:tc>
      </w:tr>
    </w:tbl>
    <w:p>
      <w:pPr>
        <w:spacing w:before="0" w:after="120" w:line="360" w:lineRule="auto"/>
        <w:jc w:val="both"/>
      </w:pP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1906" w:h="16838"/>
      <w:pgMar w:top="1701" w:right="1134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rFonts w:ascii="Arial" w:hAnsi="Arial" w:cs="Arial"/>
        <w:color w:val="000000"/>
        <w:sz w:val="20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360" w:lineRule="auto"/>
      <w:contextualSpacing/>
    </w:pPr>
    <w:rPr>
      <w:rFonts w:ascii="Arial" w:hAnsi="Arial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0" w:line="360" w:lineRule="auto"/>
      <w:contextualSpacing/>
    </w:pPr>
    <w:rPr>
      <w:rFonts w:ascii="Arial" w:hAnsi="Arial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Saúde na Mão - DER e Modelo Lógico do Banco</dc:title>
  <dc:subject>TCC - modelagem de dados</dc:subject>
  <dc:creator>João Pedro Antunes Lacerda; Matheus Matias Carvalho dos Santos</dc:creator>
  <cp:keywords>TCC, DER, modelo lógico, MongoDB, Mongoose, Saúde na Mão</cp:keywords>
  <dc:description>Documento gerado com base nos schemas Mongoose existentes no código-fonte.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