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6ED5E" w14:textId="24B95B95" w:rsidR="00B01BA3" w:rsidRPr="004F7992" w:rsidRDefault="00BA4085" w:rsidP="00BA4085">
      <w:pPr>
        <w:jc w:val="center"/>
        <w:rPr>
          <w:rFonts w:ascii="Times New Roman" w:hAnsi="Times New Roman" w:cs="Times New Roman"/>
          <w:sz w:val="32"/>
          <w:szCs w:val="32"/>
        </w:rPr>
      </w:pPr>
      <w:r w:rsidRPr="004F7992">
        <w:rPr>
          <w:rFonts w:ascii="Times New Roman" w:hAnsi="Times New Roman" w:cs="Times New Roman"/>
          <w:sz w:val="32"/>
          <w:szCs w:val="32"/>
        </w:rPr>
        <w:t>METHODOLOGY</w:t>
      </w:r>
    </w:p>
    <w:p w14:paraId="7D2AF142" w14:textId="77777777" w:rsidR="00B01BA3" w:rsidRPr="004F7992" w:rsidRDefault="00B01BA3">
      <w:pPr>
        <w:rPr>
          <w:rFonts w:ascii="Times New Roman" w:hAnsi="Times New Roman" w:cs="Times New Roman"/>
        </w:rPr>
      </w:pPr>
    </w:p>
    <w:p w14:paraId="2228A027" w14:textId="5B5BE087" w:rsidR="00B01BA3" w:rsidRPr="004F7992" w:rsidRDefault="00B01BA3">
      <w:pPr>
        <w:rPr>
          <w:rFonts w:ascii="Times New Roman" w:hAnsi="Times New Roman" w:cs="Times New Roman"/>
        </w:rPr>
      </w:pPr>
      <w:r w:rsidRPr="004F7992">
        <w:rPr>
          <w:rFonts w:ascii="Times New Roman" w:hAnsi="Times New Roman" w:cs="Times New Roman"/>
        </w:rPr>
        <w:t xml:space="preserve">In this study we have used a Monthly time series dataset from January 2013 to December 2025 where we can see 156 observations by which we can evaluate the transmission of geopolitical shocks to domestic agricultural prices in Nepal.  Here, monthly average wholesale price of six agricultural commodities </w:t>
      </w:r>
      <w:r w:rsidR="00AB66EC" w:rsidRPr="004F7992">
        <w:rPr>
          <w:rFonts w:ascii="Times New Roman" w:hAnsi="Times New Roman" w:cs="Times New Roman"/>
        </w:rPr>
        <w:t>is</w:t>
      </w:r>
      <w:r w:rsidRPr="004F7992">
        <w:rPr>
          <w:rFonts w:ascii="Times New Roman" w:hAnsi="Times New Roman" w:cs="Times New Roman"/>
        </w:rPr>
        <w:t xml:space="preserve"> selected from the </w:t>
      </w:r>
      <w:proofErr w:type="spellStart"/>
      <w:r w:rsidRPr="004F7992">
        <w:rPr>
          <w:rFonts w:ascii="Times New Roman" w:hAnsi="Times New Roman" w:cs="Times New Roman"/>
        </w:rPr>
        <w:t>Kalimati</w:t>
      </w:r>
      <w:proofErr w:type="spellEnd"/>
      <w:r w:rsidRPr="004F7992">
        <w:rPr>
          <w:rFonts w:ascii="Times New Roman" w:hAnsi="Times New Roman" w:cs="Times New Roman"/>
        </w:rPr>
        <w:t xml:space="preserve"> National Wholesale Market Development Board as the primary dependent variables. </w:t>
      </w:r>
      <w:r w:rsidR="00BA4085" w:rsidRPr="004F7992">
        <w:rPr>
          <w:rFonts w:ascii="Times New Roman" w:hAnsi="Times New Roman" w:cs="Times New Roman"/>
        </w:rPr>
        <w:t>To represent a contrast between import dependent items (Indian Big Tomato</w:t>
      </w:r>
      <w:r w:rsidR="00AB66EC" w:rsidRPr="004F7992">
        <w:rPr>
          <w:rFonts w:ascii="Times New Roman" w:hAnsi="Times New Roman" w:cs="Times New Roman"/>
        </w:rPr>
        <w:t xml:space="preserve">, </w:t>
      </w:r>
      <w:r w:rsidR="00BA4085" w:rsidRPr="004F7992">
        <w:rPr>
          <w:rFonts w:ascii="Times New Roman" w:hAnsi="Times New Roman" w:cs="Times New Roman"/>
        </w:rPr>
        <w:t>Chinese dry Garlic and Indian dry onion) and primarily locally produced substitutes (Red Potato, Local Cabbage and Nepali big Tomato) these items are wisely chosen.</w:t>
      </w:r>
    </w:p>
    <w:p w14:paraId="3EFBDB5A" w14:textId="77777777" w:rsidR="00755C84" w:rsidRPr="004F7992" w:rsidRDefault="00755C84">
      <w:pPr>
        <w:rPr>
          <w:rFonts w:ascii="Times New Roman" w:hAnsi="Times New Roman" w:cs="Times New Roman"/>
        </w:rPr>
      </w:pPr>
    </w:p>
    <w:p w14:paraId="5D6CFAE8" w14:textId="6A544C31" w:rsidR="00BA4085" w:rsidRPr="004F7992" w:rsidRDefault="004A2B38">
      <w:pPr>
        <w:rPr>
          <w:rFonts w:ascii="Times New Roman" w:hAnsi="Times New Roman" w:cs="Times New Roman"/>
        </w:rPr>
      </w:pPr>
      <w:r w:rsidRPr="004F7992">
        <w:rPr>
          <w:rFonts w:ascii="Times New Roman" w:hAnsi="Times New Roman" w:cs="Times New Roman"/>
        </w:rPr>
        <w:t xml:space="preserve">Different macroeconomic and commodity market indicators are used to capture external transmission channels. </w:t>
      </w:r>
      <w:r w:rsidRPr="004F7992">
        <w:rPr>
          <w:rFonts w:ascii="Times New Roman" w:hAnsi="Times New Roman" w:cs="Times New Roman"/>
        </w:rPr>
        <w:t>Global energy shocks are captured using daily Brent crude figures from FRED, aggregated to a monthly level</w:t>
      </w:r>
      <w:r w:rsidRPr="004F7992">
        <w:rPr>
          <w:rFonts w:ascii="Times New Roman" w:hAnsi="Times New Roman" w:cs="Times New Roman"/>
        </w:rPr>
        <w:t xml:space="preserve">, At the same time with weekly Nepal retail diesel prices sourced from </w:t>
      </w:r>
      <w:proofErr w:type="spellStart"/>
      <w:r w:rsidRPr="004F7992">
        <w:rPr>
          <w:rFonts w:ascii="Times New Roman" w:hAnsi="Times New Roman" w:cs="Times New Roman"/>
        </w:rPr>
        <w:t>GlobalPetrolPrices</w:t>
      </w:r>
      <w:proofErr w:type="spellEnd"/>
      <w:r w:rsidRPr="004F7992">
        <w:rPr>
          <w:rFonts w:ascii="Times New Roman" w:hAnsi="Times New Roman" w:cs="Times New Roman"/>
        </w:rPr>
        <w:t>. For controlling the monetary and external sectors, official NPR/USD exchange rate from Nepal Rastriya Bank (NRB) are used. Similarly</w:t>
      </w:r>
      <w:r w:rsidR="00755C84" w:rsidRPr="004F7992">
        <w:rPr>
          <w:rFonts w:ascii="Times New Roman" w:hAnsi="Times New Roman" w:cs="Times New Roman"/>
        </w:rPr>
        <w:t>,</w:t>
      </w:r>
      <w:r w:rsidRPr="004F7992">
        <w:rPr>
          <w:rFonts w:ascii="Times New Roman" w:hAnsi="Times New Roman" w:cs="Times New Roman"/>
        </w:rPr>
        <w:t xml:space="preserve"> World Bank Pink Sheet global fertilizer price index (covering DAP and Urea)</w:t>
      </w:r>
      <w:r w:rsidR="00755C84" w:rsidRPr="004F7992">
        <w:rPr>
          <w:rFonts w:ascii="Times New Roman" w:hAnsi="Times New Roman" w:cs="Times New Roman"/>
        </w:rPr>
        <w:t xml:space="preserve"> is </w:t>
      </w:r>
      <w:r w:rsidRPr="004F7992">
        <w:rPr>
          <w:rFonts w:ascii="Times New Roman" w:hAnsi="Times New Roman" w:cs="Times New Roman"/>
        </w:rPr>
        <w:t>used to integrate the global agriculture input cost shocks, while domestic inflationary pressure is controlled using Nepal’s food Consumer Price Index (CPI).</w:t>
      </w:r>
    </w:p>
    <w:p w14:paraId="260CC8A2" w14:textId="77777777" w:rsidR="00755C84" w:rsidRPr="004F7992" w:rsidRDefault="00755C84">
      <w:pPr>
        <w:rPr>
          <w:rFonts w:ascii="Times New Roman" w:hAnsi="Times New Roman" w:cs="Times New Roman"/>
        </w:rPr>
      </w:pPr>
    </w:p>
    <w:p w14:paraId="7F1E221C" w14:textId="6EC1757B" w:rsidR="00755C84" w:rsidRPr="004F7992" w:rsidRDefault="00755C84">
      <w:pPr>
        <w:rPr>
          <w:rFonts w:ascii="Times New Roman" w:hAnsi="Times New Roman" w:cs="Times New Roman"/>
        </w:rPr>
      </w:pPr>
      <w:r w:rsidRPr="004F7992">
        <w:rPr>
          <w:rFonts w:ascii="Times New Roman" w:hAnsi="Times New Roman" w:cs="Times New Roman"/>
        </w:rPr>
        <w:t>There are two main geopolitical structural breaks. The Russia Ukraine war, designated at February 2022 (</w:t>
      </w:r>
      <w:proofErr w:type="spellStart"/>
      <w:r w:rsidRPr="004F7992">
        <w:rPr>
          <w:rFonts w:ascii="Times New Roman" w:hAnsi="Times New Roman" w:cs="Times New Roman"/>
        </w:rPr>
        <w:t>war_ru</w:t>
      </w:r>
      <w:proofErr w:type="spellEnd"/>
      <w:r w:rsidRPr="004F7992">
        <w:rPr>
          <w:rFonts w:ascii="Times New Roman" w:hAnsi="Times New Roman" w:cs="Times New Roman"/>
        </w:rPr>
        <w:t>) is the first structural break</w:t>
      </w:r>
      <w:r w:rsidR="00CC0D24" w:rsidRPr="004F7992">
        <w:rPr>
          <w:rFonts w:ascii="Times New Roman" w:hAnsi="Times New Roman" w:cs="Times New Roman"/>
        </w:rPr>
        <w:t>, that seriously affected global grain, fuel and fertilizer supply chains. The second structural break occurred at April 2024 (</w:t>
      </w:r>
      <w:proofErr w:type="spellStart"/>
      <w:r w:rsidR="00CC0D24" w:rsidRPr="004F7992">
        <w:rPr>
          <w:rFonts w:ascii="Times New Roman" w:hAnsi="Times New Roman" w:cs="Times New Roman"/>
        </w:rPr>
        <w:t>war_ii</w:t>
      </w:r>
      <w:proofErr w:type="spellEnd"/>
      <w:r w:rsidR="00CC0D24" w:rsidRPr="004F7992">
        <w:rPr>
          <w:rFonts w:ascii="Times New Roman" w:hAnsi="Times New Roman" w:cs="Times New Roman"/>
        </w:rPr>
        <w:t>), which is the severe escalation of the Iran-Israil conflict. Importantly, the addition of April 2024 break is supported by the Strait of Hormuz rationale. Being a very v</w:t>
      </w:r>
      <w:r w:rsidR="00AB66EC" w:rsidRPr="004F7992">
        <w:rPr>
          <w:rFonts w:ascii="Times New Roman" w:hAnsi="Times New Roman" w:cs="Times New Roman"/>
        </w:rPr>
        <w:t>ital</w:t>
      </w:r>
      <w:r w:rsidR="00CC0D24" w:rsidRPr="004F7992">
        <w:rPr>
          <w:rFonts w:ascii="Times New Roman" w:hAnsi="Times New Roman" w:cs="Times New Roman"/>
        </w:rPr>
        <w:t xml:space="preserve"> </w:t>
      </w:r>
      <w:r w:rsidR="00AB66EC" w:rsidRPr="004F7992">
        <w:rPr>
          <w:rFonts w:ascii="Times New Roman" w:hAnsi="Times New Roman" w:cs="Times New Roman"/>
        </w:rPr>
        <w:t xml:space="preserve">geopolitical </w:t>
      </w:r>
      <w:r w:rsidR="00CC0D24" w:rsidRPr="004F7992">
        <w:rPr>
          <w:rFonts w:ascii="Times New Roman" w:hAnsi="Times New Roman" w:cs="Times New Roman"/>
        </w:rPr>
        <w:t>point</w:t>
      </w:r>
      <w:r w:rsidR="00AB66EC" w:rsidRPr="004F7992">
        <w:rPr>
          <w:rFonts w:ascii="Times New Roman" w:hAnsi="Times New Roman" w:cs="Times New Roman"/>
        </w:rPr>
        <w:t xml:space="preserve"> which has a large share of global petroleum and maritime fertilizer shipments, disturbance or greater security challenges in the Strait of Hormuz straightaway increase energy and agriculture input cost for developing nations like Nepal in case of net-importing </w:t>
      </w:r>
    </w:p>
    <w:p w14:paraId="459A78CB" w14:textId="77777777" w:rsidR="004F7992" w:rsidRPr="004F7992" w:rsidRDefault="004F7992" w:rsidP="004F7992">
      <w:pPr>
        <w:rPr>
          <w:rFonts w:ascii="Times New Roman" w:hAnsi="Times New Roman" w:cs="Times New Roman"/>
        </w:rPr>
      </w:pPr>
    </w:p>
    <w:p w14:paraId="1ECB973C" w14:textId="77777777" w:rsidR="004F7992" w:rsidRPr="004F7992" w:rsidRDefault="004F7992" w:rsidP="004F7992">
      <w:pPr>
        <w:rPr>
          <w:rFonts w:ascii="Times New Roman" w:hAnsi="Times New Roman" w:cs="Times New Roman"/>
        </w:rPr>
      </w:pPr>
    </w:p>
    <w:p w14:paraId="53A3BC49" w14:textId="77777777" w:rsidR="004F7992" w:rsidRPr="004F7992" w:rsidRDefault="004F7992" w:rsidP="004F7992">
      <w:pPr>
        <w:rPr>
          <w:rFonts w:ascii="Times New Roman" w:hAnsi="Times New Roman" w:cs="Times New Roman"/>
        </w:rPr>
      </w:pPr>
    </w:p>
    <w:p w14:paraId="4CAB125E" w14:textId="77777777" w:rsidR="004F7992" w:rsidRPr="004F7992" w:rsidRDefault="004F7992" w:rsidP="004F7992">
      <w:pPr>
        <w:rPr>
          <w:rFonts w:ascii="Times New Roman" w:hAnsi="Times New Roman" w:cs="Times New Roman"/>
        </w:rPr>
      </w:pPr>
    </w:p>
    <w:p w14:paraId="18B9DE5C" w14:textId="7E905491" w:rsidR="004F7992" w:rsidRPr="004F7992" w:rsidRDefault="004F7992" w:rsidP="004F7992">
      <w:pPr>
        <w:rPr>
          <w:rFonts w:ascii="Times New Roman" w:hAnsi="Times New Roman" w:cs="Times New Roman"/>
        </w:rPr>
      </w:pPr>
      <w:r w:rsidRPr="004F7992">
        <w:rPr>
          <w:rFonts w:ascii="Times New Roman" w:hAnsi="Times New Roman" w:cs="Times New Roman"/>
        </w:rPr>
        <w:t>T</w:t>
      </w:r>
      <w:r w:rsidRPr="004F7992">
        <w:rPr>
          <w:rFonts w:ascii="Times New Roman" w:hAnsi="Times New Roman" w:cs="Times New Roman"/>
        </w:rPr>
        <w:t xml:space="preserve">o </w:t>
      </w:r>
      <w:r w:rsidRPr="004F7992">
        <w:rPr>
          <w:rFonts w:ascii="Times New Roman" w:hAnsi="Times New Roman" w:cs="Times New Roman"/>
        </w:rPr>
        <w:t>isolate</w:t>
      </w:r>
      <w:r w:rsidRPr="004F7992">
        <w:rPr>
          <w:rFonts w:ascii="Times New Roman" w:hAnsi="Times New Roman" w:cs="Times New Roman"/>
        </w:rPr>
        <w:t xml:space="preserve"> these global political shocks from normal everyday trends inside the country,</w:t>
      </w:r>
      <w:r w:rsidRPr="004F7992">
        <w:rPr>
          <w:rFonts w:ascii="Times New Roman" w:hAnsi="Times New Roman" w:cs="Times New Roman"/>
        </w:rPr>
        <w:t xml:space="preserve"> a Covid- 19 control dummy (covid) is introduced from the date of March 2020 to December 2021. After a </w:t>
      </w:r>
      <w:r w:rsidRPr="004F7992">
        <w:rPr>
          <w:rFonts w:ascii="Times New Roman" w:hAnsi="Times New Roman" w:cs="Times New Roman"/>
        </w:rPr>
        <w:lastRenderedPageBreak/>
        <w:t xml:space="preserve">series of strict quality control, missing value checks and outlier detection (which is </w:t>
      </w:r>
      <w:r>
        <w:rPr>
          <w:rFonts w:ascii="Times New Roman" w:hAnsi="Times New Roman" w:cs="Times New Roman"/>
        </w:rPr>
        <w:t>a</w:t>
      </w:r>
      <w:r w:rsidRPr="004F7992">
        <w:rPr>
          <w:rFonts w:ascii="Times New Roman" w:hAnsi="Times New Roman" w:cs="Times New Roman"/>
        </w:rPr>
        <w:t>nything</w:t>
      </w:r>
      <w:r>
        <w:rPr>
          <w:rFonts w:ascii="Times New Roman" w:hAnsi="Times New Roman" w:cs="Times New Roman"/>
        </w:rPr>
        <w:t xml:space="preserve"> </w:t>
      </w:r>
      <w:r w:rsidRPr="004F7992">
        <w:rPr>
          <w:rFonts w:ascii="Times New Roman" w:hAnsi="Times New Roman" w:cs="Times New Roman"/>
        </w:rPr>
        <w:t xml:space="preserve">exceeding more than 3 standard deviation is cleaned up), </w:t>
      </w:r>
      <w:r w:rsidRPr="004F7992">
        <w:rPr>
          <w:rFonts w:ascii="Times New Roman" w:hAnsi="Times New Roman" w:cs="Times New Roman"/>
        </w:rPr>
        <w:t>ensuring a robust foundation for subsequent Interrupted Time Series (ITS) and Newey-West corrected OLS regressions.</w:t>
      </w:r>
    </w:p>
    <w:p w14:paraId="2506476D" w14:textId="2D943A47" w:rsidR="00755C84" w:rsidRPr="004F7992" w:rsidRDefault="00755C84">
      <w:pPr>
        <w:rPr>
          <w:rFonts w:ascii="Times New Roman" w:hAnsi="Times New Roman" w:cs="Times New Roman"/>
        </w:rPr>
      </w:pPr>
    </w:p>
    <w:sectPr w:rsidR="00755C84" w:rsidRPr="004F7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A3"/>
    <w:rsid w:val="004A2B38"/>
    <w:rsid w:val="004F7992"/>
    <w:rsid w:val="00755C84"/>
    <w:rsid w:val="00AB66EC"/>
    <w:rsid w:val="00B01BA3"/>
    <w:rsid w:val="00BA4085"/>
    <w:rsid w:val="00CC0D24"/>
    <w:rsid w:val="00F36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14FF9"/>
  <w15:chartTrackingRefBased/>
  <w15:docId w15:val="{2EB0D8A0-3026-40E3-84A7-83C96AA30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BA3"/>
    <w:rPr>
      <w:rFonts w:eastAsiaTheme="majorEastAsia" w:cstheme="majorBidi"/>
      <w:color w:val="272727" w:themeColor="text1" w:themeTint="D8"/>
    </w:rPr>
  </w:style>
  <w:style w:type="paragraph" w:styleId="Title">
    <w:name w:val="Title"/>
    <w:basedOn w:val="Normal"/>
    <w:next w:val="Normal"/>
    <w:link w:val="TitleChar"/>
    <w:uiPriority w:val="10"/>
    <w:qFormat/>
    <w:rsid w:val="00B01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BA3"/>
    <w:pPr>
      <w:spacing w:before="160"/>
      <w:jc w:val="center"/>
    </w:pPr>
    <w:rPr>
      <w:i/>
      <w:iCs/>
      <w:color w:val="404040" w:themeColor="text1" w:themeTint="BF"/>
    </w:rPr>
  </w:style>
  <w:style w:type="character" w:customStyle="1" w:styleId="QuoteChar">
    <w:name w:val="Quote Char"/>
    <w:basedOn w:val="DefaultParagraphFont"/>
    <w:link w:val="Quote"/>
    <w:uiPriority w:val="29"/>
    <w:rsid w:val="00B01BA3"/>
    <w:rPr>
      <w:i/>
      <w:iCs/>
      <w:color w:val="404040" w:themeColor="text1" w:themeTint="BF"/>
    </w:rPr>
  </w:style>
  <w:style w:type="paragraph" w:styleId="ListParagraph">
    <w:name w:val="List Paragraph"/>
    <w:basedOn w:val="Normal"/>
    <w:uiPriority w:val="34"/>
    <w:qFormat/>
    <w:rsid w:val="00B01BA3"/>
    <w:pPr>
      <w:ind w:left="720"/>
      <w:contextualSpacing/>
    </w:pPr>
  </w:style>
  <w:style w:type="character" w:styleId="IntenseEmphasis">
    <w:name w:val="Intense Emphasis"/>
    <w:basedOn w:val="DefaultParagraphFont"/>
    <w:uiPriority w:val="21"/>
    <w:qFormat/>
    <w:rsid w:val="00B01BA3"/>
    <w:rPr>
      <w:i/>
      <w:iCs/>
      <w:color w:val="0F4761" w:themeColor="accent1" w:themeShade="BF"/>
    </w:rPr>
  </w:style>
  <w:style w:type="paragraph" w:styleId="IntenseQuote">
    <w:name w:val="Intense Quote"/>
    <w:basedOn w:val="Normal"/>
    <w:next w:val="Normal"/>
    <w:link w:val="IntenseQuoteChar"/>
    <w:uiPriority w:val="30"/>
    <w:qFormat/>
    <w:rsid w:val="00B01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BA3"/>
    <w:rPr>
      <w:i/>
      <w:iCs/>
      <w:color w:val="0F4761" w:themeColor="accent1" w:themeShade="BF"/>
    </w:rPr>
  </w:style>
  <w:style w:type="character" w:styleId="IntenseReference">
    <w:name w:val="Intense Reference"/>
    <w:basedOn w:val="DefaultParagraphFont"/>
    <w:uiPriority w:val="32"/>
    <w:qFormat/>
    <w:rsid w:val="00B01B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dc:creator>
  <cp:keywords/>
  <dc:description/>
  <cp:lastModifiedBy>erick .</cp:lastModifiedBy>
  <cp:revision>1</cp:revision>
  <dcterms:created xsi:type="dcterms:W3CDTF">2026-10-14T09:22:00Z</dcterms:created>
  <dcterms:modified xsi:type="dcterms:W3CDTF">2026-10-14T10:33:00Z</dcterms:modified>
</cp:coreProperties>
</file>