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000000"/>
          <w:sz w:val="46"/>
        </w:rPr>
        <w:t>PRODUCT REQUIREMENTS DOCUMENT</w:t>
      </w:r>
    </w:p>
    <w:p>
      <w:pPr>
        <w:spacing w:after="320"/>
      </w:pPr>
      <w:r>
        <w:rPr>
          <w:rFonts w:ascii="Calibri" w:hAnsi="Calibri"/>
          <w:b w:val="0"/>
          <w:i w:val="0"/>
          <w:color w:val="444444"/>
          <w:sz w:val="28"/>
        </w:rPr>
        <w:t>CityHub Leasing AI Response Reliability</w:t>
      </w:r>
    </w:p>
    <w:p>
      <w:pPr>
        <w:spacing w:after="40"/>
      </w:pPr>
      <w:r>
        <w:rPr>
          <w:rFonts w:ascii="Calibri" w:hAnsi="Calibri"/>
          <w:b/>
          <w:i w:val="0"/>
          <w:color w:val="000000"/>
          <w:sz w:val="22"/>
        </w:rPr>
        <w:t xml:space="preserve">Product: </w:t>
      </w:r>
      <w:r>
        <w:rPr>
          <w:rFonts w:ascii="Calibri" w:hAnsi="Calibri"/>
          <w:b w:val="0"/>
          <w:i w:val="0"/>
          <w:color w:val="000000"/>
          <w:sz w:val="22"/>
        </w:rPr>
        <w:t>CityHub Leasing website assistant (Ava)</w:t>
      </w:r>
    </w:p>
    <w:p>
      <w:pPr>
        <w:spacing w:after="40"/>
      </w:pPr>
      <w:r>
        <w:rPr>
          <w:rFonts w:ascii="Calibri" w:hAnsi="Calibri"/>
          <w:b/>
          <w:i w:val="0"/>
          <w:color w:val="000000"/>
          <w:sz w:val="22"/>
        </w:rPr>
        <w:t xml:space="preserve">Prepared: </w:t>
      </w:r>
      <w:r>
        <w:rPr>
          <w:rFonts w:ascii="Calibri" w:hAnsi="Calibri"/>
          <w:b w:val="0"/>
          <w:i w:val="0"/>
          <w:color w:val="000000"/>
          <w:sz w:val="22"/>
        </w:rPr>
        <w:t>2 August 2026</w:t>
      </w:r>
    </w:p>
    <w:p>
      <w:pPr>
        <w:spacing w:after="40"/>
      </w:pPr>
      <w:r>
        <w:rPr>
          <w:rFonts w:ascii="Calibri" w:hAnsi="Calibri"/>
          <w:b/>
          <w:i w:val="0"/>
          <w:color w:val="000000"/>
          <w:sz w:val="22"/>
        </w:rPr>
        <w:t xml:space="preserve">Status: </w:t>
      </w:r>
      <w:r>
        <w:rPr>
          <w:rFonts w:ascii="Calibri" w:hAnsi="Calibri"/>
          <w:b w:val="0"/>
          <w:i w:val="0"/>
          <w:color w:val="000000"/>
          <w:sz w:val="22"/>
        </w:rPr>
        <w:t>Implementation-ready</w:t>
      </w:r>
    </w:p>
    <w:p>
      <w:pPr>
        <w:spacing w:after="40"/>
      </w:pPr>
      <w:r>
        <w:rPr>
          <w:rFonts w:ascii="Calibri" w:hAnsi="Calibri"/>
          <w:b/>
          <w:i w:val="0"/>
          <w:color w:val="000000"/>
          <w:sz w:val="22"/>
        </w:rPr>
        <w:t xml:space="preserve">Scope: </w:t>
      </w:r>
      <w:r>
        <w:rPr>
          <w:rFonts w:ascii="Calibri" w:hAnsi="Calibri"/>
          <w:b w:val="0"/>
          <w:i w:val="0"/>
          <w:color w:val="000000"/>
          <w:sz w:val="22"/>
        </w:rPr>
        <w:t>Chat response correctness, grounding, live-listing freshness, and observability</w:t>
      </w:r>
    </w:p>
    <w:p>
      <w:pPr>
        <w:spacing w:before="320" w:after="160"/>
      </w:pPr>
      <w:r>
        <w:rPr>
          <w:rFonts w:ascii="Calibri" w:hAnsi="Calibri"/>
          <w:b/>
          <w:i w:val="0"/>
          <w:color w:val="2E74B5"/>
          <w:sz w:val="32"/>
        </w:rPr>
        <w:t>1. Executive summary</w:t>
      </w:r>
    </w:p>
    <w:p>
      <w:pPr>
        <w:spacing w:before="0" w:after="120" w:line="264" w:lineRule="auto"/>
      </w:pPr>
      <w:r>
        <w:rPr>
          <w:rFonts w:ascii="Calibri" w:hAnsi="Calibri"/>
          <w:b w:val="0"/>
          <w:i w:val="0"/>
          <w:color w:val="000000"/>
          <w:sz w:val="22"/>
        </w:rPr>
        <w:t>The assistant is currently unreliable for two different reasons: a protocol mismatch causes the visible response to contain OpenAI stream events instead of answer text, and several application paths either return JSON while the browser expects a stream or suppress the answer in favor of lead-qualification questions. The result is malformed, blank, overly generic, or seemingly unrelated replies.</w:t>
      </w:r>
    </w:p>
    <w:tbl>
      <w:tblPr>
        <w:tblW w:type="auto" w:w="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pPr>
              <w:spacing w:after="40"/>
            </w:pPr>
            <w:r>
              <w:rPr>
                <w:rFonts w:ascii="Calibri" w:hAnsi="Calibri"/>
                <w:b/>
                <w:i w:val="0"/>
                <w:color w:val="0B2545"/>
                <w:sz w:val="22"/>
              </w:rPr>
              <w:t xml:space="preserve">Primary root cause. </w:t>
            </w:r>
            <w:r>
              <w:rPr>
                <w:rFonts w:ascii="Calibri" w:hAnsi="Calibri"/>
                <w:b w:val="0"/>
                <w:i w:val="0"/>
                <w:color w:val="0B2545"/>
                <w:sz w:val="22"/>
              </w:rPr>
              <w:t>chat.mjs proxies OpenAI Server-Sent Events unchanged, while cityhub-assistant.js appends raw bytes to the message bubble. The browser must parse response.output_text.delta events, or the server must convert them into an application-owned stream.</w:t>
            </w:r>
          </w:p>
        </w:tc>
      </w:tr>
    </w:tbl>
    <w:p>
      <w:pPr>
        <w:spacing w:after="40"/>
      </w:pPr>
    </w:p>
    <w:p>
      <w:pPr>
        <w:spacing w:before="320" w:after="160"/>
      </w:pPr>
      <w:r>
        <w:rPr>
          <w:rFonts w:ascii="Calibri" w:hAnsi="Calibri"/>
          <w:b/>
          <w:i w:val="0"/>
          <w:color w:val="2E74B5"/>
          <w:sz w:val="32"/>
        </w:rPr>
        <w:t>2. Audit scope and system map</w:t>
      </w:r>
    </w:p>
    <w:p>
      <w:pPr>
        <w:spacing w:before="0" w:after="120" w:line="264" w:lineRule="auto"/>
      </w:pPr>
      <w:r>
        <w:rPr>
          <w:rFonts w:ascii="Calibri" w:hAnsi="Calibri"/>
          <w:b w:val="0"/>
          <w:i w:val="0"/>
          <w:color w:val="000000"/>
          <w:sz w:val="22"/>
        </w:rPr>
        <w:t>Reviewed the complete project inventory: seven public site pages, the assistant widget and CSS/loader, Netlify functions and supporting libraries, the knowledge-sync script and generated manifest, the admin interface, deployment configuration, package files, and environment template. Image assets and archived ZIP content were not treated as executable AI logic.</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512"/>
            <w:tcMar>
              <w:top w:w="80" w:type="dxa"/>
              <w:start w:w="120" w:type="dxa"/>
              <w:bottom w:w="80" w:type="dxa"/>
              <w:end w:w="120" w:type="dxa"/>
            </w:tcMar>
            <w:vAlign w:val="center"/>
            <w:shd w:fill="F2F4F7"/>
          </w:tcPr>
          <w:p>
            <w:pPr>
              <w:spacing w:after="0"/>
            </w:pPr>
            <w:r>
              <w:rPr>
                <w:rFonts w:ascii="Calibri" w:hAnsi="Calibri"/>
                <w:b/>
                <w:i w:val="0"/>
                <w:color w:val="0B2545"/>
                <w:sz w:val="20"/>
              </w:rPr>
              <w:t>Layer</w:t>
            </w:r>
          </w:p>
        </w:tc>
        <w:tc>
          <w:tcPr>
            <w:tcW w:type="dxa" w:w="3816"/>
            <w:tcMar>
              <w:top w:w="80" w:type="dxa"/>
              <w:start w:w="120" w:type="dxa"/>
              <w:bottom w:w="80" w:type="dxa"/>
              <w:end w:w="120" w:type="dxa"/>
            </w:tcMar>
            <w:vAlign w:val="center"/>
            <w:shd w:fill="F2F4F7"/>
          </w:tcPr>
          <w:p>
            <w:pPr>
              <w:spacing w:after="0"/>
            </w:pPr>
            <w:r>
              <w:rPr>
                <w:rFonts w:ascii="Calibri" w:hAnsi="Calibri"/>
                <w:b/>
                <w:i w:val="0"/>
                <w:color w:val="0B2545"/>
                <w:sz w:val="20"/>
              </w:rPr>
              <w:t>Files reviewed</w:t>
            </w:r>
          </w:p>
        </w:tc>
        <w:tc>
          <w:tcPr>
            <w:tcW w:type="dxa" w:w="4032"/>
            <w:tcMar>
              <w:top w:w="80" w:type="dxa"/>
              <w:start w:w="120" w:type="dxa"/>
              <w:bottom w:w="80" w:type="dxa"/>
              <w:end w:w="120" w:type="dxa"/>
            </w:tcMar>
            <w:vAlign w:val="center"/>
            <w:shd w:fill="F2F4F7"/>
          </w:tcPr>
          <w:p>
            <w:pPr>
              <w:spacing w:after="0"/>
            </w:pPr>
            <w:r>
              <w:rPr>
                <w:rFonts w:ascii="Calibri" w:hAnsi="Calibri"/>
                <w:b/>
                <w:i w:val="0"/>
                <w:color w:val="0B2545"/>
                <w:sz w:val="20"/>
              </w:rPr>
              <w:t>Responsibility</w:t>
            </w:r>
          </w:p>
        </w:tc>
      </w:tr>
      <w:tr>
        <w:tc>
          <w:tcPr>
            <w:tcW w:type="dxa" w:w="3120"/>
          </w:tcPr>
          <w:p>
            <w:pPr>
              <w:spacing w:after="0"/>
            </w:pPr>
            <w:r>
              <w:rPr>
                <w:rFonts w:ascii="Calibri" w:hAnsi="Calibri"/>
                <w:b w:val="0"/>
                <w:i w:val="0"/>
                <w:color w:val="000000"/>
                <w:sz w:val="19"/>
              </w:rPr>
              <w:t>Browser</w:t>
            </w:r>
          </w:p>
        </w:tc>
        <w:tc>
          <w:tcPr>
            <w:tcW w:type="dxa" w:w="3120"/>
          </w:tcPr>
          <w:p>
            <w:pPr>
              <w:spacing w:after="0"/>
            </w:pPr>
            <w:r>
              <w:rPr>
                <w:rFonts w:ascii="Calibri" w:hAnsi="Calibri"/>
                <w:b w:val="0"/>
                <w:i w:val="0"/>
                <w:color w:val="000000"/>
                <w:sz w:val="19"/>
              </w:rPr>
              <w:t>assets/cityhub-assistant.js; loader; CSS; page includes</w:t>
            </w:r>
          </w:p>
        </w:tc>
        <w:tc>
          <w:tcPr>
            <w:tcW w:type="dxa" w:w="3120"/>
          </w:tcPr>
          <w:p>
            <w:pPr>
              <w:spacing w:after="0"/>
            </w:pPr>
            <w:r>
              <w:rPr>
                <w:rFonts w:ascii="Calibri" w:hAnsi="Calibri"/>
                <w:b w:val="0"/>
                <w:i w:val="0"/>
                <w:color w:val="000000"/>
                <w:sz w:val="19"/>
              </w:rPr>
              <w:t>Captures input, renders replies/cards, stores history and lead state.</w:t>
            </w:r>
          </w:p>
        </w:tc>
      </w:tr>
      <w:tr>
        <w:tc>
          <w:tcPr>
            <w:tcW w:type="dxa" w:w="3120"/>
          </w:tcPr>
          <w:p>
            <w:pPr>
              <w:spacing w:after="0"/>
            </w:pPr>
            <w:r>
              <w:rPr>
                <w:rFonts w:ascii="Calibri" w:hAnsi="Calibri"/>
                <w:b w:val="0"/>
                <w:i w:val="0"/>
                <w:color w:val="000000"/>
                <w:sz w:val="19"/>
              </w:rPr>
              <w:t>API</w:t>
            </w:r>
          </w:p>
        </w:tc>
        <w:tc>
          <w:tcPr>
            <w:tcW w:type="dxa" w:w="3120"/>
          </w:tcPr>
          <w:p>
            <w:pPr>
              <w:spacing w:after="0"/>
            </w:pPr>
            <w:r>
              <w:rPr>
                <w:rFonts w:ascii="Calibri" w:hAnsi="Calibri"/>
                <w:b w:val="0"/>
                <w:i w:val="0"/>
                <w:color w:val="000000"/>
                <w:sz w:val="19"/>
              </w:rPr>
              <w:t>netlify/functions/chat.mjs; lead.mjs; search-properties.mjs</w:t>
            </w:r>
          </w:p>
        </w:tc>
        <w:tc>
          <w:tcPr>
            <w:tcW w:type="dxa" w:w="3120"/>
          </w:tcPr>
          <w:p>
            <w:pPr>
              <w:spacing w:after="0"/>
            </w:pPr>
            <w:r>
              <w:rPr>
                <w:rFonts w:ascii="Calibri" w:hAnsi="Calibri"/>
                <w:b w:val="0"/>
                <w:i w:val="0"/>
                <w:color w:val="000000"/>
                <w:sz w:val="19"/>
              </w:rPr>
              <w:t>Routes chat, lead capture, structured search, and handoff.</w:t>
            </w:r>
          </w:p>
        </w:tc>
      </w:tr>
      <w:tr>
        <w:tc>
          <w:tcPr>
            <w:tcW w:type="dxa" w:w="3120"/>
          </w:tcPr>
          <w:p>
            <w:pPr>
              <w:spacing w:after="0"/>
            </w:pPr>
            <w:r>
              <w:rPr>
                <w:rFonts w:ascii="Calibri" w:hAnsi="Calibri"/>
                <w:b w:val="0"/>
                <w:i w:val="0"/>
                <w:color w:val="000000"/>
                <w:sz w:val="19"/>
              </w:rPr>
              <w:t>AI/RAG</w:t>
            </w:r>
          </w:p>
        </w:tc>
        <w:tc>
          <w:tcPr>
            <w:tcW w:type="dxa" w:w="3120"/>
          </w:tcPr>
          <w:p>
            <w:pPr>
              <w:spacing w:after="0"/>
            </w:pPr>
            <w:r>
              <w:rPr>
                <w:rFonts w:ascii="Calibri" w:hAnsi="Calibri"/>
                <w:b w:val="0"/>
                <w:i w:val="0"/>
                <w:color w:val="000000"/>
                <w:sz w:val="19"/>
              </w:rPr>
              <w:t>lib/rag.mjs; lead-flow.mjs; property-search.mjs</w:t>
            </w:r>
          </w:p>
        </w:tc>
        <w:tc>
          <w:tcPr>
            <w:tcW w:type="dxa" w:w="3120"/>
          </w:tcPr>
          <w:p>
            <w:pPr>
              <w:spacing w:after="0"/>
            </w:pPr>
            <w:r>
              <w:rPr>
                <w:rFonts w:ascii="Calibri" w:hAnsi="Calibri"/>
                <w:b w:val="0"/>
                <w:i w:val="0"/>
                <w:color w:val="000000"/>
                <w:sz w:val="19"/>
              </w:rPr>
              <w:t>Retrieval, language/intent detection, slots, and filtering.</w:t>
            </w:r>
          </w:p>
        </w:tc>
      </w:tr>
      <w:tr>
        <w:tc>
          <w:tcPr>
            <w:tcW w:type="dxa" w:w="3120"/>
          </w:tcPr>
          <w:p>
            <w:pPr>
              <w:spacing w:after="0"/>
            </w:pPr>
            <w:r>
              <w:rPr>
                <w:rFonts w:ascii="Calibri" w:hAnsi="Calibri"/>
                <w:b w:val="0"/>
                <w:i w:val="0"/>
                <w:color w:val="000000"/>
                <w:sz w:val="19"/>
              </w:rPr>
              <w:t>Knowledge/Admin</w:t>
            </w:r>
          </w:p>
        </w:tc>
        <w:tc>
          <w:tcPr>
            <w:tcW w:type="dxa" w:w="3120"/>
          </w:tcPr>
          <w:p>
            <w:pPr>
              <w:spacing w:after="0"/>
            </w:pPr>
            <w:r>
              <w:rPr>
                <w:rFonts w:ascii="Calibri" w:hAnsi="Calibri"/>
                <w:b w:val="0"/>
                <w:i w:val="0"/>
                <w:color w:val="000000"/>
                <w:sz w:val="19"/>
              </w:rPr>
              <w:t>sync-knowledge.mjs; reindex-listings.mjs; admin.html</w:t>
            </w:r>
          </w:p>
        </w:tc>
        <w:tc>
          <w:tcPr>
            <w:tcW w:type="dxa" w:w="3120"/>
          </w:tcPr>
          <w:p>
            <w:pPr>
              <w:spacing w:after="0"/>
            </w:pPr>
            <w:r>
              <w:rPr>
                <w:rFonts w:ascii="Calibri" w:hAnsi="Calibri"/>
                <w:b w:val="0"/>
                <w:i w:val="0"/>
                <w:color w:val="000000"/>
                <w:sz w:val="19"/>
              </w:rPr>
              <w:t>Creates embeddings; manages live listing data.</w:t>
            </w:r>
          </w:p>
        </w:tc>
      </w:tr>
      <w:tr>
        <w:tc>
          <w:tcPr>
            <w:tcW w:type="dxa" w:w="3120"/>
          </w:tcPr>
          <w:p>
            <w:pPr>
              <w:spacing w:after="0"/>
            </w:pPr>
            <w:r>
              <w:rPr>
                <w:rFonts w:ascii="Calibri" w:hAnsi="Calibri"/>
                <w:b w:val="0"/>
                <w:i w:val="0"/>
                <w:color w:val="000000"/>
                <w:sz w:val="19"/>
              </w:rPr>
              <w:t>Configuration</w:t>
            </w:r>
          </w:p>
        </w:tc>
        <w:tc>
          <w:tcPr>
            <w:tcW w:type="dxa" w:w="3120"/>
          </w:tcPr>
          <w:p>
            <w:pPr>
              <w:spacing w:after="0"/>
            </w:pPr>
            <w:r>
              <w:rPr>
                <w:rFonts w:ascii="Calibri" w:hAnsi="Calibri"/>
                <w:b w:val="0"/>
                <w:i w:val="0"/>
                <w:color w:val="000000"/>
                <w:sz w:val="19"/>
              </w:rPr>
              <w:t>_netlify.toml; .env.example; package.json</w:t>
            </w:r>
          </w:p>
        </w:tc>
        <w:tc>
          <w:tcPr>
            <w:tcW w:type="dxa" w:w="3120"/>
          </w:tcPr>
          <w:p>
            <w:pPr>
              <w:spacing w:after="0"/>
            </w:pPr>
            <w:r>
              <w:rPr>
                <w:rFonts w:ascii="Calibri" w:hAnsi="Calibri"/>
                <w:b w:val="0"/>
                <w:i w:val="0"/>
                <w:color w:val="000000"/>
                <w:sz w:val="19"/>
              </w:rPr>
              <w:t>Build, function inclusion, security headers, and environment values.</w:t>
            </w:r>
          </w:p>
        </w:tc>
      </w:tr>
    </w:tbl>
    <w:p>
      <w:pPr>
        <w:spacing w:after="40"/>
      </w:pPr>
    </w:p>
    <w:p>
      <w:pPr>
        <w:spacing w:before="320" w:after="160"/>
      </w:pPr>
      <w:r>
        <w:rPr>
          <w:rFonts w:ascii="Calibri" w:hAnsi="Calibri"/>
          <w:b/>
          <w:i w:val="0"/>
          <w:color w:val="2E74B5"/>
          <w:sz w:val="32"/>
        </w:rPr>
        <w:t>3. Findings and why incorrect replies happen</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c>
          <w:tcPr>
            <w:tcW w:type="dxa" w:w="720"/>
            <w:tcMar>
              <w:top w:w="80" w:type="dxa"/>
              <w:start w:w="120" w:type="dxa"/>
              <w:bottom w:w="80" w:type="dxa"/>
              <w:end w:w="120" w:type="dxa"/>
            </w:tcMar>
            <w:vAlign w:val="center"/>
            <w:shd w:fill="F2F4F7"/>
          </w:tcPr>
          <w:p>
            <w:pPr>
              <w:spacing w:after="0"/>
            </w:pPr>
            <w:r>
              <w:rPr>
                <w:rFonts w:ascii="Calibri" w:hAnsi="Calibri"/>
                <w:b/>
                <w:i w:val="0"/>
                <w:color w:val="0B2545"/>
                <w:sz w:val="20"/>
              </w:rPr>
              <w:t>Priority</w:t>
            </w:r>
          </w:p>
        </w:tc>
        <w:tc>
          <w:tcPr>
            <w:tcW w:type="dxa" w:w="2232"/>
            <w:tcMar>
              <w:top w:w="80" w:type="dxa"/>
              <w:start w:w="120" w:type="dxa"/>
              <w:bottom w:w="80" w:type="dxa"/>
              <w:end w:w="120" w:type="dxa"/>
            </w:tcMar>
            <w:vAlign w:val="center"/>
            <w:shd w:fill="F2F4F7"/>
          </w:tcPr>
          <w:p>
            <w:pPr>
              <w:spacing w:after="0"/>
            </w:pPr>
            <w:r>
              <w:rPr>
                <w:rFonts w:ascii="Calibri" w:hAnsi="Calibri"/>
                <w:b/>
                <w:i w:val="0"/>
                <w:color w:val="0B2545"/>
                <w:sz w:val="20"/>
              </w:rPr>
              <w:t>Finding</w:t>
            </w:r>
          </w:p>
        </w:tc>
        <w:tc>
          <w:tcPr>
            <w:tcW w:type="dxa" w:w="3168"/>
            <w:tcMar>
              <w:top w:w="80" w:type="dxa"/>
              <w:start w:w="120" w:type="dxa"/>
              <w:bottom w:w="80" w:type="dxa"/>
              <w:end w:w="120" w:type="dxa"/>
            </w:tcMar>
            <w:vAlign w:val="center"/>
            <w:shd w:fill="F2F4F7"/>
          </w:tcPr>
          <w:p>
            <w:pPr>
              <w:spacing w:after="0"/>
            </w:pPr>
            <w:r>
              <w:rPr>
                <w:rFonts w:ascii="Calibri" w:hAnsi="Calibri"/>
                <w:b/>
                <w:i w:val="0"/>
                <w:color w:val="0B2545"/>
                <w:sz w:val="20"/>
              </w:rPr>
              <w:t>User impact</w:t>
            </w:r>
          </w:p>
        </w:tc>
        <w:tc>
          <w:tcPr>
            <w:tcW w:type="dxa" w:w="3240"/>
            <w:tcMar>
              <w:top w:w="80" w:type="dxa"/>
              <w:start w:w="120" w:type="dxa"/>
              <w:bottom w:w="80" w:type="dxa"/>
              <w:end w:w="120" w:type="dxa"/>
            </w:tcMar>
            <w:vAlign w:val="center"/>
            <w:shd w:fill="F2F4F7"/>
          </w:tcPr>
          <w:p>
            <w:pPr>
              <w:spacing w:after="0"/>
            </w:pPr>
            <w:r>
              <w:rPr>
                <w:rFonts w:ascii="Calibri" w:hAnsi="Calibri"/>
                <w:b/>
                <w:i w:val="0"/>
                <w:color w:val="0B2545"/>
                <w:sz w:val="20"/>
              </w:rPr>
              <w:t>Evidence</w:t>
            </w:r>
          </w:p>
        </w:tc>
      </w:tr>
      <w:tr>
        <w:tc>
          <w:tcPr>
            <w:tcW w:type="dxa" w:w="2340"/>
          </w:tcPr>
          <w:p>
            <w:pPr>
              <w:spacing w:after="0"/>
            </w:pPr>
            <w:r>
              <w:rPr>
                <w:rFonts w:ascii="Calibri" w:hAnsi="Calibri"/>
                <w:b w:val="0"/>
                <w:i w:val="0"/>
                <w:color w:val="000000"/>
                <w:sz w:val="19"/>
              </w:rPr>
              <w:t>P0</w:t>
            </w:r>
          </w:p>
        </w:tc>
        <w:tc>
          <w:tcPr>
            <w:tcW w:type="dxa" w:w="2340"/>
          </w:tcPr>
          <w:p>
            <w:pPr>
              <w:spacing w:after="0"/>
            </w:pPr>
            <w:r>
              <w:rPr>
                <w:rFonts w:ascii="Calibri" w:hAnsi="Calibri"/>
                <w:b w:val="0"/>
                <w:i w:val="0"/>
                <w:color w:val="000000"/>
                <w:sz w:val="19"/>
              </w:rPr>
              <w:t>Raw OpenAI SSE is rendered as text.</w:t>
            </w:r>
          </w:p>
        </w:tc>
        <w:tc>
          <w:tcPr>
            <w:tcW w:type="dxa" w:w="2340"/>
          </w:tcPr>
          <w:p>
            <w:pPr>
              <w:spacing w:after="0"/>
            </w:pPr>
            <w:r>
              <w:rPr>
                <w:rFonts w:ascii="Calibri" w:hAnsi="Calibri"/>
                <w:b w:val="0"/>
                <w:i w:val="0"/>
                <w:color w:val="000000"/>
                <w:sz w:val="19"/>
              </w:rPr>
              <w:t>Replies show event/data fragments or malformed output instead of a natural answer.</w:t>
            </w:r>
          </w:p>
        </w:tc>
        <w:tc>
          <w:tcPr>
            <w:tcW w:type="dxa" w:w="2340"/>
          </w:tcPr>
          <w:p>
            <w:pPr>
              <w:spacing w:after="0"/>
            </w:pPr>
            <w:r>
              <w:rPr>
                <w:rFonts w:ascii="Calibri" w:hAnsi="Calibri"/>
                <w:b w:val="0"/>
                <w:i w:val="0"/>
                <w:color w:val="000000"/>
                <w:sz w:val="19"/>
              </w:rPr>
              <w:t>chat.mjs returns response.body directly; widget concatenates decoded chunks without SSE parsing.</w:t>
            </w:r>
          </w:p>
        </w:tc>
      </w:tr>
      <w:tr>
        <w:tc>
          <w:tcPr>
            <w:tcW w:type="dxa" w:w="2340"/>
          </w:tcPr>
          <w:p>
            <w:pPr>
              <w:spacing w:after="0"/>
            </w:pPr>
            <w:r>
              <w:rPr>
                <w:rFonts w:ascii="Calibri" w:hAnsi="Calibri"/>
                <w:b w:val="0"/>
                <w:i w:val="0"/>
                <w:color w:val="000000"/>
                <w:sz w:val="19"/>
              </w:rPr>
              <w:t>P0</w:t>
            </w:r>
          </w:p>
        </w:tc>
        <w:tc>
          <w:tcPr>
            <w:tcW w:type="dxa" w:w="2340"/>
          </w:tcPr>
          <w:p>
            <w:pPr>
              <w:spacing w:after="0"/>
            </w:pPr>
            <w:r>
              <w:rPr>
                <w:rFonts w:ascii="Calibri" w:hAnsi="Calibri"/>
                <w:b w:val="0"/>
                <w:i w:val="0"/>
                <w:color w:val="000000"/>
                <w:sz w:val="19"/>
              </w:rPr>
              <w:t>Mixed response contracts.</w:t>
            </w:r>
          </w:p>
        </w:tc>
        <w:tc>
          <w:tcPr>
            <w:tcW w:type="dxa" w:w="2340"/>
          </w:tcPr>
          <w:p>
            <w:pPr>
              <w:spacing w:after="0"/>
            </w:pPr>
            <w:r>
              <w:rPr>
                <w:rFonts w:ascii="Calibri" w:hAnsi="Calibri"/>
                <w:b w:val="0"/>
                <w:i w:val="0"/>
                <w:color w:val="000000"/>
                <w:sz w:val="19"/>
              </w:rPr>
              <w:t>Early server responses are JSON, but the widget always reads them as a stream; users see serialized JSON or an empty reply.</w:t>
            </w:r>
          </w:p>
        </w:tc>
        <w:tc>
          <w:tcPr>
            <w:tcW w:type="dxa" w:w="2340"/>
          </w:tcPr>
          <w:p>
            <w:pPr>
              <w:spacing w:after="0"/>
            </w:pPr>
            <w:r>
              <w:rPr>
                <w:rFonts w:ascii="Calibri" w:hAnsi="Calibri"/>
                <w:b w:val="0"/>
                <w:i w:val="0"/>
                <w:color w:val="000000"/>
                <w:sz w:val="19"/>
              </w:rPr>
              <w:t>chat.mjs returns json() for handoff, casual, unsafe, no-match, and errors; client does not inspect Content-Type.</w:t>
            </w:r>
          </w:p>
        </w:tc>
      </w:tr>
      <w:tr>
        <w:tc>
          <w:tcPr>
            <w:tcW w:type="dxa" w:w="2340"/>
          </w:tcPr>
          <w:p>
            <w:pPr>
              <w:spacing w:after="0"/>
            </w:pPr>
            <w:r>
              <w:rPr>
                <w:rFonts w:ascii="Calibri" w:hAnsi="Calibri"/>
                <w:b w:val="0"/>
                <w:i w:val="0"/>
                <w:color w:val="000000"/>
                <w:sz w:val="19"/>
              </w:rPr>
              <w:t>P1</w:t>
            </w:r>
          </w:p>
        </w:tc>
        <w:tc>
          <w:tcPr>
            <w:tcW w:type="dxa" w:w="2340"/>
          </w:tcPr>
          <w:p>
            <w:pPr>
              <w:spacing w:after="0"/>
            </w:pPr>
            <w:r>
              <w:rPr>
                <w:rFonts w:ascii="Calibri" w:hAnsi="Calibri"/>
                <w:b w:val="0"/>
                <w:i w:val="0"/>
                <w:color w:val="000000"/>
                <w:sz w:val="19"/>
              </w:rPr>
              <w:t>Firestore is used before the manifest fallback.</w:t>
            </w:r>
          </w:p>
        </w:tc>
        <w:tc>
          <w:tcPr>
            <w:tcW w:type="dxa" w:w="2340"/>
          </w:tcPr>
          <w:p>
            <w:pPr>
              <w:spacing w:after="0"/>
            </w:pPr>
            <w:r>
              <w:rPr>
                <w:rFonts w:ascii="Calibri" w:hAnsi="Calibri"/>
                <w:b w:val="0"/>
                <w:i w:val="0"/>
                <w:color w:val="000000"/>
                <w:sz w:val="19"/>
              </w:rPr>
              <w:t>If only OPENAI_API_KEY is configured, tracking throws before retrieval and the assistant returns the generic fallback.</w:t>
            </w:r>
          </w:p>
        </w:tc>
        <w:tc>
          <w:tcPr>
            <w:tcW w:type="dxa" w:w="2340"/>
          </w:tcPr>
          <w:p>
            <w:pPr>
              <w:spacing w:after="0"/>
            </w:pPr>
            <w:r>
              <w:rPr>
                <w:rFonts w:ascii="Calibri" w:hAnsi="Calibri"/>
                <w:b w:val="0"/>
                <w:i w:val="0"/>
                <w:color w:val="000000"/>
                <w:sz w:val="19"/>
              </w:rPr>
              <w:t>isChatConfigured checks only the API key; chat.mjs calls db() before retrieve(); db() requires FIREBASE_SERVICE_ACCOUNT.</w:t>
            </w:r>
          </w:p>
        </w:tc>
      </w:tr>
      <w:tr>
        <w:tc>
          <w:tcPr>
            <w:tcW w:type="dxa" w:w="2340"/>
          </w:tcPr>
          <w:p>
            <w:pPr>
              <w:spacing w:after="0"/>
            </w:pPr>
            <w:r>
              <w:rPr>
                <w:rFonts w:ascii="Calibri" w:hAnsi="Calibri"/>
                <w:b w:val="0"/>
                <w:i w:val="0"/>
                <w:color w:val="000000"/>
                <w:sz w:val="19"/>
              </w:rPr>
              <w:t>P1</w:t>
            </w:r>
          </w:p>
        </w:tc>
        <w:tc>
          <w:tcPr>
            <w:tcW w:type="dxa" w:w="2340"/>
          </w:tcPr>
          <w:p>
            <w:pPr>
              <w:spacing w:after="0"/>
            </w:pPr>
            <w:r>
              <w:rPr>
                <w:rFonts w:ascii="Calibri" w:hAnsi="Calibri"/>
                <w:b w:val="0"/>
                <w:i w:val="0"/>
                <w:color w:val="000000"/>
                <w:sz w:val="19"/>
              </w:rPr>
              <w:t>Current message is duplicated in model input.</w:t>
            </w:r>
          </w:p>
        </w:tc>
        <w:tc>
          <w:tcPr>
            <w:tcW w:type="dxa" w:w="2340"/>
          </w:tcPr>
          <w:p>
            <w:pPr>
              <w:spacing w:after="0"/>
            </w:pPr>
            <w:r>
              <w:rPr>
                <w:rFonts w:ascii="Calibri" w:hAnsi="Calibri"/>
                <w:b w:val="0"/>
                <w:i w:val="0"/>
                <w:color w:val="000000"/>
                <w:sz w:val="19"/>
              </w:rPr>
              <w:t>The model receives the newest visitor message twice, increasing confusion and token cost.</w:t>
            </w:r>
          </w:p>
        </w:tc>
        <w:tc>
          <w:tcPr>
            <w:tcW w:type="dxa" w:w="2340"/>
          </w:tcPr>
          <w:p>
            <w:pPr>
              <w:spacing w:after="0"/>
            </w:pPr>
            <w:r>
              <w:rPr>
                <w:rFonts w:ascii="Calibri" w:hAnsi="Calibri"/>
                <w:b w:val="0"/>
                <w:i w:val="0"/>
                <w:color w:val="000000"/>
                <w:sz w:val="19"/>
              </w:rPr>
              <w:t>Client pushes the question into history, then server appends Visitor: question again.</w:t>
            </w:r>
          </w:p>
        </w:tc>
      </w:tr>
      <w:tr>
        <w:tc>
          <w:tcPr>
            <w:tcW w:type="dxa" w:w="2340"/>
          </w:tcPr>
          <w:p>
            <w:pPr>
              <w:spacing w:after="0"/>
            </w:pPr>
            <w:r>
              <w:rPr>
                <w:rFonts w:ascii="Calibri" w:hAnsi="Calibri"/>
                <w:b w:val="0"/>
                <w:i w:val="0"/>
                <w:color w:val="000000"/>
                <w:sz w:val="19"/>
              </w:rPr>
              <w:t>P1</w:t>
            </w:r>
          </w:p>
        </w:tc>
        <w:tc>
          <w:tcPr>
            <w:tcW w:type="dxa" w:w="2340"/>
          </w:tcPr>
          <w:p>
            <w:pPr>
              <w:spacing w:after="0"/>
            </w:pPr>
            <w:r>
              <w:rPr>
                <w:rFonts w:ascii="Calibri" w:hAnsi="Calibri"/>
                <w:b w:val="0"/>
                <w:i w:val="0"/>
                <w:color w:val="000000"/>
                <w:sz w:val="19"/>
              </w:rPr>
              <w:t>Qualification question overrides the answer.</w:t>
            </w:r>
          </w:p>
        </w:tc>
        <w:tc>
          <w:tcPr>
            <w:tcW w:type="dxa" w:w="2340"/>
          </w:tcPr>
          <w:p>
            <w:pPr>
              <w:spacing w:after="0"/>
            </w:pPr>
            <w:r>
              <w:rPr>
                <w:rFonts w:ascii="Calibri" w:hAnsi="Calibri"/>
                <w:b w:val="0"/>
                <w:i w:val="0"/>
                <w:color w:val="000000"/>
                <w:sz w:val="19"/>
              </w:rPr>
              <w:t>A user asking a factual website question during a property inquiry can receive only a slot question instead of the requested answer.</w:t>
            </w:r>
          </w:p>
        </w:tc>
        <w:tc>
          <w:tcPr>
            <w:tcW w:type="dxa" w:w="2340"/>
          </w:tcPr>
          <w:p>
            <w:pPr>
              <w:spacing w:after="0"/>
            </w:pPr>
            <w:r>
              <w:rPr>
                <w:rFonts w:ascii="Calibri" w:hAnsi="Calibri"/>
                <w:b w:val="0"/>
                <w:i w:val="0"/>
                <w:color w:val="000000"/>
                <w:sz w:val="19"/>
              </w:rPr>
              <w:t>Prompt says to ask nextQuestion and may ignore the previous statement.</w:t>
            </w:r>
          </w:p>
        </w:tc>
      </w:tr>
      <w:tr>
        <w:tc>
          <w:tcPr>
            <w:tcW w:type="dxa" w:w="2340"/>
          </w:tcPr>
          <w:p>
            <w:pPr>
              <w:spacing w:after="0"/>
            </w:pPr>
            <w:r>
              <w:rPr>
                <w:rFonts w:ascii="Calibri" w:hAnsi="Calibri"/>
                <w:b w:val="0"/>
                <w:i w:val="0"/>
                <w:color w:val="000000"/>
                <w:sz w:val="19"/>
              </w:rPr>
              <w:t>P1</w:t>
            </w:r>
          </w:p>
        </w:tc>
        <w:tc>
          <w:tcPr>
            <w:tcW w:type="dxa" w:w="2340"/>
          </w:tcPr>
          <w:p>
            <w:pPr>
              <w:spacing w:after="0"/>
            </w:pPr>
            <w:r>
              <w:rPr>
                <w:rFonts w:ascii="Calibri" w:hAnsi="Calibri"/>
                <w:b w:val="0"/>
                <w:i w:val="0"/>
                <w:color w:val="000000"/>
                <w:sz w:val="19"/>
              </w:rPr>
              <w:t>Listing changes are not re-indexed automatically.</w:t>
            </w:r>
          </w:p>
        </w:tc>
        <w:tc>
          <w:tcPr>
            <w:tcW w:type="dxa" w:w="2340"/>
          </w:tcPr>
          <w:p>
            <w:pPr>
              <w:spacing w:after="0"/>
            </w:pPr>
            <w:r>
              <w:rPr>
                <w:rFonts w:ascii="Calibri" w:hAnsi="Calibri"/>
                <w:b w:val="0"/>
                <w:i w:val="0"/>
                <w:color w:val="000000"/>
                <w:sz w:val="19"/>
              </w:rPr>
              <w:t>The assistant can answer from stale listing content after an admin creates or edits a listing.</w:t>
            </w:r>
          </w:p>
        </w:tc>
        <w:tc>
          <w:tcPr>
            <w:tcW w:type="dxa" w:w="2340"/>
          </w:tcPr>
          <w:p>
            <w:pPr>
              <w:spacing w:after="0"/>
            </w:pPr>
            <w:r>
              <w:rPr>
                <w:rFonts w:ascii="Calibri" w:hAnsi="Calibri"/>
                <w:b w:val="0"/>
                <w:i w:val="0"/>
                <w:color w:val="000000"/>
                <w:sz w:val="19"/>
              </w:rPr>
              <w:t>admin.html writes Firestore listings but never invokes reindex-listings.</w:t>
            </w:r>
          </w:p>
        </w:tc>
      </w:tr>
      <w:tr>
        <w:tc>
          <w:tcPr>
            <w:tcW w:type="dxa" w:w="2340"/>
          </w:tcPr>
          <w:p>
            <w:pPr>
              <w:spacing w:after="0"/>
            </w:pPr>
            <w:r>
              <w:rPr>
                <w:rFonts w:ascii="Calibri" w:hAnsi="Calibri"/>
                <w:b w:val="0"/>
                <w:i w:val="0"/>
                <w:color w:val="000000"/>
                <w:sz w:val="19"/>
              </w:rPr>
              <w:t>P2</w:t>
            </w:r>
          </w:p>
        </w:tc>
        <w:tc>
          <w:tcPr>
            <w:tcW w:type="dxa" w:w="2340"/>
          </w:tcPr>
          <w:p>
            <w:pPr>
              <w:spacing w:after="0"/>
            </w:pPr>
            <w:r>
              <w:rPr>
                <w:rFonts w:ascii="Calibri" w:hAnsi="Calibri"/>
                <w:b w:val="0"/>
                <w:i w:val="0"/>
                <w:color w:val="000000"/>
                <w:sz w:val="19"/>
              </w:rPr>
              <w:t>Property matching uses display labels as strict category patterns.</w:t>
            </w:r>
          </w:p>
        </w:tc>
        <w:tc>
          <w:tcPr>
            <w:tcW w:type="dxa" w:w="2340"/>
          </w:tcPr>
          <w:p>
            <w:pPr>
              <w:spacing w:after="0"/>
            </w:pPr>
            <w:r>
              <w:rPr>
                <w:rFonts w:ascii="Calibri" w:hAnsi="Calibri"/>
                <w:b w:val="0"/>
                <w:i w:val="0"/>
                <w:color w:val="000000"/>
                <w:sz w:val="19"/>
              </w:rPr>
              <w:t>Valid office inventory can be missed when stored categories are Mohali Offices/Chandigarh Offices rather than Private Office.</w:t>
            </w:r>
          </w:p>
        </w:tc>
        <w:tc>
          <w:tcPr>
            <w:tcW w:type="dxa" w:w="2340"/>
          </w:tcPr>
          <w:p>
            <w:pPr>
              <w:spacing w:after="0"/>
            </w:pPr>
            <w:r>
              <w:rPr>
                <w:rFonts w:ascii="Calibri" w:hAnsi="Calibri"/>
                <w:b w:val="0"/>
                <w:i w:val="0"/>
                <w:color w:val="000000"/>
                <w:sz w:val="19"/>
              </w:rPr>
              <w:t>property-search.mjs matches state.officeType against category text.</w:t>
            </w:r>
          </w:p>
        </w:tc>
      </w:tr>
      <w:tr>
        <w:tc>
          <w:tcPr>
            <w:tcW w:type="dxa" w:w="2340"/>
          </w:tcPr>
          <w:p>
            <w:pPr>
              <w:spacing w:after="0"/>
            </w:pPr>
            <w:r>
              <w:rPr>
                <w:rFonts w:ascii="Calibri" w:hAnsi="Calibri"/>
                <w:b w:val="0"/>
                <w:i w:val="0"/>
                <w:color w:val="000000"/>
                <w:sz w:val="19"/>
              </w:rPr>
              <w:t>P2</w:t>
            </w:r>
          </w:p>
        </w:tc>
        <w:tc>
          <w:tcPr>
            <w:tcW w:type="dxa" w:w="2340"/>
          </w:tcPr>
          <w:p>
            <w:pPr>
              <w:spacing w:after="0"/>
            </w:pPr>
            <w:r>
              <w:rPr>
                <w:rFonts w:ascii="Calibri" w:hAnsi="Calibri"/>
                <w:b w:val="0"/>
                <w:i w:val="0"/>
                <w:color w:val="000000"/>
                <w:sz w:val="19"/>
              </w:rPr>
              <w:t>Silent error handling and no quality telemetry.</w:t>
            </w:r>
          </w:p>
        </w:tc>
        <w:tc>
          <w:tcPr>
            <w:tcW w:type="dxa" w:w="2340"/>
          </w:tcPr>
          <w:p>
            <w:pPr>
              <w:spacing w:after="0"/>
            </w:pPr>
            <w:r>
              <w:rPr>
                <w:rFonts w:ascii="Calibri" w:hAnsi="Calibri"/>
                <w:b w:val="0"/>
                <w:i w:val="0"/>
                <w:color w:val="000000"/>
                <w:sz w:val="19"/>
              </w:rPr>
              <w:t>Operators cannot distinguish a retrieval miss, provider error, invalid response, or client parser failure.</w:t>
            </w:r>
          </w:p>
        </w:tc>
        <w:tc>
          <w:tcPr>
            <w:tcW w:type="dxa" w:w="2340"/>
          </w:tcPr>
          <w:p>
            <w:pPr>
              <w:spacing w:after="0"/>
            </w:pPr>
            <w:r>
              <w:rPr>
                <w:rFonts w:ascii="Calibri" w:hAnsi="Calibri"/>
                <w:b w:val="0"/>
                <w:i w:val="0"/>
                <w:color w:val="000000"/>
                <w:sz w:val="19"/>
              </w:rPr>
              <w:t>chat.mjs converts all caught errors to the same 200 fallback; no request ID or outcome metric.</w:t>
            </w:r>
          </w:p>
        </w:tc>
      </w:tr>
      <w:tr>
        <w:tc>
          <w:tcPr>
            <w:tcW w:type="dxa" w:w="2340"/>
          </w:tcPr>
          <w:p>
            <w:pPr>
              <w:spacing w:after="0"/>
            </w:pPr>
            <w:r>
              <w:rPr>
                <w:rFonts w:ascii="Calibri" w:hAnsi="Calibri"/>
                <w:b w:val="0"/>
                <w:i w:val="0"/>
                <w:color w:val="000000"/>
                <w:sz w:val="19"/>
              </w:rPr>
              <w:t>P2</w:t>
            </w:r>
          </w:p>
        </w:tc>
        <w:tc>
          <w:tcPr>
            <w:tcW w:type="dxa" w:w="2340"/>
          </w:tcPr>
          <w:p>
            <w:pPr>
              <w:spacing w:after="0"/>
            </w:pPr>
            <w:r>
              <w:rPr>
                <w:rFonts w:ascii="Calibri" w:hAnsi="Calibri"/>
                <w:b w:val="0"/>
                <w:i w:val="0"/>
                <w:color w:val="000000"/>
                <w:sz w:val="19"/>
              </w:rPr>
              <w:t>Unbounded/unsafe presentation and identity inputs.</w:t>
            </w:r>
          </w:p>
        </w:tc>
        <w:tc>
          <w:tcPr>
            <w:tcW w:type="dxa" w:w="2340"/>
          </w:tcPr>
          <w:p>
            <w:pPr>
              <w:spacing w:after="0"/>
            </w:pPr>
            <w:r>
              <w:rPr>
                <w:rFonts w:ascii="Calibri" w:hAnsi="Calibri"/>
                <w:b w:val="0"/>
                <w:i w:val="0"/>
                <w:color w:val="000000"/>
                <w:sz w:val="19"/>
              </w:rPr>
              <w:t>Large JSON headers can fail; a forged session ID can collide; unescaped listing values can become HTML in property cards.</w:t>
            </w:r>
          </w:p>
        </w:tc>
        <w:tc>
          <w:tcPr>
            <w:tcW w:type="dxa" w:w="2340"/>
          </w:tcPr>
          <w:p>
            <w:pPr>
              <w:spacing w:after="0"/>
            </w:pPr>
            <w:r>
              <w:rPr>
                <w:rFonts w:ascii="Calibri" w:hAnsi="Calibri"/>
                <w:b w:val="0"/>
                <w:i w:val="0"/>
                <w:color w:val="000000"/>
                <w:sz w:val="19"/>
              </w:rPr>
              <w:t>Metadata is sent in headers, sessionId is trusted, and card.innerHTML uses listing text.</w:t>
            </w:r>
          </w:p>
        </w:tc>
      </w:tr>
    </w:tbl>
    <w:p>
      <w:pPr>
        <w:spacing w:after="40"/>
      </w:pPr>
    </w:p>
    <w:p>
      <w:pPr>
        <w:spacing w:before="320" w:after="160"/>
      </w:pPr>
      <w:r>
        <w:rPr>
          <w:rFonts w:ascii="Calibri" w:hAnsi="Calibri"/>
          <w:b/>
          <w:i w:val="0"/>
          <w:color w:val="2E74B5"/>
          <w:sz w:val="32"/>
        </w:rPr>
        <w:t>4. Product goal and success metrics</w:t>
      </w:r>
    </w:p>
    <w:p>
      <w:pPr>
        <w:spacing w:before="0" w:after="120" w:line="264" w:lineRule="auto"/>
      </w:pPr>
      <w:r>
        <w:rPr>
          <w:rFonts w:ascii="Calibri" w:hAnsi="Calibri"/>
          <w:b w:val="0"/>
          <w:i w:val="0"/>
          <w:color w:val="000000"/>
          <w:sz w:val="22"/>
        </w:rPr>
        <w:t>Goal: make Ava return a clean, grounded answer for every supported chat outcome, keep live property recommendations current, and give operators enough evidence to diagnose failures.</w:t>
      </w:r>
    </w:p>
    <w:p>
      <w:pPr>
        <w:pStyle w:val="ListBullet"/>
        <w:spacing w:after="80" w:line="280" w:lineRule="auto"/>
      </w:pPr>
      <w:r>
        <w:rPr>
          <w:rFonts w:ascii="Calibri" w:hAnsi="Calibri"/>
          <w:b w:val="0"/>
          <w:i w:val="0"/>
          <w:color w:val="000000"/>
          <w:sz w:val="22"/>
        </w:rPr>
        <w:t>99% of successful chat requests render readable answer text with no SSE/JSON protocol tokens.</w:t>
      </w:r>
    </w:p>
    <w:p>
      <w:pPr>
        <w:pStyle w:val="ListBullet"/>
        <w:spacing w:after="80" w:line="280" w:lineRule="auto"/>
      </w:pPr>
      <w:r>
        <w:rPr>
          <w:rFonts w:ascii="Calibri" w:hAnsi="Calibri"/>
          <w:b w:val="0"/>
          <w:i w:val="0"/>
          <w:color w:val="000000"/>
          <w:sz w:val="22"/>
        </w:rPr>
        <w:t>At least 95% of supported factual answers include only retrieved or structured listing facts and show source links when applicable.</w:t>
      </w:r>
    </w:p>
    <w:p>
      <w:pPr>
        <w:pStyle w:val="ListBullet"/>
        <w:spacing w:after="80" w:line="280" w:lineRule="auto"/>
      </w:pPr>
      <w:r>
        <w:rPr>
          <w:rFonts w:ascii="Calibri" w:hAnsi="Calibri"/>
          <w:b w:val="0"/>
          <w:i w:val="0"/>
          <w:color w:val="000000"/>
          <w:sz w:val="22"/>
        </w:rPr>
        <w:t>100% of listing create, edit, and delete events schedule an idempotent index refresh; freshness target is under five minutes.</w:t>
      </w:r>
    </w:p>
    <w:p>
      <w:pPr>
        <w:pStyle w:val="ListBullet"/>
        <w:spacing w:after="80" w:line="280" w:lineRule="auto"/>
      </w:pPr>
      <w:r>
        <w:rPr>
          <w:rFonts w:ascii="Calibri" w:hAnsi="Calibri"/>
          <w:b w:val="0"/>
          <w:i w:val="0"/>
          <w:color w:val="000000"/>
          <w:sz w:val="22"/>
        </w:rPr>
        <w:t>Every request receives a request ID and a classified outcome: success, no-grounded-answer, provider failure, validation failure, or rate limit.</w:t>
      </w:r>
    </w:p>
    <w:p>
      <w:pPr>
        <w:spacing w:before="320" w:after="160"/>
      </w:pPr>
      <w:r>
        <w:rPr>
          <w:rFonts w:ascii="Calibri" w:hAnsi="Calibri"/>
          <w:b/>
          <w:i w:val="0"/>
          <w:color w:val="2E74B5"/>
          <w:sz w:val="32"/>
        </w:rPr>
        <w:t>5. Functional requirements</w:t>
      </w:r>
    </w:p>
    <w:p>
      <w:pPr>
        <w:spacing w:before="240" w:after="120"/>
      </w:pPr>
      <w:r>
        <w:rPr>
          <w:rFonts w:ascii="Calibri" w:hAnsi="Calibri"/>
          <w:b/>
          <w:i w:val="0"/>
          <w:color w:val="2E74B5"/>
          <w:sz w:val="26"/>
        </w:rPr>
        <w:t>5.1 One application-owned chat contract</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936"/>
            <w:tcMar>
              <w:top w:w="80" w:type="dxa"/>
              <w:start w:w="120" w:type="dxa"/>
              <w:bottom w:w="80" w:type="dxa"/>
              <w:end w:w="120" w:type="dxa"/>
            </w:tcMar>
            <w:vAlign w:val="center"/>
            <w:shd w:fill="F2F4F7"/>
          </w:tcPr>
          <w:p>
            <w:pPr>
              <w:spacing w:after="0"/>
            </w:pPr>
            <w:r>
              <w:rPr>
                <w:rFonts w:ascii="Calibri" w:hAnsi="Calibri"/>
                <w:b/>
                <w:i w:val="0"/>
                <w:color w:val="0B2545"/>
                <w:sz w:val="20"/>
              </w:rPr>
              <w:t>ID</w:t>
            </w:r>
          </w:p>
        </w:tc>
        <w:tc>
          <w:tcPr>
            <w:tcW w:type="dxa" w:w="3744"/>
            <w:tcMar>
              <w:top w:w="80" w:type="dxa"/>
              <w:start w:w="120" w:type="dxa"/>
              <w:bottom w:w="80" w:type="dxa"/>
              <w:end w:w="120" w:type="dxa"/>
            </w:tcMar>
            <w:vAlign w:val="center"/>
            <w:shd w:fill="F2F4F7"/>
          </w:tcPr>
          <w:p>
            <w:pPr>
              <w:spacing w:after="0"/>
            </w:pPr>
            <w:r>
              <w:rPr>
                <w:rFonts w:ascii="Calibri" w:hAnsi="Calibri"/>
                <w:b/>
                <w:i w:val="0"/>
                <w:color w:val="0B2545"/>
                <w:sz w:val="20"/>
              </w:rPr>
              <w:t>Requirement</w:t>
            </w:r>
          </w:p>
        </w:tc>
        <w:tc>
          <w:tcPr>
            <w:tcW w:type="dxa" w:w="4320"/>
            <w:tcMar>
              <w:top w:w="80" w:type="dxa"/>
              <w:start w:w="120" w:type="dxa"/>
              <w:bottom w:w="80" w:type="dxa"/>
              <w:end w:w="120" w:type="dxa"/>
            </w:tcMar>
            <w:vAlign w:val="center"/>
            <w:shd w:fill="F2F4F7"/>
          </w:tcPr>
          <w:p>
            <w:pPr>
              <w:spacing w:after="0"/>
            </w:pPr>
            <w:r>
              <w:rPr>
                <w:rFonts w:ascii="Calibri" w:hAnsi="Calibri"/>
                <w:b/>
                <w:i w:val="0"/>
                <w:color w:val="0B2545"/>
                <w:sz w:val="20"/>
              </w:rPr>
              <w:t>Acceptance criteria</w:t>
            </w:r>
          </w:p>
        </w:tc>
      </w:tr>
      <w:tr>
        <w:tc>
          <w:tcPr>
            <w:tcW w:type="dxa" w:w="3120"/>
          </w:tcPr>
          <w:p>
            <w:pPr>
              <w:spacing w:after="0"/>
            </w:pPr>
            <w:r>
              <w:rPr>
                <w:rFonts w:ascii="Calibri" w:hAnsi="Calibri"/>
                <w:b w:val="0"/>
                <w:i w:val="0"/>
                <w:color w:val="000000"/>
                <w:sz w:val="19"/>
              </w:rPr>
              <w:t>FR-01</w:t>
            </w:r>
          </w:p>
        </w:tc>
        <w:tc>
          <w:tcPr>
            <w:tcW w:type="dxa" w:w="3120"/>
          </w:tcPr>
          <w:p>
            <w:pPr>
              <w:spacing w:after="0"/>
            </w:pPr>
            <w:r>
              <w:rPr>
                <w:rFonts w:ascii="Calibri" w:hAnsi="Calibri"/>
                <w:b w:val="0"/>
                <w:i w:val="0"/>
                <w:color w:val="000000"/>
                <w:sz w:val="19"/>
              </w:rPr>
              <w:t>Replace raw upstream SSE pass-through with a stable application stream.</w:t>
            </w:r>
          </w:p>
        </w:tc>
        <w:tc>
          <w:tcPr>
            <w:tcW w:type="dxa" w:w="3120"/>
          </w:tcPr>
          <w:p>
            <w:pPr>
              <w:spacing w:after="0"/>
            </w:pPr>
            <w:r>
              <w:rPr>
                <w:rFonts w:ascii="Calibri" w:hAnsi="Calibri"/>
                <w:b w:val="0"/>
                <w:i w:val="0"/>
                <w:color w:val="000000"/>
                <w:sz w:val="19"/>
              </w:rPr>
              <w:t>Server emits only {type:'delta', text} and a final {type:'complete', answer, sources, properties, leadState, intent, requestId}; browser parses events and renders only delta text.</w:t>
            </w:r>
          </w:p>
        </w:tc>
      </w:tr>
      <w:tr>
        <w:tc>
          <w:tcPr>
            <w:tcW w:type="dxa" w:w="3120"/>
          </w:tcPr>
          <w:p>
            <w:pPr>
              <w:spacing w:after="0"/>
            </w:pPr>
            <w:r>
              <w:rPr>
                <w:rFonts w:ascii="Calibri" w:hAnsi="Calibri"/>
                <w:b w:val="0"/>
                <w:i w:val="0"/>
                <w:color w:val="000000"/>
                <w:sz w:val="19"/>
              </w:rPr>
              <w:t>FR-02</w:t>
            </w:r>
          </w:p>
        </w:tc>
        <w:tc>
          <w:tcPr>
            <w:tcW w:type="dxa" w:w="3120"/>
          </w:tcPr>
          <w:p>
            <w:pPr>
              <w:spacing w:after="0"/>
            </w:pPr>
            <w:r>
              <w:rPr>
                <w:rFonts w:ascii="Calibri" w:hAnsi="Calibri"/>
                <w:b w:val="0"/>
                <w:i w:val="0"/>
                <w:color w:val="000000"/>
                <w:sz w:val="19"/>
              </w:rPr>
              <w:t>Use the same contract for every branch.</w:t>
            </w:r>
          </w:p>
        </w:tc>
        <w:tc>
          <w:tcPr>
            <w:tcW w:type="dxa" w:w="3120"/>
          </w:tcPr>
          <w:p>
            <w:pPr>
              <w:spacing w:after="0"/>
            </w:pPr>
            <w:r>
              <w:rPr>
                <w:rFonts w:ascii="Calibri" w:hAnsi="Calibri"/>
                <w:b w:val="0"/>
                <w:i w:val="0"/>
                <w:color w:val="000000"/>
                <w:sz w:val="19"/>
              </w:rPr>
              <w:t>Casual, handoff, unsafe, no-match, and error outcomes emit complete events or a single JSON response selected by an explicit client request mode. The client branches by Content-Type.</w:t>
            </w:r>
          </w:p>
        </w:tc>
      </w:tr>
      <w:tr>
        <w:tc>
          <w:tcPr>
            <w:tcW w:type="dxa" w:w="3120"/>
          </w:tcPr>
          <w:p>
            <w:pPr>
              <w:spacing w:after="0"/>
            </w:pPr>
            <w:r>
              <w:rPr>
                <w:rFonts w:ascii="Calibri" w:hAnsi="Calibri"/>
                <w:b w:val="0"/>
                <w:i w:val="0"/>
                <w:color w:val="000000"/>
                <w:sz w:val="19"/>
              </w:rPr>
              <w:t>FR-03</w:t>
            </w:r>
          </w:p>
        </w:tc>
        <w:tc>
          <w:tcPr>
            <w:tcW w:type="dxa" w:w="3120"/>
          </w:tcPr>
          <w:p>
            <w:pPr>
              <w:spacing w:after="0"/>
            </w:pPr>
            <w:r>
              <w:rPr>
                <w:rFonts w:ascii="Calibri" w:hAnsi="Calibri"/>
                <w:b w:val="0"/>
                <w:i w:val="0"/>
                <w:color w:val="000000"/>
                <w:sz w:val="19"/>
              </w:rPr>
              <w:t>Keep metadata in the response body, not custom headers.</w:t>
            </w:r>
          </w:p>
        </w:tc>
        <w:tc>
          <w:tcPr>
            <w:tcW w:type="dxa" w:w="3120"/>
          </w:tcPr>
          <w:p>
            <w:pPr>
              <w:spacing w:after="0"/>
            </w:pPr>
            <w:r>
              <w:rPr>
                <w:rFonts w:ascii="Calibri" w:hAnsi="Calibri"/>
                <w:b w:val="0"/>
                <w:i w:val="0"/>
                <w:color w:val="000000"/>
                <w:sz w:val="19"/>
              </w:rPr>
              <w:t>No X-Lead-State/X-Properties/X-Sources dependency. Large source/property payloads work without header-size risk.</w:t>
            </w:r>
          </w:p>
        </w:tc>
      </w:tr>
      <w:tr>
        <w:tc>
          <w:tcPr>
            <w:tcW w:type="dxa" w:w="3120"/>
          </w:tcPr>
          <w:p>
            <w:pPr>
              <w:spacing w:after="0"/>
            </w:pPr>
            <w:r>
              <w:rPr>
                <w:rFonts w:ascii="Calibri" w:hAnsi="Calibri"/>
                <w:b w:val="0"/>
                <w:i w:val="0"/>
                <w:color w:val="000000"/>
                <w:sz w:val="19"/>
              </w:rPr>
              <w:t>FR-04</w:t>
            </w:r>
          </w:p>
        </w:tc>
        <w:tc>
          <w:tcPr>
            <w:tcW w:type="dxa" w:w="3120"/>
          </w:tcPr>
          <w:p>
            <w:pPr>
              <w:spacing w:after="0"/>
            </w:pPr>
            <w:r>
              <w:rPr>
                <w:rFonts w:ascii="Calibri" w:hAnsi="Calibri"/>
                <w:b w:val="0"/>
                <w:i w:val="0"/>
                <w:color w:val="000000"/>
                <w:sz w:val="19"/>
              </w:rPr>
              <w:t>Keep a non-streaming fallback.</w:t>
            </w:r>
          </w:p>
        </w:tc>
        <w:tc>
          <w:tcPr>
            <w:tcW w:type="dxa" w:w="3120"/>
          </w:tcPr>
          <w:p>
            <w:pPr>
              <w:spacing w:after="0"/>
            </w:pPr>
            <w:r>
              <w:rPr>
                <w:rFonts w:ascii="Calibri" w:hAnsi="Calibri"/>
                <w:b w:val="0"/>
                <w:i w:val="0"/>
                <w:color w:val="000000"/>
                <w:sz w:val="19"/>
              </w:rPr>
              <w:t>When streaming is unavailable or parsing fails, client requests stream:false and renders answer from JSON safely.</w:t>
            </w:r>
          </w:p>
        </w:tc>
      </w:tr>
    </w:tbl>
    <w:p>
      <w:pPr>
        <w:spacing w:after="40"/>
      </w:pPr>
    </w:p>
    <w:p>
      <w:pPr>
        <w:spacing w:before="240" w:after="120"/>
      </w:pPr>
      <w:r>
        <w:rPr>
          <w:rFonts w:ascii="Calibri" w:hAnsi="Calibri"/>
          <w:b/>
          <w:i w:val="0"/>
          <w:color w:val="2E74B5"/>
          <w:sz w:val="26"/>
        </w:rPr>
        <w:t>5.2 Correct, grounded conversation behavior</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936"/>
            <w:tcMar>
              <w:top w:w="80" w:type="dxa"/>
              <w:start w:w="120" w:type="dxa"/>
              <w:bottom w:w="80" w:type="dxa"/>
              <w:end w:w="120" w:type="dxa"/>
            </w:tcMar>
            <w:vAlign w:val="center"/>
            <w:shd w:fill="F2F4F7"/>
          </w:tcPr>
          <w:p>
            <w:pPr>
              <w:spacing w:after="0"/>
            </w:pPr>
            <w:r>
              <w:rPr>
                <w:rFonts w:ascii="Calibri" w:hAnsi="Calibri"/>
                <w:b/>
                <w:i w:val="0"/>
                <w:color w:val="0B2545"/>
                <w:sz w:val="20"/>
              </w:rPr>
              <w:t>ID</w:t>
            </w:r>
          </w:p>
        </w:tc>
        <w:tc>
          <w:tcPr>
            <w:tcW w:type="dxa" w:w="3744"/>
            <w:tcMar>
              <w:top w:w="80" w:type="dxa"/>
              <w:start w:w="120" w:type="dxa"/>
              <w:bottom w:w="80" w:type="dxa"/>
              <w:end w:w="120" w:type="dxa"/>
            </w:tcMar>
            <w:vAlign w:val="center"/>
            <w:shd w:fill="F2F4F7"/>
          </w:tcPr>
          <w:p>
            <w:pPr>
              <w:spacing w:after="0"/>
            </w:pPr>
            <w:r>
              <w:rPr>
                <w:rFonts w:ascii="Calibri" w:hAnsi="Calibri"/>
                <w:b/>
                <w:i w:val="0"/>
                <w:color w:val="0B2545"/>
                <w:sz w:val="20"/>
              </w:rPr>
              <w:t>Requirement</w:t>
            </w:r>
          </w:p>
        </w:tc>
        <w:tc>
          <w:tcPr>
            <w:tcW w:type="dxa" w:w="4320"/>
            <w:tcMar>
              <w:top w:w="80" w:type="dxa"/>
              <w:start w:w="120" w:type="dxa"/>
              <w:bottom w:w="80" w:type="dxa"/>
              <w:end w:w="120" w:type="dxa"/>
            </w:tcMar>
            <w:vAlign w:val="center"/>
            <w:shd w:fill="F2F4F7"/>
          </w:tcPr>
          <w:p>
            <w:pPr>
              <w:spacing w:after="0"/>
            </w:pPr>
            <w:r>
              <w:rPr>
                <w:rFonts w:ascii="Calibri" w:hAnsi="Calibri"/>
                <w:b/>
                <w:i w:val="0"/>
                <w:color w:val="0B2545"/>
                <w:sz w:val="20"/>
              </w:rPr>
              <w:t>Acceptance criteria</w:t>
            </w:r>
          </w:p>
        </w:tc>
      </w:tr>
      <w:tr>
        <w:tc>
          <w:tcPr>
            <w:tcW w:type="dxa" w:w="3120"/>
          </w:tcPr>
          <w:p>
            <w:pPr>
              <w:spacing w:after="0"/>
            </w:pPr>
            <w:r>
              <w:rPr>
                <w:rFonts w:ascii="Calibri" w:hAnsi="Calibri"/>
                <w:b w:val="0"/>
                <w:i w:val="0"/>
                <w:color w:val="000000"/>
                <w:sz w:val="19"/>
              </w:rPr>
              <w:t>FR-05</w:t>
            </w:r>
          </w:p>
        </w:tc>
        <w:tc>
          <w:tcPr>
            <w:tcW w:type="dxa" w:w="3120"/>
          </w:tcPr>
          <w:p>
            <w:pPr>
              <w:spacing w:after="0"/>
            </w:pPr>
            <w:r>
              <w:rPr>
                <w:rFonts w:ascii="Calibri" w:hAnsi="Calibri"/>
                <w:b w:val="0"/>
                <w:i w:val="0"/>
                <w:color w:val="000000"/>
                <w:sz w:val="19"/>
              </w:rPr>
              <w:t>Validate input before state writes and model calls.</w:t>
            </w:r>
          </w:p>
        </w:tc>
        <w:tc>
          <w:tcPr>
            <w:tcW w:type="dxa" w:w="3120"/>
          </w:tcPr>
          <w:p>
            <w:pPr>
              <w:spacing w:after="0"/>
            </w:pPr>
            <w:r>
              <w:rPr>
                <w:rFonts w:ascii="Calibri" w:hAnsi="Calibri"/>
                <w:b w:val="0"/>
                <w:i w:val="0"/>
                <w:color w:val="000000"/>
                <w:sz w:val="19"/>
              </w:rPr>
              <w:t>Reject empty/over-1,000-character messages; run unsafe-content detection before Firestore work; validate history items and enforce a server-generated/validated session ID.</w:t>
            </w:r>
          </w:p>
        </w:tc>
      </w:tr>
      <w:tr>
        <w:tc>
          <w:tcPr>
            <w:tcW w:type="dxa" w:w="3120"/>
          </w:tcPr>
          <w:p>
            <w:pPr>
              <w:spacing w:after="0"/>
            </w:pPr>
            <w:r>
              <w:rPr>
                <w:rFonts w:ascii="Calibri" w:hAnsi="Calibri"/>
                <w:b w:val="0"/>
                <w:i w:val="0"/>
                <w:color w:val="000000"/>
                <w:sz w:val="19"/>
              </w:rPr>
              <w:t>FR-06</w:t>
            </w:r>
          </w:p>
        </w:tc>
        <w:tc>
          <w:tcPr>
            <w:tcW w:type="dxa" w:w="3120"/>
          </w:tcPr>
          <w:p>
            <w:pPr>
              <w:spacing w:after="0"/>
            </w:pPr>
            <w:r>
              <w:rPr>
                <w:rFonts w:ascii="Calibri" w:hAnsi="Calibri"/>
                <w:b w:val="0"/>
                <w:i w:val="0"/>
                <w:color w:val="000000"/>
                <w:sz w:val="19"/>
              </w:rPr>
              <w:t>Send each visitor message to the model exactly once.</w:t>
            </w:r>
          </w:p>
        </w:tc>
        <w:tc>
          <w:tcPr>
            <w:tcW w:type="dxa" w:w="3120"/>
          </w:tcPr>
          <w:p>
            <w:pPr>
              <w:spacing w:after="0"/>
            </w:pPr>
            <w:r>
              <w:rPr>
                <w:rFonts w:ascii="Calibri" w:hAnsi="Calibri"/>
                <w:b w:val="0"/>
                <w:i w:val="0"/>
                <w:color w:val="000000"/>
                <w:sz w:val="19"/>
              </w:rPr>
              <w:t>Server builds recent history excluding the current message, then appends one Visitor line. Automated test asserts one occurrence.</w:t>
            </w:r>
          </w:p>
        </w:tc>
      </w:tr>
      <w:tr>
        <w:tc>
          <w:tcPr>
            <w:tcW w:type="dxa" w:w="3120"/>
          </w:tcPr>
          <w:p>
            <w:pPr>
              <w:spacing w:after="0"/>
            </w:pPr>
            <w:r>
              <w:rPr>
                <w:rFonts w:ascii="Calibri" w:hAnsi="Calibri"/>
                <w:b w:val="0"/>
                <w:i w:val="0"/>
                <w:color w:val="000000"/>
                <w:sz w:val="19"/>
              </w:rPr>
              <w:t>FR-07</w:t>
            </w:r>
          </w:p>
        </w:tc>
        <w:tc>
          <w:tcPr>
            <w:tcW w:type="dxa" w:w="3120"/>
          </w:tcPr>
          <w:p>
            <w:pPr>
              <w:spacing w:after="0"/>
            </w:pPr>
            <w:r>
              <w:rPr>
                <w:rFonts w:ascii="Calibri" w:hAnsi="Calibri"/>
                <w:b w:val="0"/>
                <w:i w:val="0"/>
                <w:color w:val="000000"/>
                <w:sz w:val="19"/>
              </w:rPr>
              <w:t>Answer first, qualify second.</w:t>
            </w:r>
          </w:p>
        </w:tc>
        <w:tc>
          <w:tcPr>
            <w:tcW w:type="dxa" w:w="3120"/>
          </w:tcPr>
          <w:p>
            <w:pPr>
              <w:spacing w:after="0"/>
            </w:pPr>
            <w:r>
              <w:rPr>
                <w:rFonts w:ascii="Calibri" w:hAnsi="Calibri"/>
                <w:b w:val="0"/>
                <w:i w:val="0"/>
                <w:color w:val="000000"/>
                <w:sz w:val="19"/>
              </w:rPr>
              <w:t>When retrieved context supports a factual question, answer it and append at most one relevant follow-up. Ask a pure qualification question only when no supported answer is requested.</w:t>
            </w:r>
          </w:p>
        </w:tc>
      </w:tr>
      <w:tr>
        <w:tc>
          <w:tcPr>
            <w:tcW w:type="dxa" w:w="3120"/>
          </w:tcPr>
          <w:p>
            <w:pPr>
              <w:spacing w:after="0"/>
            </w:pPr>
            <w:r>
              <w:rPr>
                <w:rFonts w:ascii="Calibri" w:hAnsi="Calibri"/>
                <w:b w:val="0"/>
                <w:i w:val="0"/>
                <w:color w:val="000000"/>
                <w:sz w:val="19"/>
              </w:rPr>
              <w:t>FR-08</w:t>
            </w:r>
          </w:p>
        </w:tc>
        <w:tc>
          <w:tcPr>
            <w:tcW w:type="dxa" w:w="3120"/>
          </w:tcPr>
          <w:p>
            <w:pPr>
              <w:spacing w:after="0"/>
            </w:pPr>
            <w:r>
              <w:rPr>
                <w:rFonts w:ascii="Calibri" w:hAnsi="Calibri"/>
                <w:b w:val="0"/>
                <w:i w:val="0"/>
                <w:color w:val="000000"/>
                <w:sz w:val="19"/>
              </w:rPr>
              <w:t>Preserve grounded answers.</w:t>
            </w:r>
          </w:p>
        </w:tc>
        <w:tc>
          <w:tcPr>
            <w:tcW w:type="dxa" w:w="3120"/>
          </w:tcPr>
          <w:p>
            <w:pPr>
              <w:spacing w:after="0"/>
            </w:pPr>
            <w:r>
              <w:rPr>
                <w:rFonts w:ascii="Calibri" w:hAnsi="Calibri"/>
                <w:b w:val="0"/>
                <w:i w:val="0"/>
                <w:color w:val="000000"/>
                <w:sz w:val="19"/>
              </w:rPr>
              <w:t>Model instruction requires source-supported claims; return the standard fallback when retrieval confidence is insufficient; deduplicate sources in UI.</w:t>
            </w:r>
          </w:p>
        </w:tc>
      </w:tr>
      <w:tr>
        <w:tc>
          <w:tcPr>
            <w:tcW w:type="dxa" w:w="3120"/>
          </w:tcPr>
          <w:p>
            <w:pPr>
              <w:spacing w:after="0"/>
            </w:pPr>
            <w:r>
              <w:rPr>
                <w:rFonts w:ascii="Calibri" w:hAnsi="Calibri"/>
                <w:b w:val="0"/>
                <w:i w:val="0"/>
                <w:color w:val="000000"/>
                <w:sz w:val="19"/>
              </w:rPr>
              <w:t>FR-09</w:t>
            </w:r>
          </w:p>
        </w:tc>
        <w:tc>
          <w:tcPr>
            <w:tcW w:type="dxa" w:w="3120"/>
          </w:tcPr>
          <w:p>
            <w:pPr>
              <w:spacing w:after="0"/>
            </w:pPr>
            <w:r>
              <w:rPr>
                <w:rFonts w:ascii="Calibri" w:hAnsi="Calibri"/>
                <w:b w:val="0"/>
                <w:i w:val="0"/>
                <w:color w:val="000000"/>
                <w:sz w:val="19"/>
              </w:rPr>
              <w:t>Allow manifest-only operation.</w:t>
            </w:r>
          </w:p>
        </w:tc>
        <w:tc>
          <w:tcPr>
            <w:tcW w:type="dxa" w:w="3120"/>
          </w:tcPr>
          <w:p>
            <w:pPr>
              <w:spacing w:after="0"/>
            </w:pPr>
            <w:r>
              <w:rPr>
                <w:rFonts w:ascii="Calibri" w:hAnsi="Calibri"/>
                <w:b w:val="0"/>
                <w:i w:val="0"/>
                <w:color w:val="000000"/>
                <w:sz w:val="19"/>
              </w:rPr>
              <w:t>If Firebase is unavailable, skip session/lead persistence and retrieve from data/knowledge-manifest.json. Chat remains functional with a configured OpenAI key.</w:t>
            </w:r>
          </w:p>
        </w:tc>
      </w:tr>
    </w:tbl>
    <w:p>
      <w:pPr>
        <w:spacing w:after="40"/>
      </w:pPr>
    </w:p>
    <w:p>
      <w:pPr>
        <w:spacing w:before="240" w:after="120"/>
      </w:pPr>
      <w:r>
        <w:rPr>
          <w:rFonts w:ascii="Calibri" w:hAnsi="Calibri"/>
          <w:b/>
          <w:i w:val="0"/>
          <w:color w:val="2E74B5"/>
          <w:sz w:val="26"/>
        </w:rPr>
        <w:t>5.3 Listing search, freshness, and safe rendering</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936"/>
            <w:tcMar>
              <w:top w:w="80" w:type="dxa"/>
              <w:start w:w="120" w:type="dxa"/>
              <w:bottom w:w="80" w:type="dxa"/>
              <w:end w:w="120" w:type="dxa"/>
            </w:tcMar>
            <w:vAlign w:val="center"/>
            <w:shd w:fill="F2F4F7"/>
          </w:tcPr>
          <w:p>
            <w:pPr>
              <w:spacing w:after="0"/>
            </w:pPr>
            <w:r>
              <w:rPr>
                <w:rFonts w:ascii="Calibri" w:hAnsi="Calibri"/>
                <w:b/>
                <w:i w:val="0"/>
                <w:color w:val="0B2545"/>
                <w:sz w:val="20"/>
              </w:rPr>
              <w:t>ID</w:t>
            </w:r>
          </w:p>
        </w:tc>
        <w:tc>
          <w:tcPr>
            <w:tcW w:type="dxa" w:w="3744"/>
            <w:tcMar>
              <w:top w:w="80" w:type="dxa"/>
              <w:start w:w="120" w:type="dxa"/>
              <w:bottom w:w="80" w:type="dxa"/>
              <w:end w:w="120" w:type="dxa"/>
            </w:tcMar>
            <w:vAlign w:val="center"/>
            <w:shd w:fill="F2F4F7"/>
          </w:tcPr>
          <w:p>
            <w:pPr>
              <w:spacing w:after="0"/>
            </w:pPr>
            <w:r>
              <w:rPr>
                <w:rFonts w:ascii="Calibri" w:hAnsi="Calibri"/>
                <w:b/>
                <w:i w:val="0"/>
                <w:color w:val="0B2545"/>
                <w:sz w:val="20"/>
              </w:rPr>
              <w:t>Requirement</w:t>
            </w:r>
          </w:p>
        </w:tc>
        <w:tc>
          <w:tcPr>
            <w:tcW w:type="dxa" w:w="4320"/>
            <w:tcMar>
              <w:top w:w="80" w:type="dxa"/>
              <w:start w:w="120" w:type="dxa"/>
              <w:bottom w:w="80" w:type="dxa"/>
              <w:end w:w="120" w:type="dxa"/>
            </w:tcMar>
            <w:vAlign w:val="center"/>
            <w:shd w:fill="F2F4F7"/>
          </w:tcPr>
          <w:p>
            <w:pPr>
              <w:spacing w:after="0"/>
            </w:pPr>
            <w:r>
              <w:rPr>
                <w:rFonts w:ascii="Calibri" w:hAnsi="Calibri"/>
                <w:b/>
                <w:i w:val="0"/>
                <w:color w:val="0B2545"/>
                <w:sz w:val="20"/>
              </w:rPr>
              <w:t>Acceptance criteria</w:t>
            </w:r>
          </w:p>
        </w:tc>
      </w:tr>
      <w:tr>
        <w:tc>
          <w:tcPr>
            <w:tcW w:type="dxa" w:w="3120"/>
          </w:tcPr>
          <w:p>
            <w:pPr>
              <w:spacing w:after="0"/>
            </w:pPr>
            <w:r>
              <w:rPr>
                <w:rFonts w:ascii="Calibri" w:hAnsi="Calibri"/>
                <w:b w:val="0"/>
                <w:i w:val="0"/>
                <w:color w:val="000000"/>
                <w:sz w:val="19"/>
              </w:rPr>
              <w:t>FR-10</w:t>
            </w:r>
          </w:p>
        </w:tc>
        <w:tc>
          <w:tcPr>
            <w:tcW w:type="dxa" w:w="3120"/>
          </w:tcPr>
          <w:p>
            <w:pPr>
              <w:spacing w:after="0"/>
            </w:pPr>
            <w:r>
              <w:rPr>
                <w:rFonts w:ascii="Calibri" w:hAnsi="Calibri"/>
                <w:b w:val="0"/>
                <w:i w:val="0"/>
                <w:color w:val="000000"/>
                <w:sz w:val="19"/>
              </w:rPr>
              <w:t>Normalize property taxonomy.</w:t>
            </w:r>
          </w:p>
        </w:tc>
        <w:tc>
          <w:tcPr>
            <w:tcW w:type="dxa" w:w="3120"/>
          </w:tcPr>
          <w:p>
            <w:pPr>
              <w:spacing w:after="0"/>
            </w:pPr>
            <w:r>
              <w:rPr>
                <w:rFonts w:ascii="Calibri" w:hAnsi="Calibri"/>
                <w:b w:val="0"/>
                <w:i w:val="0"/>
                <w:color w:val="000000"/>
                <w:sz w:val="19"/>
              </w:rPr>
              <w:t>Map intent labels to canonical categories (office, coworking, warehouse, showroom) and map stored categories to the same taxonomy before filtering.</w:t>
            </w:r>
          </w:p>
        </w:tc>
      </w:tr>
      <w:tr>
        <w:tc>
          <w:tcPr>
            <w:tcW w:type="dxa" w:w="3120"/>
          </w:tcPr>
          <w:p>
            <w:pPr>
              <w:spacing w:after="0"/>
            </w:pPr>
            <w:r>
              <w:rPr>
                <w:rFonts w:ascii="Calibri" w:hAnsi="Calibri"/>
                <w:b w:val="0"/>
                <w:i w:val="0"/>
                <w:color w:val="000000"/>
                <w:sz w:val="19"/>
              </w:rPr>
              <w:t>FR-11</w:t>
            </w:r>
          </w:p>
        </w:tc>
        <w:tc>
          <w:tcPr>
            <w:tcW w:type="dxa" w:w="3120"/>
          </w:tcPr>
          <w:p>
            <w:pPr>
              <w:spacing w:after="0"/>
            </w:pPr>
            <w:r>
              <w:rPr>
                <w:rFonts w:ascii="Calibri" w:hAnsi="Calibri"/>
                <w:b w:val="0"/>
                <w:i w:val="0"/>
                <w:color w:val="000000"/>
                <w:sz w:val="19"/>
              </w:rPr>
              <w:t>Refresh knowledge after listing mutations.</w:t>
            </w:r>
          </w:p>
        </w:tc>
        <w:tc>
          <w:tcPr>
            <w:tcW w:type="dxa" w:w="3120"/>
          </w:tcPr>
          <w:p>
            <w:pPr>
              <w:spacing w:after="0"/>
            </w:pPr>
            <w:r>
              <w:rPr>
                <w:rFonts w:ascii="Calibri" w:hAnsi="Calibri"/>
                <w:b w:val="0"/>
                <w:i w:val="0"/>
                <w:color w:val="000000"/>
                <w:sz w:val="19"/>
              </w:rPr>
              <w:t>Admin create/update/delete invokes an authenticated, idempotent re-index job or queue. Failed jobs are visible and retryable.</w:t>
            </w:r>
          </w:p>
        </w:tc>
      </w:tr>
      <w:tr>
        <w:tc>
          <w:tcPr>
            <w:tcW w:type="dxa" w:w="3120"/>
          </w:tcPr>
          <w:p>
            <w:pPr>
              <w:spacing w:after="0"/>
            </w:pPr>
            <w:r>
              <w:rPr>
                <w:rFonts w:ascii="Calibri" w:hAnsi="Calibri"/>
                <w:b w:val="0"/>
                <w:i w:val="0"/>
                <w:color w:val="000000"/>
                <w:sz w:val="19"/>
              </w:rPr>
              <w:t>FR-12</w:t>
            </w:r>
          </w:p>
        </w:tc>
        <w:tc>
          <w:tcPr>
            <w:tcW w:type="dxa" w:w="3120"/>
          </w:tcPr>
          <w:p>
            <w:pPr>
              <w:spacing w:after="0"/>
            </w:pPr>
            <w:r>
              <w:rPr>
                <w:rFonts w:ascii="Calibri" w:hAnsi="Calibri"/>
                <w:b w:val="0"/>
                <w:i w:val="0"/>
                <w:color w:val="000000"/>
                <w:sz w:val="19"/>
              </w:rPr>
              <w:t>Render listings without HTML interpolation.</w:t>
            </w:r>
          </w:p>
        </w:tc>
        <w:tc>
          <w:tcPr>
            <w:tcW w:type="dxa" w:w="3120"/>
          </w:tcPr>
          <w:p>
            <w:pPr>
              <w:spacing w:after="0"/>
            </w:pPr>
            <w:r>
              <w:rPr>
                <w:rFonts w:ascii="Calibri" w:hAnsi="Calibri"/>
                <w:b w:val="0"/>
                <w:i w:val="0"/>
                <w:color w:val="000000"/>
                <w:sz w:val="19"/>
              </w:rPr>
              <w:t>Titles, locations, prices, summaries, and image URLs are set with DOM APIs after URL validation; no untrusted fields are injected through innerHTML.</w:t>
            </w:r>
          </w:p>
        </w:tc>
      </w:tr>
    </w:tbl>
    <w:p>
      <w:pPr>
        <w:spacing w:after="40"/>
      </w:pPr>
    </w:p>
    <w:p>
      <w:pPr>
        <w:spacing w:before="320" w:after="160"/>
      </w:pPr>
      <w:r>
        <w:rPr>
          <w:rFonts w:ascii="Calibri" w:hAnsi="Calibri"/>
          <w:b/>
          <w:i w:val="0"/>
          <w:color w:val="2E74B5"/>
          <w:sz w:val="32"/>
        </w:rPr>
        <w:t>6. Technical design</w:t>
      </w:r>
    </w:p>
    <w:p>
      <w:pPr>
        <w:spacing w:before="0" w:after="120" w:line="264" w:lineRule="auto"/>
      </w:pPr>
      <w:r>
        <w:rPr>
          <w:rFonts w:ascii="Calibri" w:hAnsi="Calibri"/>
          <w:b w:val="0"/>
          <w:i w:val="0"/>
          <w:color w:val="000000"/>
          <w:sz w:val="22"/>
        </w:rPr>
        <w:t>Recommended sequence: retain OpenAI Responses streaming upstream, parse it inside chat.mjs, and re-emit a minimal event protocol to the widget. This isolates provider event changes from the browser and permits the final event to contain all metadata. Alternatively, temporarily disable streaming end-to-end (stream:false) to restore correctness first; that is the lowest-risk P0 hotfix.</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936"/>
            <w:tcMar>
              <w:top w:w="80" w:type="dxa"/>
              <w:start w:w="120" w:type="dxa"/>
              <w:bottom w:w="80" w:type="dxa"/>
              <w:end w:w="120" w:type="dxa"/>
            </w:tcMar>
            <w:vAlign w:val="center"/>
            <w:shd w:fill="F2F4F7"/>
          </w:tcPr>
          <w:p>
            <w:pPr>
              <w:spacing w:after="0"/>
            </w:pPr>
            <w:r>
              <w:rPr>
                <w:rFonts w:ascii="Calibri" w:hAnsi="Calibri"/>
                <w:b/>
                <w:i w:val="0"/>
                <w:color w:val="0B2545"/>
                <w:sz w:val="20"/>
              </w:rPr>
              <w:t>Step</w:t>
            </w:r>
          </w:p>
        </w:tc>
        <w:tc>
          <w:tcPr>
            <w:tcW w:type="dxa" w:w="4464"/>
            <w:tcMar>
              <w:top w:w="80" w:type="dxa"/>
              <w:start w:w="120" w:type="dxa"/>
              <w:bottom w:w="80" w:type="dxa"/>
              <w:end w:w="120" w:type="dxa"/>
            </w:tcMar>
            <w:vAlign w:val="center"/>
            <w:shd w:fill="F2F4F7"/>
          </w:tcPr>
          <w:p>
            <w:pPr>
              <w:spacing w:after="0"/>
            </w:pPr>
            <w:r>
              <w:rPr>
                <w:rFonts w:ascii="Calibri" w:hAnsi="Calibri"/>
                <w:b/>
                <w:i w:val="0"/>
                <w:color w:val="0B2545"/>
                <w:sz w:val="20"/>
              </w:rPr>
              <w:t>Server behavior</w:t>
            </w:r>
          </w:p>
        </w:tc>
        <w:tc>
          <w:tcPr>
            <w:tcW w:type="dxa" w:w="3600"/>
            <w:tcMar>
              <w:top w:w="80" w:type="dxa"/>
              <w:start w:w="120" w:type="dxa"/>
              <w:bottom w:w="80" w:type="dxa"/>
              <w:end w:w="120" w:type="dxa"/>
            </w:tcMar>
            <w:vAlign w:val="center"/>
            <w:shd w:fill="F2F4F7"/>
          </w:tcPr>
          <w:p>
            <w:pPr>
              <w:spacing w:after="0"/>
            </w:pPr>
            <w:r>
              <w:rPr>
                <w:rFonts w:ascii="Calibri" w:hAnsi="Calibri"/>
                <w:b/>
                <w:i w:val="0"/>
                <w:color w:val="0B2545"/>
                <w:sz w:val="20"/>
              </w:rPr>
              <w:t>Browser behavior</w:t>
            </w:r>
          </w:p>
        </w:tc>
      </w:tr>
      <w:tr>
        <w:tc>
          <w:tcPr>
            <w:tcW w:type="dxa" w:w="3120"/>
          </w:tcPr>
          <w:p>
            <w:pPr>
              <w:spacing w:after="0"/>
            </w:pPr>
            <w:r>
              <w:rPr>
                <w:rFonts w:ascii="Calibri" w:hAnsi="Calibri"/>
                <w:b w:val="0"/>
                <w:i w:val="0"/>
                <w:color w:val="000000"/>
                <w:sz w:val="19"/>
              </w:rPr>
              <w:t>Request</w:t>
            </w:r>
          </w:p>
        </w:tc>
        <w:tc>
          <w:tcPr>
            <w:tcW w:type="dxa" w:w="3120"/>
          </w:tcPr>
          <w:p>
            <w:pPr>
              <w:spacing w:after="0"/>
            </w:pPr>
            <w:r>
              <w:rPr>
                <w:rFonts w:ascii="Calibri" w:hAnsi="Calibri"/>
                <w:b w:val="0"/>
                <w:i w:val="0"/>
                <w:color w:val="000000"/>
                <w:sz w:val="19"/>
              </w:rPr>
              <w:t>Validate request and choose stream mode. Generate requestId. Do not write to Firebase until validated.</w:t>
            </w:r>
          </w:p>
        </w:tc>
        <w:tc>
          <w:tcPr>
            <w:tcW w:type="dxa" w:w="3120"/>
          </w:tcPr>
          <w:p>
            <w:pPr>
              <w:spacing w:after="0"/>
            </w:pPr>
            <w:r>
              <w:rPr>
                <w:rFonts w:ascii="Calibri" w:hAnsi="Calibri"/>
                <w:b w:val="0"/>
                <w:i w:val="0"/>
                <w:color w:val="000000"/>
                <w:sz w:val="19"/>
              </w:rPr>
              <w:t>Send latest question separately from prior history; show typing state.</w:t>
            </w:r>
          </w:p>
        </w:tc>
      </w:tr>
      <w:tr>
        <w:tc>
          <w:tcPr>
            <w:tcW w:type="dxa" w:w="3120"/>
          </w:tcPr>
          <w:p>
            <w:pPr>
              <w:spacing w:after="0"/>
            </w:pPr>
            <w:r>
              <w:rPr>
                <w:rFonts w:ascii="Calibri" w:hAnsi="Calibri"/>
                <w:b w:val="0"/>
                <w:i w:val="0"/>
                <w:color w:val="000000"/>
                <w:sz w:val="19"/>
              </w:rPr>
              <w:t>Grounding</w:t>
            </w:r>
          </w:p>
        </w:tc>
        <w:tc>
          <w:tcPr>
            <w:tcW w:type="dxa" w:w="3120"/>
          </w:tcPr>
          <w:p>
            <w:pPr>
              <w:spacing w:after="0"/>
            </w:pPr>
            <w:r>
              <w:rPr>
                <w:rFonts w:ascii="Calibri" w:hAnsi="Calibri"/>
                <w:b w:val="0"/>
                <w:i w:val="0"/>
                <w:color w:val="000000"/>
                <w:sz w:val="19"/>
              </w:rPr>
              <w:t>Retrieve top matches; apply confidence policy; use canonical property filters.</w:t>
            </w:r>
          </w:p>
        </w:tc>
        <w:tc>
          <w:tcPr>
            <w:tcW w:type="dxa" w:w="3120"/>
          </w:tcPr>
          <w:p>
            <w:pPr>
              <w:spacing w:after="0"/>
            </w:pPr>
            <w:r>
              <w:rPr>
                <w:rFonts w:ascii="Calibri" w:hAnsi="Calibri"/>
                <w:b w:val="0"/>
                <w:i w:val="0"/>
                <w:color w:val="000000"/>
                <w:sz w:val="19"/>
              </w:rPr>
              <w:t>Do not render provider protocol or source text as the answer.</w:t>
            </w:r>
          </w:p>
        </w:tc>
      </w:tr>
      <w:tr>
        <w:tc>
          <w:tcPr>
            <w:tcW w:type="dxa" w:w="3120"/>
          </w:tcPr>
          <w:p>
            <w:pPr>
              <w:spacing w:after="0"/>
            </w:pPr>
            <w:r>
              <w:rPr>
                <w:rFonts w:ascii="Calibri" w:hAnsi="Calibri"/>
                <w:b w:val="0"/>
                <w:i w:val="0"/>
                <w:color w:val="000000"/>
                <w:sz w:val="19"/>
              </w:rPr>
              <w:t>Stream</w:t>
            </w:r>
          </w:p>
        </w:tc>
        <w:tc>
          <w:tcPr>
            <w:tcW w:type="dxa" w:w="3120"/>
          </w:tcPr>
          <w:p>
            <w:pPr>
              <w:spacing w:after="0"/>
            </w:pPr>
            <w:r>
              <w:rPr>
                <w:rFonts w:ascii="Calibri" w:hAnsi="Calibri"/>
                <w:b w:val="0"/>
                <w:i w:val="0"/>
                <w:color w:val="000000"/>
                <w:sz w:val="19"/>
              </w:rPr>
              <w:t>Parse upstream SSE; forward only output_text deltas; end with application complete event.</w:t>
            </w:r>
          </w:p>
        </w:tc>
        <w:tc>
          <w:tcPr>
            <w:tcW w:type="dxa" w:w="3120"/>
          </w:tcPr>
          <w:p>
            <w:pPr>
              <w:spacing w:after="0"/>
            </w:pPr>
            <w:r>
              <w:rPr>
                <w:rFonts w:ascii="Calibri" w:hAnsi="Calibri"/>
                <w:b w:val="0"/>
                <w:i w:val="0"/>
                <w:color w:val="000000"/>
                <w:sz w:val="19"/>
              </w:rPr>
              <w:t>Incrementally append only event.text. On complete, attach cards and sources.</w:t>
            </w:r>
          </w:p>
        </w:tc>
      </w:tr>
      <w:tr>
        <w:tc>
          <w:tcPr>
            <w:tcW w:type="dxa" w:w="3120"/>
          </w:tcPr>
          <w:p>
            <w:pPr>
              <w:spacing w:after="0"/>
            </w:pPr>
            <w:r>
              <w:rPr>
                <w:rFonts w:ascii="Calibri" w:hAnsi="Calibri"/>
                <w:b w:val="0"/>
                <w:i w:val="0"/>
                <w:color w:val="000000"/>
                <w:sz w:val="19"/>
              </w:rPr>
              <w:t>Fallback</w:t>
            </w:r>
          </w:p>
        </w:tc>
        <w:tc>
          <w:tcPr>
            <w:tcW w:type="dxa" w:w="3120"/>
          </w:tcPr>
          <w:p>
            <w:pPr>
              <w:spacing w:after="0"/>
            </w:pPr>
            <w:r>
              <w:rPr>
                <w:rFonts w:ascii="Calibri" w:hAnsi="Calibri"/>
                <w:b w:val="0"/>
                <w:i w:val="0"/>
                <w:color w:val="000000"/>
                <w:sz w:val="19"/>
              </w:rPr>
              <w:t>Return JSON {answer, sources, properties, leadState, intent, requestId, outcome}.</w:t>
            </w:r>
          </w:p>
        </w:tc>
        <w:tc>
          <w:tcPr>
            <w:tcW w:type="dxa" w:w="3120"/>
          </w:tcPr>
          <w:p>
            <w:pPr>
              <w:spacing w:after="0"/>
            </w:pPr>
            <w:r>
              <w:rPr>
                <w:rFonts w:ascii="Calibri" w:hAnsi="Calibri"/>
                <w:b w:val="0"/>
                <w:i w:val="0"/>
                <w:color w:val="000000"/>
                <w:sz w:val="19"/>
              </w:rPr>
              <w:t>When content type is JSON, call response.json() and render answer normally.</w:t>
            </w:r>
          </w:p>
        </w:tc>
      </w:tr>
      <w:tr>
        <w:tc>
          <w:tcPr>
            <w:tcW w:type="dxa" w:w="3120"/>
          </w:tcPr>
          <w:p>
            <w:pPr>
              <w:spacing w:after="0"/>
            </w:pPr>
            <w:r>
              <w:rPr>
                <w:rFonts w:ascii="Calibri" w:hAnsi="Calibri"/>
                <w:b w:val="0"/>
                <w:i w:val="0"/>
                <w:color w:val="000000"/>
                <w:sz w:val="19"/>
              </w:rPr>
              <w:t>Observability</w:t>
            </w:r>
          </w:p>
        </w:tc>
        <w:tc>
          <w:tcPr>
            <w:tcW w:type="dxa" w:w="3120"/>
          </w:tcPr>
          <w:p>
            <w:pPr>
              <w:spacing w:after="0"/>
            </w:pPr>
            <w:r>
              <w:rPr>
                <w:rFonts w:ascii="Calibri" w:hAnsi="Calibri"/>
                <w:b w:val="0"/>
                <w:i w:val="0"/>
                <w:color w:val="000000"/>
                <w:sz w:val="19"/>
              </w:rPr>
              <w:t>Log structured event with requestId, latency, retrieval count, outcome, model status; redact message/PII.</w:t>
            </w:r>
          </w:p>
        </w:tc>
        <w:tc>
          <w:tcPr>
            <w:tcW w:type="dxa" w:w="3120"/>
          </w:tcPr>
          <w:p>
            <w:pPr>
              <w:spacing w:after="0"/>
            </w:pPr>
            <w:r>
              <w:rPr>
                <w:rFonts w:ascii="Calibri" w:hAnsi="Calibri"/>
                <w:b w:val="0"/>
                <w:i w:val="0"/>
                <w:color w:val="000000"/>
                <w:sz w:val="19"/>
              </w:rPr>
              <w:t>Show a friendly retry state; report requestId only in support/debug UI.</w:t>
            </w:r>
          </w:p>
        </w:tc>
      </w:tr>
    </w:tbl>
    <w:p>
      <w:pPr>
        <w:spacing w:after="40"/>
      </w:pPr>
    </w:p>
    <w:p>
      <w:pPr>
        <w:spacing w:before="320" w:after="160"/>
      </w:pPr>
      <w:r>
        <w:rPr>
          <w:rFonts w:ascii="Calibri" w:hAnsi="Calibri"/>
          <w:b/>
          <w:i w:val="0"/>
          <w:color w:val="2E74B5"/>
          <w:sz w:val="32"/>
        </w:rPr>
        <w:t>7. Delivery plan</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224"/>
            <w:tcMar>
              <w:top w:w="80" w:type="dxa"/>
              <w:start w:w="120" w:type="dxa"/>
              <w:bottom w:w="80" w:type="dxa"/>
              <w:end w:w="120" w:type="dxa"/>
            </w:tcMar>
            <w:vAlign w:val="center"/>
            <w:shd w:fill="F2F4F7"/>
          </w:tcPr>
          <w:p>
            <w:pPr>
              <w:spacing w:after="0"/>
            </w:pPr>
            <w:r>
              <w:rPr>
                <w:rFonts w:ascii="Calibri" w:hAnsi="Calibri"/>
                <w:b/>
                <w:i w:val="0"/>
                <w:color w:val="0B2545"/>
                <w:sz w:val="20"/>
              </w:rPr>
              <w:t>Phase</w:t>
            </w:r>
          </w:p>
        </w:tc>
        <w:tc>
          <w:tcPr>
            <w:tcW w:type="dxa" w:w="4824"/>
            <w:tcMar>
              <w:top w:w="80" w:type="dxa"/>
              <w:start w:w="120" w:type="dxa"/>
              <w:bottom w:w="80" w:type="dxa"/>
              <w:end w:w="120" w:type="dxa"/>
            </w:tcMar>
            <w:vAlign w:val="center"/>
            <w:shd w:fill="F2F4F7"/>
          </w:tcPr>
          <w:p>
            <w:pPr>
              <w:spacing w:after="0"/>
            </w:pPr>
            <w:r>
              <w:rPr>
                <w:rFonts w:ascii="Calibri" w:hAnsi="Calibri"/>
                <w:b/>
                <w:i w:val="0"/>
                <w:color w:val="0B2545"/>
                <w:sz w:val="20"/>
              </w:rPr>
              <w:t>Work</w:t>
            </w:r>
          </w:p>
        </w:tc>
        <w:tc>
          <w:tcPr>
            <w:tcW w:type="dxa" w:w="2952"/>
            <w:tcMar>
              <w:top w:w="80" w:type="dxa"/>
              <w:start w:w="120" w:type="dxa"/>
              <w:bottom w:w="80" w:type="dxa"/>
              <w:end w:w="120" w:type="dxa"/>
            </w:tcMar>
            <w:vAlign w:val="center"/>
            <w:shd w:fill="F2F4F7"/>
          </w:tcPr>
          <w:p>
            <w:pPr>
              <w:spacing w:after="0"/>
            </w:pPr>
            <w:r>
              <w:rPr>
                <w:rFonts w:ascii="Calibri" w:hAnsi="Calibri"/>
                <w:b/>
                <w:i w:val="0"/>
                <w:color w:val="0B2545"/>
                <w:sz w:val="20"/>
              </w:rPr>
              <w:t>Exit criteria</w:t>
            </w:r>
          </w:p>
        </w:tc>
      </w:tr>
      <w:tr>
        <w:tc>
          <w:tcPr>
            <w:tcW w:type="dxa" w:w="3120"/>
          </w:tcPr>
          <w:p>
            <w:pPr>
              <w:spacing w:after="0"/>
            </w:pPr>
            <w:r>
              <w:rPr>
                <w:rFonts w:ascii="Calibri" w:hAnsi="Calibri"/>
                <w:b w:val="0"/>
                <w:i w:val="0"/>
                <w:color w:val="000000"/>
                <w:sz w:val="19"/>
              </w:rPr>
              <w:t>0 - Hotfix</w:t>
            </w:r>
          </w:p>
        </w:tc>
        <w:tc>
          <w:tcPr>
            <w:tcW w:type="dxa" w:w="3120"/>
          </w:tcPr>
          <w:p>
            <w:pPr>
              <w:spacing w:after="0"/>
            </w:pPr>
            <w:r>
              <w:rPr>
                <w:rFonts w:ascii="Calibri" w:hAnsi="Calibri"/>
                <w:b w:val="0"/>
                <w:i w:val="0"/>
                <w:color w:val="000000"/>
                <w:sz w:val="19"/>
              </w:rPr>
              <w:t>Set stream:false in the widget request and use the existing JSON response path consistently; ensure all early branches return the same JSON schema.</w:t>
            </w:r>
          </w:p>
        </w:tc>
        <w:tc>
          <w:tcPr>
            <w:tcW w:type="dxa" w:w="3120"/>
          </w:tcPr>
          <w:p>
            <w:pPr>
              <w:spacing w:after="0"/>
            </w:pPr>
            <w:r>
              <w:rPr>
                <w:rFonts w:ascii="Calibri" w:hAnsi="Calibri"/>
                <w:b w:val="0"/>
                <w:i w:val="0"/>
                <w:color w:val="000000"/>
                <w:sz w:val="19"/>
              </w:rPr>
              <w:t>No raw event/data text in a browser smoke test; normal, fallback, handoff, and casual replies display correctly.</w:t>
            </w:r>
          </w:p>
        </w:tc>
      </w:tr>
      <w:tr>
        <w:tc>
          <w:tcPr>
            <w:tcW w:type="dxa" w:w="3120"/>
          </w:tcPr>
          <w:p>
            <w:pPr>
              <w:spacing w:after="0"/>
            </w:pPr>
            <w:r>
              <w:rPr>
                <w:rFonts w:ascii="Calibri" w:hAnsi="Calibri"/>
                <w:b w:val="0"/>
                <w:i w:val="0"/>
                <w:color w:val="000000"/>
                <w:sz w:val="19"/>
              </w:rPr>
              <w:t>1 - Reliability</w:t>
            </w:r>
          </w:p>
        </w:tc>
        <w:tc>
          <w:tcPr>
            <w:tcW w:type="dxa" w:w="3120"/>
          </w:tcPr>
          <w:p>
            <w:pPr>
              <w:spacing w:after="0"/>
            </w:pPr>
            <w:r>
              <w:rPr>
                <w:rFonts w:ascii="Calibri" w:hAnsi="Calibri"/>
                <w:b w:val="0"/>
                <w:i w:val="0"/>
                <w:color w:val="000000"/>
                <w:sz w:val="19"/>
              </w:rPr>
              <w:t>Implement application-owned SSE, content-type branching, request validation, correct history construction, and manifest-only mode.</w:t>
            </w:r>
          </w:p>
        </w:tc>
        <w:tc>
          <w:tcPr>
            <w:tcW w:type="dxa" w:w="3120"/>
          </w:tcPr>
          <w:p>
            <w:pPr>
              <w:spacing w:after="0"/>
            </w:pPr>
            <w:r>
              <w:rPr>
                <w:rFonts w:ascii="Calibri" w:hAnsi="Calibri"/>
                <w:b w:val="0"/>
                <w:i w:val="0"/>
                <w:color w:val="000000"/>
                <w:sz w:val="19"/>
              </w:rPr>
              <w:t>Automated contract tests cover every chat outcome and simulated Firebase absence.</w:t>
            </w:r>
          </w:p>
        </w:tc>
      </w:tr>
      <w:tr>
        <w:tc>
          <w:tcPr>
            <w:tcW w:type="dxa" w:w="3120"/>
          </w:tcPr>
          <w:p>
            <w:pPr>
              <w:spacing w:after="0"/>
            </w:pPr>
            <w:r>
              <w:rPr>
                <w:rFonts w:ascii="Calibri" w:hAnsi="Calibri"/>
                <w:b w:val="0"/>
                <w:i w:val="0"/>
                <w:color w:val="000000"/>
                <w:sz w:val="19"/>
              </w:rPr>
              <w:t>2 - Answer quality</w:t>
            </w:r>
          </w:p>
        </w:tc>
        <w:tc>
          <w:tcPr>
            <w:tcW w:type="dxa" w:w="3120"/>
          </w:tcPr>
          <w:p>
            <w:pPr>
              <w:spacing w:after="0"/>
            </w:pPr>
            <w:r>
              <w:rPr>
                <w:rFonts w:ascii="Calibri" w:hAnsi="Calibri"/>
                <w:b w:val="0"/>
                <w:i w:val="0"/>
                <w:color w:val="000000"/>
                <w:sz w:val="19"/>
              </w:rPr>
              <w:t>Answer-before-qualify prompt policy, retrieval thresholds, taxonomy mapping, and source/card rendering hardening.</w:t>
            </w:r>
          </w:p>
        </w:tc>
        <w:tc>
          <w:tcPr>
            <w:tcW w:type="dxa" w:w="3120"/>
          </w:tcPr>
          <w:p>
            <w:pPr>
              <w:spacing w:after="0"/>
            </w:pPr>
            <w:r>
              <w:rPr>
                <w:rFonts w:ascii="Calibri" w:hAnsi="Calibri"/>
                <w:b w:val="0"/>
                <w:i w:val="0"/>
                <w:color w:val="000000"/>
                <w:sz w:val="19"/>
              </w:rPr>
              <w:t>Scenario suite meets grounded-answer and property-match targets.</w:t>
            </w:r>
          </w:p>
        </w:tc>
      </w:tr>
      <w:tr>
        <w:tc>
          <w:tcPr>
            <w:tcW w:type="dxa" w:w="3120"/>
          </w:tcPr>
          <w:p>
            <w:pPr>
              <w:spacing w:after="0"/>
            </w:pPr>
            <w:r>
              <w:rPr>
                <w:rFonts w:ascii="Calibri" w:hAnsi="Calibri"/>
                <w:b w:val="0"/>
                <w:i w:val="0"/>
                <w:color w:val="000000"/>
                <w:sz w:val="19"/>
              </w:rPr>
              <w:t>3 - Operations</w:t>
            </w:r>
          </w:p>
        </w:tc>
        <w:tc>
          <w:tcPr>
            <w:tcW w:type="dxa" w:w="3120"/>
          </w:tcPr>
          <w:p>
            <w:pPr>
              <w:spacing w:after="0"/>
            </w:pPr>
            <w:r>
              <w:rPr>
                <w:rFonts w:ascii="Calibri" w:hAnsi="Calibri"/>
                <w:b w:val="0"/>
                <w:i w:val="0"/>
                <w:color w:val="000000"/>
                <w:sz w:val="19"/>
              </w:rPr>
              <w:t>Index-on-mutation, job status/retry, structured telemetry, dashboards, and alerting.</w:t>
            </w:r>
          </w:p>
        </w:tc>
        <w:tc>
          <w:tcPr>
            <w:tcW w:type="dxa" w:w="3120"/>
          </w:tcPr>
          <w:p>
            <w:pPr>
              <w:spacing w:after="0"/>
            </w:pPr>
            <w:r>
              <w:rPr>
                <w:rFonts w:ascii="Calibri" w:hAnsi="Calibri"/>
                <w:b w:val="0"/>
                <w:i w:val="0"/>
                <w:color w:val="000000"/>
                <w:sz w:val="19"/>
              </w:rPr>
              <w:t>Freshness SLA measured and alertable; failure reasons visible by request ID.</w:t>
            </w:r>
          </w:p>
        </w:tc>
      </w:tr>
    </w:tbl>
    <w:p>
      <w:pPr>
        <w:spacing w:after="40"/>
      </w:pPr>
    </w:p>
    <w:p>
      <w:pPr>
        <w:spacing w:before="320" w:after="160"/>
      </w:pPr>
      <w:r>
        <w:rPr>
          <w:rFonts w:ascii="Calibri" w:hAnsi="Calibri"/>
          <w:b/>
          <w:i w:val="0"/>
          <w:color w:val="2E74B5"/>
          <w:sz w:val="32"/>
        </w:rPr>
        <w:t>8. Test plan</w:t>
      </w:r>
    </w:p>
    <w:tbl>
      <w:tblPr>
        <w:tblStyle w:val="TableGrid"/>
        <w:tblW w:type="auto" w:w="0"/>
        <w:jc w:val="left"/>
        <w:tblLayout w:type="fixed"/>
        <w:tblLook w:firstColumn="1" w:firstRow="1" w:lastColumn="0" w:lastRow="0" w:noHBand="0" w:noVBand="1" w:val="04A0"/>
      </w:tblPr>
      <w:tblGrid>
        <w:gridCol w:w="4680"/>
        <w:gridCol w:w="4680"/>
      </w:tblGrid>
      <w:tr>
        <w:tc>
          <w:tcPr>
            <w:tcW w:type="dxa" w:w="1584"/>
            <w:tcMar>
              <w:top w:w="80" w:type="dxa"/>
              <w:start w:w="120" w:type="dxa"/>
              <w:bottom w:w="80" w:type="dxa"/>
              <w:end w:w="120" w:type="dxa"/>
            </w:tcMar>
            <w:vAlign w:val="center"/>
            <w:shd w:fill="F2F4F7"/>
          </w:tcPr>
          <w:p>
            <w:pPr>
              <w:spacing w:after="0"/>
            </w:pPr>
            <w:r>
              <w:rPr>
                <w:rFonts w:ascii="Calibri" w:hAnsi="Calibri"/>
                <w:b/>
                <w:i w:val="0"/>
                <w:color w:val="0B2545"/>
                <w:sz w:val="20"/>
              </w:rPr>
              <w:t>Area</w:t>
            </w:r>
          </w:p>
        </w:tc>
        <w:tc>
          <w:tcPr>
            <w:tcW w:type="dxa" w:w="7416"/>
            <w:tcMar>
              <w:top w:w="80" w:type="dxa"/>
              <w:start w:w="120" w:type="dxa"/>
              <w:bottom w:w="80" w:type="dxa"/>
              <w:end w:w="120" w:type="dxa"/>
            </w:tcMar>
            <w:vAlign w:val="center"/>
            <w:shd w:fill="F2F4F7"/>
          </w:tcPr>
          <w:p>
            <w:pPr>
              <w:spacing w:after="0"/>
            </w:pPr>
            <w:r>
              <w:rPr>
                <w:rFonts w:ascii="Calibri" w:hAnsi="Calibri"/>
                <w:b/>
                <w:i w:val="0"/>
                <w:color w:val="0B2545"/>
                <w:sz w:val="20"/>
              </w:rPr>
              <w:t>Required cases</w:t>
            </w:r>
          </w:p>
        </w:tc>
      </w:tr>
      <w:tr>
        <w:tc>
          <w:tcPr>
            <w:tcW w:type="dxa" w:w="4680"/>
          </w:tcPr>
          <w:p>
            <w:pPr>
              <w:spacing w:after="0"/>
            </w:pPr>
            <w:r>
              <w:rPr>
                <w:rFonts w:ascii="Calibri" w:hAnsi="Calibri"/>
                <w:b w:val="0"/>
                <w:i w:val="0"/>
                <w:color w:val="000000"/>
                <w:sz w:val="19"/>
              </w:rPr>
              <w:t>Protocol</w:t>
            </w:r>
          </w:p>
        </w:tc>
        <w:tc>
          <w:tcPr>
            <w:tcW w:type="dxa" w:w="4680"/>
          </w:tcPr>
          <w:p>
            <w:pPr>
              <w:spacing w:after="0"/>
            </w:pPr>
            <w:r>
              <w:rPr>
                <w:rFonts w:ascii="Calibri" w:hAnsi="Calibri"/>
                <w:b w:val="0"/>
                <w:i w:val="0"/>
                <w:color w:val="000000"/>
                <w:sz w:val="19"/>
              </w:rPr>
              <w:t>Streaming delta sequence renders clean text; JSON fallback renders clean text; partial/disconnected stream offers retry and does not save protocol markers in history.</w:t>
            </w:r>
          </w:p>
        </w:tc>
      </w:tr>
      <w:tr>
        <w:tc>
          <w:tcPr>
            <w:tcW w:type="dxa" w:w="4680"/>
          </w:tcPr>
          <w:p>
            <w:pPr>
              <w:spacing w:after="0"/>
            </w:pPr>
            <w:r>
              <w:rPr>
                <w:rFonts w:ascii="Calibri" w:hAnsi="Calibri"/>
                <w:b w:val="0"/>
                <w:i w:val="0"/>
                <w:color w:val="000000"/>
                <w:sz w:val="19"/>
              </w:rPr>
              <w:t>Branches</w:t>
            </w:r>
          </w:p>
        </w:tc>
        <w:tc>
          <w:tcPr>
            <w:tcW w:type="dxa" w:w="4680"/>
          </w:tcPr>
          <w:p>
            <w:pPr>
              <w:spacing w:after="0"/>
            </w:pPr>
            <w:r>
              <w:rPr>
                <w:rFonts w:ascii="Calibri" w:hAnsi="Calibri"/>
                <w:b w:val="0"/>
                <w:i w:val="0"/>
                <w:color w:val="000000"/>
                <w:sz w:val="19"/>
              </w:rPr>
              <w:t>Casual, unsafe, no-match, handoff, qualified property inquiry, and provider error each return a valid contract.</w:t>
            </w:r>
          </w:p>
        </w:tc>
      </w:tr>
      <w:tr>
        <w:tc>
          <w:tcPr>
            <w:tcW w:type="dxa" w:w="4680"/>
          </w:tcPr>
          <w:p>
            <w:pPr>
              <w:spacing w:after="0"/>
            </w:pPr>
            <w:r>
              <w:rPr>
                <w:rFonts w:ascii="Calibri" w:hAnsi="Calibri"/>
                <w:b w:val="0"/>
                <w:i w:val="0"/>
                <w:color w:val="000000"/>
                <w:sz w:val="19"/>
              </w:rPr>
              <w:t>Grounding</w:t>
            </w:r>
          </w:p>
        </w:tc>
        <w:tc>
          <w:tcPr>
            <w:tcW w:type="dxa" w:w="4680"/>
          </w:tcPr>
          <w:p>
            <w:pPr>
              <w:spacing w:after="0"/>
            </w:pPr>
            <w:r>
              <w:rPr>
                <w:rFonts w:ascii="Calibri" w:hAnsi="Calibri"/>
                <w:b w:val="0"/>
                <w:i w:val="0"/>
                <w:color w:val="000000"/>
                <w:sz w:val="19"/>
              </w:rPr>
              <w:t>Known FAQ cites an allowed source; unsupported question uses the standard fallback; injected instruction inside content is ignored.</w:t>
            </w:r>
          </w:p>
        </w:tc>
      </w:tr>
      <w:tr>
        <w:tc>
          <w:tcPr>
            <w:tcW w:type="dxa" w:w="4680"/>
          </w:tcPr>
          <w:p>
            <w:pPr>
              <w:spacing w:after="0"/>
            </w:pPr>
            <w:r>
              <w:rPr>
                <w:rFonts w:ascii="Calibri" w:hAnsi="Calibri"/>
                <w:b w:val="0"/>
                <w:i w:val="0"/>
                <w:color w:val="000000"/>
                <w:sz w:val="19"/>
              </w:rPr>
              <w:t>State</w:t>
            </w:r>
          </w:p>
        </w:tc>
        <w:tc>
          <w:tcPr>
            <w:tcW w:type="dxa" w:w="4680"/>
          </w:tcPr>
          <w:p>
            <w:pPr>
              <w:spacing w:after="0"/>
            </w:pPr>
            <w:r>
              <w:rPr>
                <w:rFonts w:ascii="Calibri" w:hAnsi="Calibri"/>
                <w:b w:val="0"/>
                <w:i w:val="0"/>
                <w:color w:val="000000"/>
                <w:sz w:val="19"/>
              </w:rPr>
              <w:t>Newest question appears once; missing/invalid session IDs cannot overwrite another session; Firebase outage still answers from manifest.</w:t>
            </w:r>
          </w:p>
        </w:tc>
      </w:tr>
      <w:tr>
        <w:tc>
          <w:tcPr>
            <w:tcW w:type="dxa" w:w="4680"/>
          </w:tcPr>
          <w:p>
            <w:pPr>
              <w:spacing w:after="0"/>
            </w:pPr>
            <w:r>
              <w:rPr>
                <w:rFonts w:ascii="Calibri" w:hAnsi="Calibri"/>
                <w:b w:val="0"/>
                <w:i w:val="0"/>
                <w:color w:val="000000"/>
                <w:sz w:val="19"/>
              </w:rPr>
              <w:t>Listings</w:t>
            </w:r>
          </w:p>
        </w:tc>
        <w:tc>
          <w:tcPr>
            <w:tcW w:type="dxa" w:w="4680"/>
          </w:tcPr>
          <w:p>
            <w:pPr>
              <w:spacing w:after="0"/>
            </w:pPr>
            <w:r>
              <w:rPr>
                <w:rFonts w:ascii="Calibri" w:hAnsi="Calibri"/>
                <w:b w:val="0"/>
                <w:i w:val="0"/>
                <w:color w:val="000000"/>
                <w:sz w:val="19"/>
              </w:rPr>
              <w:t>Create/edit/delete triggers reindex; canonical categories return expected office/coworking/warehouse/showroom matches; card text cannot execute HTML.</w:t>
            </w:r>
          </w:p>
        </w:tc>
      </w:tr>
      <w:tr>
        <w:tc>
          <w:tcPr>
            <w:tcW w:type="dxa" w:w="4680"/>
          </w:tcPr>
          <w:p>
            <w:pPr>
              <w:spacing w:after="0"/>
            </w:pPr>
            <w:r>
              <w:rPr>
                <w:rFonts w:ascii="Calibri" w:hAnsi="Calibri"/>
                <w:b w:val="0"/>
                <w:i w:val="0"/>
                <w:color w:val="000000"/>
                <w:sz w:val="19"/>
              </w:rPr>
              <w:t>Regression</w:t>
            </w:r>
          </w:p>
        </w:tc>
        <w:tc>
          <w:tcPr>
            <w:tcW w:type="dxa" w:w="4680"/>
          </w:tcPr>
          <w:p>
            <w:pPr>
              <w:spacing w:after="0"/>
            </w:pPr>
            <w:r>
              <w:rPr>
                <w:rFonts w:ascii="Calibri" w:hAnsi="Calibri"/>
                <w:b w:val="0"/>
                <w:i w:val="0"/>
                <w:color w:val="000000"/>
                <w:sz w:val="19"/>
              </w:rPr>
              <w:t>English, Hindi, and Hinglish flows; desktop/mobile widget; long source list and property list do not exceed response limits.</w:t>
            </w:r>
          </w:p>
        </w:tc>
      </w:tr>
    </w:tbl>
    <w:p>
      <w:pPr>
        <w:spacing w:after="40"/>
      </w:pPr>
    </w:p>
    <w:p>
      <w:pPr>
        <w:spacing w:before="320" w:after="160"/>
      </w:pPr>
      <w:r>
        <w:rPr>
          <w:rFonts w:ascii="Calibri" w:hAnsi="Calibri"/>
          <w:b/>
          <w:i w:val="0"/>
          <w:color w:val="2E74B5"/>
          <w:sz w:val="32"/>
        </w:rPr>
        <w:t>9. Risks and decisions</w:t>
      </w:r>
    </w:p>
    <w:p>
      <w:pPr>
        <w:pStyle w:val="ListBullet"/>
        <w:spacing w:after="80" w:line="280" w:lineRule="auto"/>
      </w:pPr>
      <w:r>
        <w:rPr>
          <w:rFonts w:ascii="Calibri" w:hAnsi="Calibri"/>
          <w:b w:val="0"/>
          <w:i w:val="0"/>
          <w:color w:val="000000"/>
          <w:sz w:val="22"/>
        </w:rPr>
        <w:t>The fastest restoration is non-streaming JSON. Streaming should return only after the end-to-end contract is tested.</w:t>
      </w:r>
    </w:p>
    <w:p>
      <w:pPr>
        <w:pStyle w:val="ListBullet"/>
        <w:spacing w:after="80" w:line="280" w:lineRule="auto"/>
      </w:pPr>
      <w:r>
        <w:rPr>
          <w:rFonts w:ascii="Calibri" w:hAnsi="Calibri"/>
          <w:b w:val="0"/>
          <w:i w:val="0"/>
          <w:color w:val="000000"/>
          <w:sz w:val="22"/>
        </w:rPr>
        <w:t>Current Firestore rules were not included in the repository. They must be reviewed separately to confirm that listings, leads, sessions, and knowledge chunks cannot be publicly written or read beyond intended access.</w:t>
      </w:r>
    </w:p>
    <w:p>
      <w:pPr>
        <w:pStyle w:val="ListBullet"/>
        <w:spacing w:after="80" w:line="280" w:lineRule="auto"/>
      </w:pPr>
      <w:r>
        <w:rPr>
          <w:rFonts w:ascii="Calibri" w:hAnsi="Calibri"/>
          <w:b w:val="0"/>
          <w:i w:val="0"/>
          <w:color w:val="000000"/>
          <w:sz w:val="22"/>
        </w:rPr>
        <w:t>RAG quality remains bounded by website source content. The generated manifest is static and should be rebuilt/deployed with page changes; live listings need the event-driven reindex path.</w:t>
      </w:r>
    </w:p>
    <w:p>
      <w:pPr>
        <w:pStyle w:val="ListBullet"/>
        <w:spacing w:after="80" w:line="280" w:lineRule="auto"/>
      </w:pPr>
      <w:r>
        <w:rPr>
          <w:rFonts w:ascii="Calibri" w:hAnsi="Calibri"/>
          <w:b w:val="0"/>
          <w:i w:val="0"/>
          <w:color w:val="000000"/>
          <w:sz w:val="22"/>
        </w:rPr>
        <w:t>PII in lead state must not be copied into telemetry. Store only request IDs, outcome codes, counts, and timings in logs.</w:t>
      </w:r>
    </w:p>
    <w:p>
      <w:pPr>
        <w:spacing w:before="320" w:after="160"/>
      </w:pPr>
      <w:r>
        <w:rPr>
          <w:rFonts w:ascii="Calibri" w:hAnsi="Calibri"/>
          <w:b/>
          <w:i w:val="0"/>
          <w:color w:val="2E74B5"/>
          <w:sz w:val="32"/>
        </w:rPr>
        <w:t>10. Definition of done</w:t>
      </w:r>
    </w:p>
    <w:p>
      <w:pPr>
        <w:pStyle w:val="ListBullet"/>
        <w:spacing w:after="80" w:line="280" w:lineRule="auto"/>
      </w:pPr>
      <w:r>
        <w:rPr>
          <w:rFonts w:ascii="Calibri" w:hAnsi="Calibri"/>
          <w:b w:val="0"/>
          <w:i w:val="0"/>
          <w:color w:val="000000"/>
          <w:sz w:val="22"/>
        </w:rPr>
        <w:t>All P0/P1 requirements are implemented and covered by automated tests.</w:t>
      </w:r>
    </w:p>
    <w:p>
      <w:pPr>
        <w:pStyle w:val="ListBullet"/>
        <w:spacing w:after="80" w:line="280" w:lineRule="auto"/>
      </w:pPr>
      <w:r>
        <w:rPr>
          <w:rFonts w:ascii="Calibri" w:hAnsi="Calibri"/>
          <w:b w:val="0"/>
          <w:i w:val="0"/>
          <w:color w:val="000000"/>
          <w:sz w:val="22"/>
        </w:rPr>
        <w:t>Browser network inspection confirms no raw OpenAI SSE is rendered and no metadata depends on oversized response headers.</w:t>
      </w:r>
    </w:p>
    <w:p>
      <w:pPr>
        <w:pStyle w:val="ListBullet"/>
        <w:spacing w:after="80" w:line="280" w:lineRule="auto"/>
      </w:pPr>
      <w:r>
        <w:rPr>
          <w:rFonts w:ascii="Calibri" w:hAnsi="Calibri"/>
          <w:b w:val="0"/>
          <w:i w:val="0"/>
          <w:color w:val="000000"/>
          <w:sz w:val="22"/>
        </w:rPr>
        <w:t>A production-like environment with Firebase disabled still answers from the bundled manifest.</w:t>
      </w:r>
    </w:p>
    <w:p>
      <w:pPr>
        <w:pStyle w:val="ListBullet"/>
        <w:spacing w:after="80" w:line="280" w:lineRule="auto"/>
      </w:pPr>
      <w:r>
        <w:rPr>
          <w:rFonts w:ascii="Calibri" w:hAnsi="Calibri"/>
          <w:b w:val="0"/>
          <w:i w:val="0"/>
          <w:color w:val="000000"/>
          <w:sz w:val="22"/>
        </w:rPr>
        <w:t>Admin listing mutation produces a successful, observable index update.</w:t>
      </w:r>
    </w:p>
    <w:p>
      <w:pPr>
        <w:pStyle w:val="ListBullet"/>
        <w:spacing w:after="80" w:line="280" w:lineRule="auto"/>
      </w:pPr>
      <w:r>
        <w:rPr>
          <w:rFonts w:ascii="Calibri" w:hAnsi="Calibri"/>
          <w:b w:val="0"/>
          <w:i w:val="0"/>
          <w:color w:val="000000"/>
          <w:sz w:val="22"/>
        </w:rPr>
        <w:t>Security review approves session validation, Firestore access rules, DOM-safe card rendering, and PII-safe telemetry.</w:t>
      </w:r>
    </w:p>
    <w:p>
      <w:pPr>
        <w:pStyle w:val="ListBullet"/>
        <w:spacing w:after="80" w:line="280" w:lineRule="auto"/>
      </w:pPr>
      <w:r>
        <w:rPr>
          <w:rFonts w:ascii="Calibri" w:hAnsi="Calibri"/>
          <w:b w:val="0"/>
          <w:i w:val="0"/>
          <w:color w:val="000000"/>
          <w:sz w:val="22"/>
        </w:rPr>
        <w:t>Product owner signs off on the English, Hindi, and Hinglish acceptance scenarios.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666"/>
        <w:sz w:val="18"/>
      </w:rPr>
      <w:t>CityHub Leasing - AI Response Reliability PRD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CityHub Leasing AI Response Reliability PRD</dc:title>
  <dc:subject>AI response correctness and reliability</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