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Zige Wu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40" w:lineRule="auto"/>
        <w:jc w:val="center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d4d4d"/>
            <w:sz w:val="19"/>
            <w:szCs w:val="19"/>
            <w:rtl w:val="0"/>
          </w:rPr>
          <w:t xml:space="preserve">wuzige08142002@gmail.com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d4d4d"/>
          <w:sz w:val="19"/>
          <w:szCs w:val="19"/>
          <w:rtl w:val="0"/>
        </w:rPr>
        <w:t xml:space="preserve">  |  +86 135 4133 6786  |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d4d4d"/>
            <w:sz w:val="19"/>
            <w:szCs w:val="19"/>
            <w:rtl w:val="0"/>
          </w:rPr>
          <w:t xml:space="preserve">linkedin.com/in/zige-wu-423b65232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d4d4d"/>
          <w:sz w:val="19"/>
          <w:szCs w:val="19"/>
          <w:rtl w:val="0"/>
        </w:rPr>
        <w:t xml:space="preserve">  |  Chengdu,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University of Cambridge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Oct 2024 -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MPhil in Education (Psychology and Education), Merit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Cambridge, UK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Dissertation (Merit): “Parental Attitudes Towards Generative AI in Children’s Learning: Evidence from Primary Schools in Chengdu, China.” Supervisor: Professor Jenny L. Gibson.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Methods training: R, linear regression, preregistration, MPhil Research Methods, social and cognitive development, and educational, community, and family interventions.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University of British Columbia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Sep 2020 - May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Bachelor of Arts in Psychology, High Distinction (83/100)</w:t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Vancouver, Canada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Academic honours: Dean’s List (2023-2024); two-time Faculty of Arts International Student Scholarship recipient </w:t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Quantitative training: Analysis of Behavioural Data; Differential Calculus for Social Science and Commerce.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• Psychology coursework: Social and Personality Development; Childhood and Adolescence; Cultural Psychology; Health Psychology; Stress and Strategies to Promote Well Being; Guidance: Planning and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RESEARCH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Developmental and educational psychology; social cognition and youth development; human-AI interaction in learning; climate education and pro-environmental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Independent Study on Cognitive Mechanisms in Youth Climate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Sep 2025 -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Independent Researcher | Institute of Climate Change and Sustainable Development, Tsinghua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Formulated an independent mixed-methods study of how climate knowledge, environmental self-efficacy, and perceived behavioural control shape adolescents’ pro-environmental intentions.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Translated the conceptual model into survey constructs and an empirical plan designed to inform school-based climate education and youth behaviour interventions.</w:t>
      </w: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Youth Climate Education and Behaviour Change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Aug 2025 -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Research Partner | ICCSD, Tsinghua University &amp; Global Alliance of Universities on Climate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Support research design, project coordination, data collection, and analysis across an ICCSD-GAUC platform examining psychological and cognitive determinants of youth climate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Convert emerging findings into outreach materials and learning activities that connect climate cognition with education practice and sustainable behaviour.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Hey Robot, What Did I Do Wrong? Teenagers Facing AI-Driven Social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May 2025 -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Project Co-Investigator | Collaboration with Zisong Li, Department of Psychology, University of Hong Kong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Originated the research question and co-designed an experiment manipulating acceptance and exclusion by AI agents to test adolescents’ cognitive, emotional, and social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Co-develop the ethics submission, experimental stimuli, chatbot, pilot protocol, and preliminary interpretation, supporting collaboration between Cambridge and the University of Hong Kong.</w:t>
      </w:r>
      <w:r w:rsidDel="00000000" w:rsidR="00000000" w:rsidRPr="00000000">
        <w:rPr>
          <w:rtl w:val="0"/>
        </w:rPr>
      </w:r>
    </w:p>
    <w:tbl>
      <w:tblPr>
        <w:tblStyle w:val="Table6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Generative AI in Children’s Learning: Attitudes of Primary-School Teachers in Chengdu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Nov 2024 -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Individual Project Researcher | Supervised by Professor Wenjing Cai, University of Science and Technology of 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Independently designed and validated a 49-item instrument measuring teachers’ attitudes, trust, perceived utility, and adoption intentions; secured and analysed 400+ valid responses from Chengdu public-school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Test relationships and mechanisms through regression, mediation, and moderation analyses; preparing a sole-authored manuscript linking the findings to educational theory and practice.</w:t>
      </w: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Parental Attitudes Towards Generative AI in Children’s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Nov 2024 - Jun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Master’s Dissertation Researcher | University of Cambridge; supervised by Professor Jenny L. Gibson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Designed and executed a bilingual survey study with 250 parents of lower-primary pupils in Chengdu, coordinating school liaison, participant recruitment, survey administration, and data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Modelled predictors and mechanisms in R using regression, mediation, moderation, and structural equation modelling; drew implications for family AI use, home-school communication, and education policy. Dissertation awarded Merit.</w:t>
      </w:r>
      <w:r w:rsidDel="00000000" w:rsidR="00000000" w:rsidRPr="00000000">
        <w:rPr>
          <w:rtl w:val="0"/>
        </w:rPr>
      </w:r>
    </w:p>
    <w:tbl>
      <w:tblPr>
        <w:tblStyle w:val="Table8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Environmental Attitudes: A Psychology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May 2023 - Aug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Undergraduate Research Assistant | Professor Jason P. Martens, University of British Columbia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Administered online and in-person experimental protocols, recruited and communicated with participants, and collected survey data on environmental attitudes and related psychological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50" w:before="0" w:line="240" w:lineRule="auto"/>
        <w:ind w:left="259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Wu, Z. (2024).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Responding to morality by empathy: The interplay of empathy and morality in the collectivist culture.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f1f1f"/>
          <w:sz w:val="20"/>
          <w:szCs w:val="20"/>
          <w:rtl w:val="0"/>
        </w:rPr>
        <w:t xml:space="preserve">In Addressing Global Challenges: Exploring Socio-Cultural Dynamics and Sustainable Solutions in a Changing World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 (pp. 211-218).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MANUSCRIPTS IN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50" w:before="0" w:line="240" w:lineRule="auto"/>
        <w:ind w:left="259" w:hanging="25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Wu, Z.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AI acceptance and teaching performance among Chinese school teachers: The mediating role of utility perception and the moderating role of trust.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f1f1f"/>
          <w:sz w:val="20"/>
          <w:szCs w:val="20"/>
          <w:rtl w:val="0"/>
        </w:rPr>
        <w:t xml:space="preserve">Manuscript in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PROFESSIONAL AND TEACHING EXPERIENCE</w:t>
      </w:r>
      <w:r w:rsidDel="00000000" w:rsidR="00000000" w:rsidRPr="00000000">
        <w:rPr>
          <w:rtl w:val="0"/>
        </w:rPr>
      </w:r>
    </w:p>
    <w:tbl>
      <w:tblPr>
        <w:tblStyle w:val="Table9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Institute of Climate Change and Sustainable Development, Tsinghua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Aug 2025 -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Research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Translate research and policy on climate change, youth action, and international climate governance into official public-facing content; planned and produced a COP30 feature series on the ICCSD youth delegation’s activities, perspectives, and policy themes.</w:t>
      </w:r>
      <w:r w:rsidDel="00000000" w:rsidR="00000000" w:rsidRPr="00000000">
        <w:rPr>
          <w:rtl w:val="0"/>
        </w:rPr>
      </w:r>
    </w:p>
    <w:tbl>
      <w:tblPr>
        <w:tblStyle w:val="Table10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Shanghai Qingyun Private Equity Management Co.,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Jul 2025 -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Brand Operations 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Shanghai, China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Map scientists, research-led ventures, investors, and technology-transfer opportunities; support expert interviews and investment content, and built a database of Fudan University-related investors and innovation resources.</w:t>
      </w:r>
      <w:r w:rsidDel="00000000" w:rsidR="00000000" w:rsidRPr="00000000">
        <w:rPr>
          <w:rtl w:val="0"/>
        </w:rPr>
      </w:r>
    </w:p>
    <w:tbl>
      <w:tblPr>
        <w:tblStyle w:val="Table11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Circular Pie, Shanghai Youpai Kexun Cultural Consulting Co.,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Mar 2022 -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Content Operations Specialist and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China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2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Co-lead editorial strategy and cross-platform operations for a sustainability media network reaching 30,000+ followers across major Chinese social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Authored or co-authored 300+ original articles on the circular economy, environmental policy, academic research, and corporate sustainability; produced interviews and international case studies with researchers, designers, organisations, and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ACADEMIC LEADERSHIP AND ACTIVITIES</w:t>
      </w:r>
      <w:r w:rsidDel="00000000" w:rsidR="00000000" w:rsidRPr="00000000">
        <w:rPr>
          <w:rtl w:val="0"/>
        </w:rPr>
      </w:r>
    </w:p>
    <w:tbl>
      <w:tblPr>
        <w:tblStyle w:val="Table12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Global Shapers Community, Chengdu Hub, World Economic 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Jan 2026 -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Shaper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Chengdu, China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Contribute to community projects on education, sustainability, and youth action through campaign visuals and communications; represented the Chengdu Hub at the 2026 Pre-Annual Meeting of the New Champions in Dalian (18-23 June 2026).</w:t>
      </w:r>
      <w:r w:rsidDel="00000000" w:rsidR="00000000" w:rsidRPr="00000000">
        <w:rPr>
          <w:rtl w:val="0"/>
        </w:rPr>
      </w:r>
    </w:p>
    <w:tbl>
      <w:tblPr>
        <w:tblStyle w:val="Table13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Kaleidoscope Conference, Faculty of Education, University of Cambridge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Jun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Session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Cambridge, UK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Chaired two academic sessions, managing speaker introductions, pacing, transitions, discussion, and audience questions across international education research presentations.</w:t>
      </w:r>
      <w:r w:rsidDel="00000000" w:rsidR="00000000" w:rsidRPr="00000000">
        <w:rPr>
          <w:rtl w:val="0"/>
        </w:rPr>
      </w:r>
    </w:p>
    <w:tbl>
      <w:tblPr>
        <w:tblStyle w:val="Table14"/>
        <w:tblW w:w="97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76"/>
        <w:gridCol w:w="2016"/>
        <w:tblGridChange w:id="0">
          <w:tblGrid>
            <w:gridCol w:w="7776"/>
            <w:gridCol w:w="201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1"/>
                <w:szCs w:val="21"/>
                <w:rtl w:val="0"/>
              </w:rPr>
              <w:t xml:space="preserve">Southwestern International Student League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Jul 2021 -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Head of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d4d4d"/>
                <w:sz w:val="20"/>
                <w:szCs w:val="20"/>
                <w:rtl w:val="0"/>
              </w:rPr>
              <w:t xml:space="preserve">Southwest China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44" w:before="0" w:line="240" w:lineRule="auto"/>
        <w:ind w:left="331" w:right="0" w:hanging="2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• Lead marketing and communications for an international-student resource platform and co-organise forums on gender, social issues, and post-pandemic international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pBdr>
          <w:bottom w:color="1f1f1f" w:space="2" w:sz="6" w:val="single"/>
        </w:pBdr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pacing w:after="3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Research and quantitative analysis: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R/RStudio (data cleaning, reliability analysis, regression, mediation and moderation, bootstrap testing, and structural equation modelling; psych, mediation, lavaan, and boot); IBM SPSS Statistics; Qualtrics bilingual survey design and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after="3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Programming and visual design: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Python (basic data processing, descriptive statistics, and visualisation using pandas, NumPy, and Matplotlib); Sketch.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Mandarin Chinese (native); English (full professional proficiency).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964" w:top="964" w:left="1020" w:right="1020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f1f1f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a6a6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f1f1f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wuzige08142002@gmail.com" TargetMode="External"/><Relationship Id="rId8" Type="http://schemas.openxmlformats.org/officeDocument/2006/relationships/hyperlink" Target="https://www.linkedin.com/in/zige-wu-423b6523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dmMA4ypuAxh4mKscrKYV4F5bw==">CgMxLjA4AHIhMW9jaWl2YVdxa3ZyT0FFVFlpV1pBWF95OXdKTGo1UG41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