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widowControl w:val="1"/>
        <w:pBdr>
          <w:top w:space="0" w:sz="0" w:val="nil"/>
          <w:left w:color="2f75e8" w:space="10" w:sz="24" w:val="singl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5365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5365f"/>
          <w:sz w:val="40"/>
          <w:szCs w:val="40"/>
          <w:u w:val="none"/>
          <w:shd w:fill="auto" w:val="clear"/>
          <w:vertAlign w:val="baseline"/>
          <w:rtl w:val="0"/>
        </w:rPr>
        <w:t xml:space="preserve">刘帅辰同学 2028 / 2029 年入学澳洲 / 英国 /</w:t>
        <w:br w:type="textWrapping"/>
        <w:t xml:space="preserve">中国香港 / 加拿大硕士申请时间规划</w:t>
      </w:r>
    </w:p>
    <w:p w:rsidR="00000000" w:rsidDel="00000000" w:rsidP="00000000" w:rsidRDefault="00000000" w:rsidRPr="00000000" w14:paraId="00000002">
      <w:pPr>
        <w:widowControl w:val="1"/>
        <w:spacing w:after="80" w:before="120" w:line="324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澳洲研究型与授课型硕士 + 英国 / 中国香港 / 加拿大授课型 · 2026 年 8 月启动 · 2028 年秋季 / 2029 年第一学期入学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d9e2f3" w:space="5" w:sz="8" w:val="single"/>
          <w:right w:space="0" w:sz="0" w:val="nil"/>
          <w:between w:space="0" w:sz="0" w:val="nil"/>
        </w:pBdr>
        <w:shd w:fill="auto" w:val="clear"/>
        <w:spacing w:after="80" w:before="10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536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5365f"/>
          <w:sz w:val="28"/>
          <w:szCs w:val="28"/>
          <w:u w:val="none"/>
          <w:shd w:fill="auto" w:val="clear"/>
          <w:vertAlign w:val="baseline"/>
          <w:rtl w:val="0"/>
        </w:rPr>
        <w:t xml:space="preserve">简要时间轴</w:t>
      </w:r>
    </w:p>
    <w:tbl>
      <w:tblPr>
        <w:tblStyle w:val="Table1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2026 年 8 月-2027 年 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探索并逐步明确申请方向、项目范围、先修课差距与院校清单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2027 年 3 月-6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补强研究方法，完成 CV、推荐人、语言与两套材料框架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2027 年 7 月-9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建立分方向的澳洲导师池 / EOI 清单，完善授课型项目范围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2027 年 9 月-12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英港加授课型主申请；澳洲 2029 研究型首轮联系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2028 年 1 月-3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补材料、面试与首轮结果；评估 2028 澳洲中后段入学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2028 年 4 月-6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完成录取选择；启动 2028 英港加签证准备；定稿 2029 澳洲研究型材料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2028 年 5 月-9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如接受英港加 Offer，完成签证 / 进入许可、住宿与入学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2028 年 7 月-10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澳洲研究型奖学金 / 主申请；澳洲授课型同步递交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2028 年 10 月-12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澳洲 Offer、奖学金、条件补交、CoE、学生签证与住宿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2029 年 1 月-2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e2f3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澳洲入学落地，研究或课程学习启动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2026.8 - 2027.2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前期定位、项目架构与背景差距核查期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方向探索与收敛：结合已修课程、科研 / 实践经历、方法基础和未来学习目标，初步比较心理、认知与行为、教育与发展、心理健康、定量研究，以及生物科学、生物医学工程等可能方向；到 2027 年 2 月前逐步收敛为 2-3 个重点方向，同时保留根据课程补强、研究经历和项目反馈调整的空间。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项目比较：围绕初步方向形成四地区项目长名单，并标注学位类型、课程 / 论文比例、导师或 EOI 要求、先修课、入学季、奖学金、专业认证、申请材料及申请难度，用于比较不同方向的可行性与培养差异。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背景核查：梳理课程论文、毕业论文、研究助理 / 实验 / 调研经历、统计与编程训练，判断不同方向所需的研究方法、写作样本和先修课程差距；同步选择 1-2 项能够支持多个相关方向、可持续到 2027 年的研究输出。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1"/>
        <w:spacing w:after="100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阶段目标：2027 年 2 月前形成方向比较结果、研究型与授课型初步项目清单、2-3 个可延展研究主题、课程与科研补强方案，以及推荐人和语言考试初步安排；后续可根据新增经历和项目开放情况继续调整。</w:t>
      </w:r>
      <w:r w:rsidDel="00000000" w:rsidR="00000000" w:rsidRPr="00000000">
        <w:rPr>
          <w:rtl w:val="0"/>
        </w:rPr>
      </w:r>
    </w:p>
    <w:tbl>
      <w:tblPr>
        <w:tblStyle w:val="Table3"/>
        <w:tblW w:w="966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1"/>
          <w:tblHeader w:val="0"/>
        </w:trPr>
        <w:tc>
          <w:tcPr>
            <w:shd w:fill="f2f6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keepLines w:val="1"/>
              <w:spacing w:line="312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◆  核心任务：通过背景梳理和项目比较逐步明确重点方向，识别项目要求与背景差距，为后续科研补强、材料准备和申请节奏提供依据。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2027.3 - 2027.6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科研能力补强与核心材料框架搭建期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3-4 月材料整理：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完成学术 CV 初稿、成绩单与在读 / 预计毕业证明清单、课程描述和先修课对应表；研究经历统一按“问题—方法—数据—结果—个人贡献”表述。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3-6 月研究补强：围绕初步筛选的 1-2 个方向完成系统文献综述、研究问题设计、基础伦理意识及 R / SPSS / Python 等统计训练，尽量形成一项可支持后续方向判断和申请材料的研究报告、海报、课程论文升级稿或高质量 Writing Sample。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5 月推荐人确认：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确认 2-3 位推荐人，完成推荐素材包，包括课程 / 项目关系、关键事例、申请方向、个人贡献和各地区预计提交时间。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语言安排：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确认语言成绩是否可豁免；如不能，安排首考与重考节点，确保 2027 年 9 月前取得可用于首批申请的成绩。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1"/>
        <w:spacing w:after="100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两套材料体系：授课型先完成可适配不同项目的 Personal Statement / Career Goal 母版；研究型完成 1-2 页 Research Summary、Proposal 雏形、导师联系邮件和研究经历附件</w:t>
      </w:r>
      <w:r w:rsidDel="00000000" w:rsidR="00000000" w:rsidRPr="00000000">
        <w:rPr>
          <w:rtl w:val="0"/>
        </w:rPr>
      </w:r>
    </w:p>
    <w:tbl>
      <w:tblPr>
        <w:tblStyle w:val="Table5"/>
        <w:tblW w:w="966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1"/>
          <w:tblHeader w:val="0"/>
        </w:trPr>
        <w:tc>
          <w:tcPr>
            <w:shd w:fill="f2f6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keepLines w:val="1"/>
              <w:spacing w:line="312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※ 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17"/>
                <w:szCs w:val="17"/>
                <w:rtl w:val="0"/>
              </w:rPr>
              <w:t xml:space="preserve">特别提醒：</w:t>
            </w: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17"/>
                <w:szCs w:val="17"/>
                <w:rtl w:val="0"/>
              </w:rPr>
              <w:t xml:space="preserve">澳洲 MPhil / MRes 重点评估研究准备度、导师容量、项目可行性和奖学金排序。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2027.7 - 2027.9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澳洲导师联系、EOI 准备与授课型项目清单完善期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澳洲导师池：在重点方向初步形成后，围绕墨尔本大学、ANU、UNSW、UQ、UWA 等按方向建立核心与备选导师池，记录研究匹配、近年论文 / 项目、招生容量、是否支持 MPhil / MRes、资金来源和联系状态。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申请流程确认：逐校核对是否需要先联系导师、提交 EOI、取得学院邀请或直接网申。UQ 采用 EOI 后进入正式申请；UNSW 部分学院 EOI 审核约需 4-6 周，奖学金申请应至少提前 4 周完成学院端流程。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首轮联系：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7 月下旬至 8 月分批联系高匹配导师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2F">
      <w:pPr>
        <w:keepLines w:val="1"/>
        <w:widowControl w:val="1"/>
        <w:spacing w:after="100" w:before="28" w:line="341" w:lineRule="auto"/>
        <w:ind w:left="259" w:hanging="259"/>
        <w:rPr>
          <w:color w:val="15365f"/>
        </w:rPr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授课型项目清单完善：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9 月中旬前根据方向探索结果完善英港加及澳洲授课型项目清单。加拿大项目重点核对 MEd / course-based / non-thesis / professional 等培养形式及其课程、论文、导师、推荐信、实践和专业认证要求，避免因项目名称相近而误判培养方式。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widowControl w:val="1"/>
        <w:spacing w:after="100" w:before="28" w:line="341" w:lineRule="auto"/>
        <w:ind w:left="259" w:hanging="259"/>
        <w:rPr>
          <w:color w:val="15365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2027.9 - 2027.12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英港加授课型主申请与澳洲研究型首轮联系期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英国首批：项目开放后立即核验 2028 入学页面。10 月完成第一批高优先级项目，11 月完成第二批；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中国香港首批：9-10 月完成项目页面、轮次和材料要求复核，10-11 月递交主申项目；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加拿大早截止：如包含 UBC MEd 等早截止项目，应预留 9 月开放、12 月初截止及推荐信后续上传的时间；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澳洲 2029 研究型：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10-11 月对 2029 年第一学期目标导师发送首轮联系，确认研究契合度、是否愿意支持申请、奖学金竞争力、EOI / 学院流程和建议的正式递交窗口。</w:t>
      </w:r>
      <w:r w:rsidDel="00000000" w:rsidR="00000000" w:rsidRPr="00000000">
        <w:rPr>
          <w:rtl w:val="0"/>
        </w:rPr>
      </w:r>
    </w:p>
    <w:tbl>
      <w:tblPr>
        <w:tblStyle w:val="Table8"/>
        <w:tblW w:w="966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1"/>
          <w:tblHeader w:val="0"/>
        </w:trPr>
        <w:tc>
          <w:tcPr>
            <w:shd w:fill="f2f6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keepLines w:val="1"/>
              <w:spacing w:line="312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※  当前周期参考：UCL 等英国项目常在前一年 10 月开放；CUHK 部分授课型项目现行周期 9 月开放、部分项目 2 月底截止。未来周期发布日期可能变化，但首批材料应在 2027 年 9 月前完成。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2028.1 - 2028.3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补材料、面试、首轮结果与提前入学评估期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英港加跟进：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每周检查申请系统和邮箱，完成成绩更新、语言补交、课程描述、认证材料和推荐信催交；对长时间无更新的项目按学校规则发送一次正式询问。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面试准备：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准备 3 分钟研究 / 学术兴趣陈述、核心经历 STAR 案例、统计与数据经验、职业目标、课程选择理由、伦理意识及项目匹配度；研究型面试另复盘导师近年工作和 Proposal。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widowControl w:val="1"/>
        <w:spacing w:after="100" w:before="28" w:line="341" w:lineRule="auto"/>
        <w:ind w:left="259" w:hanging="259"/>
        <w:rPr>
          <w:rFonts w:ascii="Noto Sans" w:cs="Noto Sans" w:eastAsia="Noto Sans" w:hAnsi="Noto Sans"/>
          <w:color w:val="15365f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3 月结果整理：截至 2028 年 3 月底，汇总英港加和澳洲授课型结果，核对 Offer 条件、延期可能、押金期限和与 2029 澳洲研究型申请的时间衔接。</w:t>
      </w:r>
    </w:p>
    <w:p w:rsidR="00000000" w:rsidDel="00000000" w:rsidP="00000000" w:rsidRDefault="00000000" w:rsidRPr="00000000" w14:paraId="0000003F">
      <w:pPr>
        <w:keepLines w:val="1"/>
        <w:widowControl w:val="1"/>
        <w:spacing w:after="100" w:before="28" w:line="341" w:lineRule="auto"/>
        <w:ind w:left="259" w:hanging="259"/>
        <w:rPr>
          <w:color w:val="15365f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2028.4 - 2028.6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录取选择与 2029 澳洲研究型早轮准备期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录取选择：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4-5 月比较 2028 授课型 Offer 与 2029 澳洲研究型申请进度，逐项确认押金、延期、退款、撤回及已接受项目对后续选择的影响；最迟在各校规定的回复期限前确定是否接受 2028 入学项目。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Proposal 定稿：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锁定 1-2 位核心导师及备选导师，完成研究问题、理论框架、方法、样本 / 数据、伦理、可行性、里程碑和参考文献；根据导师反馈形成不同学校的定制版本。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申请资格复核：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确认学位完成时间、研究学分 / 荣誉学位等效性、先修课、语言有效期、推荐信、成绩认证、Writing Sample 和导师支持证明；缺项须在 6 月前补齐。</w:t>
      </w:r>
      <w:r w:rsidDel="00000000" w:rsidR="00000000" w:rsidRPr="00000000">
        <w:rPr>
          <w:rtl w:val="0"/>
        </w:rPr>
      </w:r>
    </w:p>
    <w:tbl>
      <w:tblPr>
        <w:tblStyle w:val="Table11"/>
        <w:tblW w:w="966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1"/>
          <w:tblHeader w:val="0"/>
        </w:trPr>
        <w:tc>
          <w:tcPr>
            <w:shd w:fill="f2f6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keepLines w:val="1"/>
              <w:spacing w:line="312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2f75e8"/>
                <w:sz w:val="17"/>
                <w:szCs w:val="17"/>
                <w:rtl w:val="0"/>
              </w:rPr>
              <w:t xml:space="preserve">◆  2029 申请准备：到 2028 年 6 月底，研究型通用材料应达到可随时提交状态，包括最终 CV、成绩单、Proposal、Writing Sample、推荐人确认、语言成绩和完整的项目 / 导师匹配说明。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2028.5 - 2028.9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2028 英港加入学签证与行前衔接期（如接受相关 Offer）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Lines w:val="1"/>
        <w:widowControl w:val="1"/>
        <w:spacing w:after="68" w:before="28" w:line="3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英国 Student visa：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取得 CAS 后办理。按现行规则，境外申请最早可在开课前 6 个月提交，通常约 3 周出结果；规划上于 2028 年 6-7 月完成递交并预留 6-8 周。使用存款证明时，应提前完成连续 28 天持有期，且资金证明截止日在递签前 31 天内；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中国香港学生进入许可：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内地学生通常由录取院校作为保证人递交；接受 Offer 后按学校时间准备申请表、资金及学历等材料，建议 2028 年 5-6 月提交。现行官方参考为材料齐全后一般约 6 周，规划上预留 8-10 周，并按学校指引领取 e-Visa 及办理赴港旅行证件 / 签注。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加拿大学习许可：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取得 DLI 的 LOA 后，确认届时是否需 PAL / TAL（魁北克按 CAQ 等适用安排），同时准备首年学费、生活费和交通费的资金证明。因审理时间动态变化，建议在 2028 年 4-5 月材料齐备后尽早在线递交，并为生物信息、体检或补件预留 4-6 个月。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8-9 月入学：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在签证 / 进入许可获批后完成住宿、航班、选课、注册和迎新；赴港且获准逗留超过 180 天的学生，抵港后按规定在 30 天内办理香港身份证。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2028.7 - 2028.10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澳洲研究型奖学金 / 主申请与授课型同步递交期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7 月提交准备：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7 月上旬完成所有门户账号、材料命名与最终核对，7 月中旬起按奖学金轮次分批提交。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奖学金轮次：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ANU MPhil 国际奖学金在现行周期通常于 8 月 31 日截止，UWA 国际 HDR 轮通常集中在 7-8 月，UQ 国际轮通常集中在 8-10 月；具体日期以 2028 年公布轮次为准。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正式网申：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按学校流程依次完成 EOI、导师确认、学院邀请、正式网申和奖学金申请，并保存每一步的提交回执与补件截止时间。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澳洲授课型：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同步递交 2029 Semester 1 项目，并核对课程描述、先修课证明和条件录取转无条件的时间要求。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widowControl w:val="1"/>
        <w:spacing w:after="100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10 月申请收口：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10 月底前完成主要研究型和授课型申请；仍未完成的项目须明确缺失材料、责任人和最晚提交日。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widowControl w:val="1"/>
        <w:spacing w:after="100" w:before="28" w:line="341" w:lineRule="auto"/>
        <w:ind w:left="259" w:hanging="259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2028.10 - 2028.12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Offer、奖学金、条件补交与签证行前期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结果跟进：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及时完成研究型面试、补材料和奖学金说明；对有录取但奖学金未定的项目，明确最晚决策日、自费可行性和是否可延后入学。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Offer 比较：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使用统一维度比较导师与课题匹配、奖学金覆盖、研究资源、课程结构、后续 PhD 路径、专业认证、就业、城市成本和入学时间。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录取确认与 CoE：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提交最终成绩、学位证、语言成绩和认证材料；接受 Offer、缴纳押金，确认奖学金与入学条件，购买覆盖拟停留期的 OSHC，并取得有效 CoE。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澳洲学生签证：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取得 CoE 并落实 OSHC 后准备 Student visa（subclass 500）。按现行流程完成 Genuine Student 说明，并根据系统清单提交英语、资金等证据及体检 / 生物信息（如被要求）；建议于 2028 年 10-11 月递交并预留 3-4 个月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96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1"/>
        <w:gridCol w:w="4831"/>
        <w:tblGridChange w:id="0">
          <w:tblGrid>
            <w:gridCol w:w="4831"/>
            <w:gridCol w:w="4831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6b7c93"/>
                <w:sz w:val="16"/>
                <w:szCs w:val="16"/>
                <w:rtl w:val="0"/>
              </w:rPr>
              <w:t xml:space="preserve">2029.1 - 2029.2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spacing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2"/>
                <w:szCs w:val="22"/>
                <w:rtl w:val="0"/>
              </w:rPr>
              <w:t xml:space="preserve">澳洲入学落地，研究 / 课程学习启动期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Lines w:val="1"/>
        <w:widowControl w:val="1"/>
        <w:spacing w:after="68" w:before="28" w:line="341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color w:val="15365f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8"/>
          <w:szCs w:val="18"/>
          <w:rtl w:val="0"/>
        </w:rPr>
        <w:t xml:space="preserve">入学手续：</w:t>
      </w:r>
      <w:r w:rsidDel="00000000" w:rsidR="00000000" w:rsidRPr="00000000">
        <w:rPr>
          <w:rFonts w:ascii="Noto Sans" w:cs="Noto Sans" w:eastAsia="Noto Sans" w:hAnsi="Noto Sans"/>
          <w:color w:val="43566f"/>
          <w:sz w:val="18"/>
          <w:szCs w:val="18"/>
          <w:rtl w:val="0"/>
        </w:rPr>
        <w:t xml:space="preserve">抵达后完成报到、注册、学生卡、银行 / 电话、住宿和保险确认，参加院系与国际学生迎新，并妥善保存电子签证、CoE 和 OSHC 文件。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792" w:top="893" w:left="1123" w:right="1123" w:header="360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43566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a3afbf"/>
        <w:sz w:val="14"/>
        <w:szCs w:val="14"/>
        <w:u w:val="none"/>
        <w:shd w:fill="auto" w:val="clear"/>
        <w:vertAlign w:val="baseline"/>
        <w:rtl w:val="0"/>
      </w:rPr>
      <w:t xml:space="preserve">刘帅辰同学硕士申请时间规划 · 优化版 · 依据 2026 年 8 月可查官方信息整理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43566f"/>
        <w:sz w:val="18"/>
        <w:szCs w:val="18"/>
        <w:lang w:val="en"/>
      </w:rPr>
    </w:rPrDefault>
    <w:pPrDefault>
      <w:pPr>
        <w:spacing w:line="32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042XvrC508qWFsNK426KeI91yA==">CgMxLjA4AHIhMWZUN01vZVNaS1JEbXVEWHFFSU5QWjZvSkZ5Tnc5YTk2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