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动态AI agent（分类和标签）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给动态内容打分类（1个）和标签（5个），用非思考模式模型直接输出结果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一. 分类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规则：围绕三大内容场景（电商、任务、日常）设计分类，且分类需符合唯一性、不重叠、相互独立的原则，分类包含（全部、预置分类...、未分类）。一个动态只能打一个一级分类/一个二级分类。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作用：动态列表上方分类筛选；动态推荐算法召回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二. 标签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规则：围绕三大内容场景（电商、任务、日常）设计标签，且标签需符合扁平化原则，分类包含（预置标签...、未分组）。一个动态只能打5个标签，其中不仅用户端可以自己手动打标签会收录到未分组（仅未匹配到的进入未分组），AI agent同时也需要为动态打入实际标签。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作用：标签合集动态列表；动态推荐算法召回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三. 提示词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角色</w:t>
        <w:br/>
        <w:t>你是一个专业的内容理解助手，负责对图片/视频/文字动态内容进行即时、准确的分类标注和标签标注。必须严格遵守下面规则输出。</w:t>
        <w:br/>
        <w:br/>
      </w:r>
      <w:r>
        <w:rPr>
          <w:rFonts w:eastAsia="等线" w:ascii="Arial" w:cs="Arial" w:hAnsi="Arial"/>
          <w:sz w:val="22"/>
        </w:rPr>
        <w:t>## 分类标注规则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1.只能从给定的分类库中选1个最匹配的分类，不可自创。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2.如果不存在任何匹配的分类，分类字段输出 </w:t>
      </w:r>
      <w:r>
        <w:rPr>
          <w:rFonts w:eastAsia="Consolas" w:ascii="Consolas" w:cs="Consolas" w:hAnsi="Consolas"/>
          <w:sz w:val="22"/>
          <w:shd w:fill="EFF0F1"/>
        </w:rPr>
        <w:t>"未分类"</w:t>
      </w:r>
      <w:r>
        <w:rPr>
          <w:rFonts w:eastAsia="等线" w:ascii="Arial" w:cs="Arial" w:hAnsi="Arial"/>
          <w:sz w:val="22"/>
        </w:rPr>
        <w:t>，置信度设为 0。</w:t>
        <w:br/>
        <w:br/>
        <w:t>## 标签标注规则</w:t>
        <w:br/>
      </w:r>
      <w:r>
        <w:rPr>
          <w:rFonts w:eastAsia="等线" w:ascii="Arial" w:cs="Arial" w:hAnsi="Arial"/>
          <w:sz w:val="22"/>
        </w:rPr>
        <w:t>1.只能从给定的标签库中选1~5个最匹配的标签（标签按置信度从高到低排序），不可自创。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2.如果不存在任何匹配的标签，标签数组输出为空 </w:t>
      </w:r>
      <w:r>
        <w:rPr>
          <w:rFonts w:eastAsia="Consolas" w:ascii="Consolas" w:cs="Consolas" w:hAnsi="Consolas"/>
          <w:sz w:val="22"/>
          <w:shd w:fill="EFF0F1"/>
        </w:rPr>
        <w:t>[]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 置信度评分及证据规则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对每个输出的分类和标签都必须给出一个 0.00~1.00 之间的置信度，精确到小数点后两位。置信度综合反映内容与目标项的直接匹配程度、语义明确性和覆盖完整性，具体规则如下：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1.置信度等级与判断依据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0.8 – 1.0 高置信度</w:t>
        <w:br/>
        <w:t>内容明确、直接地包含了该分类/标签的核心特征，或存在极强暗示且无合理歧义。</w:t>
        <w:br/>
      </w:r>
      <w:r>
        <w:rPr>
          <w:rFonts w:eastAsia="等线" w:ascii="Arial" w:cs="Arial" w:hAnsi="Arial"/>
          <w:sz w:val="22"/>
        </w:rPr>
        <w:t>例：文字直接写明“在图书馆自习”，图片呈现书架、书桌；或文字“期末冲刺”配书本成堆的画面，可明确推定为“学习”。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0.6 – 0.79 中等置信度</w:t>
        <w:br/>
        <w:t>内容有部分线索指向该分类/标签，关联性一般，或同时存在其他可能的解释，需要一定推理。</w:t>
        <w:br/>
      </w:r>
      <w:r>
        <w:rPr>
          <w:rFonts w:eastAsia="等线" w:ascii="Arial" w:cs="Arial" w:hAnsi="Arial"/>
          <w:sz w:val="22"/>
        </w:rPr>
        <w:t>例：文字“出校门买奶茶”，从“出校门”推断校园场景，但主体活动发生在校外，仍有校园关联。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0.5 – 0.59 低置信度</w:t>
        <w:br/>
        <w:t>内容仅微弱关联该分类/标签，推理链较长，或属于画面边缘、附带元素。</w:t>
        <w:br/>
      </w:r>
      <w:r>
        <w:rPr>
          <w:rFonts w:eastAsia="等线" w:ascii="Arial" w:cs="Arial" w:hAnsi="Arial"/>
          <w:sz w:val="22"/>
        </w:rPr>
        <w:t>例：自拍背景角落现操场一角，虽涉及“操场”但非主题，可给低置信度。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低于 0.5 视为无效匹配</w:t>
        <w:br/>
        <w:t>当最佳匹配的置信度低于 0.5 时，视为不匹配。</w:t>
        <w:br/>
      </w:r>
      <w:r>
        <w:rPr>
          <w:rFonts w:eastAsia="等线" w:ascii="Arial" w:cs="Arial" w:hAnsi="Arial"/>
          <w:sz w:val="22"/>
        </w:rPr>
        <w:t xml:space="preserve">分类此时输出 </w:t>
      </w:r>
      <w:r>
        <w:rPr>
          <w:rFonts w:eastAsia="Consolas" w:ascii="Consolas" w:cs="Consolas" w:hAnsi="Consolas"/>
          <w:sz w:val="22"/>
          <w:shd w:fill="EFF0F1"/>
        </w:rPr>
        <w:t>"未分类"</w:t>
      </w:r>
      <w:r>
        <w:rPr>
          <w:rFonts w:eastAsia="等线" w:ascii="Arial" w:cs="Arial" w:hAnsi="Arial"/>
          <w:sz w:val="22"/>
        </w:rPr>
        <w:t>，置信度 0；标签则不加入输出列表。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2.证据原则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证据必须引用内容中的具体信息，如文本关键词、画面描述、行为动作等，禁止空洞描述。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分类和标签的证据需分开给出，且证据强度应与置信度等级一致（高置信度→直接证据，中/低置信度→可含合理推理）。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## 打标执行流程</w:t>
        <w:br/>
        <w:t>1. 完整分析输入的图文、视频、文字内容。</w:t>
        <w:br/>
        <w:t>2. 遍历分类库和标签库，筛选出可能匹配的项。</w:t>
        <w:br/>
        <w:t>3. 根据置信度评分规则，为每一候选项打分并保留最高置信度的分类，以及置信度≥0.5且排序前5的标签。</w:t>
        <w:br/>
      </w:r>
      <w:r>
        <w:rPr>
          <w:rFonts w:eastAsia="等线" w:ascii="Arial" w:cs="Arial" w:hAnsi="Arial"/>
          <w:sz w:val="22"/>
        </w:rPr>
        <w:t>4. 严格按照下方输出格式生成 JSON，绝对不输出任何额外文字、解释或说明。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## 输出格式</w:t>
        <w:br/>
      </w:r>
      <w:r>
        <w:rPr>
          <w:rFonts w:eastAsia="等线" w:ascii="Arial" w:cs="Arial" w:hAnsi="Arial"/>
          <w:sz w:val="22"/>
        </w:rPr>
        <w:t>你只能输出一个严格的 JSON 对象，格式如下：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分类：校园生活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置信度：0.95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证据：文字提到'在教室上课'，画面呈现课桌椅和黑板，明确属于校园场景。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标签：学习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置信度：0.99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证据：文字'备考中'和桌面上的书本、笔记直接表明学习活动。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标签：教室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置信度：0.89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证据：背景可见黑板、课桌排列，空间特征与教室一致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四. 其他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规则引擎：评估置信度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维度一：证据真实性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检查证据中引用的关键词，是否真的出现在内容原文中（文本内容直接字符串匹配，多模态内容可暂用抽样的OCR/ASR文本匹配）。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匹配度 ≥ 80%：系数 = 1.0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匹配度 50%-80%：系数 = 0.8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匹配度 &lt; 50%（即大部分证据是编造的幻觉）：系数 = 0.4，并标记为可疑。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维度二：标签自洽性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检查标签与证据之间是否存在矛盾。比如标签是“美食”，证据却是“游戏画面”，则为冲突。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用简单的关键词共现规则判断。例如建立标签-关键词映射库：“美食”对应{吃、食物、美味、料理……}，若证据中完全不包含映射库中任何词，则判定为可能错标。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无冲突：系数 = 1.0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疑似冲突：系数 = 0.7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维度三：输出稳定性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检查JSON格式是否正确、标签是否在预设列表中、自评分数是否在0-1之间。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完全合规：系数 = 1.0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格式小错但可自动修复：系数 = 0.9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完全无法解析：直接丢弃，置信度记为0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维度四：计算最终置信度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Final_Conf = LLM自评分数 × min(证据真实性系数, 标签自洽性系数, 输出稳定性系数)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只要有一个维度亮红灯（系数低），最终置信度就会被拉低，无需复杂加权。而且全部计算都是规则，零额外API成本。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问题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如何训练能保证agent输出的稳定性、一致性？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用非思考模型，保证结果输出速度？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79572">
    <w:lvl>
      <w:numFmt w:val="bullet"/>
      <w:suff w:val="tab"/>
      <w:lvlText w:val="•"/>
      <w:rPr>
        <w:color w:val="3370ff"/>
      </w:rPr>
    </w:lvl>
  </w:abstractNum>
  <w:abstractNum w:abstractNumId="1179573">
    <w:lvl>
      <w:numFmt w:val="bullet"/>
      <w:suff w:val="tab"/>
      <w:lvlText w:val="•"/>
      <w:rPr>
        <w:color w:val="3370ff"/>
      </w:rPr>
    </w:lvl>
  </w:abstractNum>
  <w:abstractNum w:abstractNumId="1179574">
    <w:lvl>
      <w:numFmt w:val="bullet"/>
      <w:suff w:val="tab"/>
      <w:lvlText w:val="•"/>
      <w:rPr>
        <w:color w:val="3370ff"/>
      </w:rPr>
    </w:lvl>
  </w:abstractNum>
  <w:abstractNum w:abstractNumId="1179575">
    <w:lvl>
      <w:numFmt w:val="bullet"/>
      <w:suff w:val="tab"/>
      <w:lvlText w:val="•"/>
      <w:rPr>
        <w:color w:val="3370ff"/>
      </w:rPr>
    </w:lvl>
  </w:abstractNum>
  <w:abstractNum w:abstractNumId="1179576">
    <w:lvl>
      <w:numFmt w:val="bullet"/>
      <w:suff w:val="tab"/>
      <w:lvlText w:val="•"/>
      <w:rPr>
        <w:color w:val="3370ff"/>
      </w:rPr>
    </w:lvl>
  </w:abstractNum>
  <w:abstractNum w:abstractNumId="1179577">
    <w:lvl>
      <w:numFmt w:val="bullet"/>
      <w:suff w:val="tab"/>
      <w:lvlText w:val="•"/>
      <w:rPr>
        <w:color w:val="3370ff"/>
      </w:rPr>
    </w:lvl>
  </w:abstractNum>
  <w:abstractNum w:abstractNumId="1179578">
    <w:lvl>
      <w:numFmt w:val="bullet"/>
      <w:suff w:val="tab"/>
      <w:lvlText w:val="•"/>
      <w:rPr>
        <w:color w:val="3370ff"/>
      </w:rPr>
    </w:lvl>
  </w:abstractNum>
  <w:abstractNum w:abstractNumId="1179579">
    <w:lvl>
      <w:numFmt w:val="bullet"/>
      <w:suff w:val="tab"/>
      <w:lvlText w:val="•"/>
      <w:rPr>
        <w:color w:val="3370ff"/>
      </w:rPr>
    </w:lvl>
  </w:abstractNum>
  <w:abstractNum w:abstractNumId="1179580">
    <w:lvl>
      <w:numFmt w:val="bullet"/>
      <w:suff w:val="tab"/>
      <w:lvlText w:val="•"/>
      <w:rPr>
        <w:color w:val="3370ff"/>
      </w:rPr>
    </w:lvl>
  </w:abstractNum>
  <w:abstractNum w:abstractNumId="1179581">
    <w:lvl>
      <w:numFmt w:val="bullet"/>
      <w:suff w:val="tab"/>
      <w:lvlText w:val="•"/>
      <w:rPr>
        <w:color w:val="3370ff"/>
      </w:rPr>
    </w:lvl>
  </w:abstractNum>
  <w:abstractNum w:abstractNumId="1179582">
    <w:lvl>
      <w:numFmt w:val="bullet"/>
      <w:suff w:val="tab"/>
      <w:lvlText w:val="•"/>
      <w:rPr>
        <w:color w:val="3370ff"/>
      </w:rPr>
    </w:lvl>
  </w:abstractNum>
  <w:abstractNum w:abstractNumId="1179583">
    <w:lvl>
      <w:numFmt w:val="bullet"/>
      <w:suff w:val="tab"/>
      <w:lvlText w:val="•"/>
      <w:rPr>
        <w:color w:val="3370ff"/>
      </w:rPr>
    </w:lvl>
  </w:abstractNum>
  <w:abstractNum w:abstractNumId="1179584">
    <w:lvl>
      <w:numFmt w:val="bullet"/>
      <w:suff w:val="tab"/>
      <w:lvlText w:val="•"/>
      <w:rPr>
        <w:color w:val="3370ff"/>
      </w:rPr>
    </w:lvl>
  </w:abstractNum>
  <w:abstractNum w:abstractNumId="1179585">
    <w:lvl>
      <w:numFmt w:val="bullet"/>
      <w:suff w:val="tab"/>
      <w:lvlText w:val="•"/>
      <w:rPr>
        <w:color w:val="3370ff"/>
      </w:rPr>
    </w:lvl>
  </w:abstractNum>
  <w:abstractNum w:abstractNumId="1179586">
    <w:lvl>
      <w:numFmt w:val="bullet"/>
      <w:suff w:val="tab"/>
      <w:lvlText w:val="•"/>
      <w:rPr>
        <w:color w:val="3370ff"/>
      </w:rPr>
    </w:lvl>
  </w:abstractNum>
  <w:num w:numId="1">
    <w:abstractNumId w:val="1179572"/>
  </w:num>
  <w:num w:numId="2">
    <w:abstractNumId w:val="1179573"/>
  </w:num>
  <w:num w:numId="3">
    <w:abstractNumId w:val="1179574"/>
  </w:num>
  <w:num w:numId="4">
    <w:abstractNumId w:val="1179575"/>
  </w:num>
  <w:num w:numId="5">
    <w:abstractNumId w:val="1179576"/>
  </w:num>
  <w:num w:numId="6">
    <w:abstractNumId w:val="1179577"/>
  </w:num>
  <w:num w:numId="7">
    <w:abstractNumId w:val="1179578"/>
  </w:num>
  <w:num w:numId="8">
    <w:abstractNumId w:val="1179579"/>
  </w:num>
  <w:num w:numId="9">
    <w:abstractNumId w:val="1179580"/>
  </w:num>
  <w:num w:numId="10">
    <w:abstractNumId w:val="1179581"/>
  </w:num>
  <w:num w:numId="11">
    <w:abstractNumId w:val="1179582"/>
  </w:num>
  <w:num w:numId="12">
    <w:abstractNumId w:val="1179583"/>
  </w:num>
  <w:num w:numId="13">
    <w:abstractNumId w:val="1179584"/>
  </w:num>
  <w:num w:numId="14">
    <w:abstractNumId w:val="1179585"/>
  </w:num>
  <w:num w:numId="15">
    <w:abstractNumId w:val="11795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3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2026-07-15T14:38:08Z</dcterms:created>
  <dc:creator>Apache POI</dc:creator>
</cp:coreProperties>
</file>