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Documento de Arquitectura de Software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sz w:val="24"/>
          <w:szCs w:val="24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El propósito de este documento es generar el modelo de arquitectura del sistema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gestión de nodos para la empresa Medtronic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Se pretende capturar y transmitir las decisiones arquitecturales importantes que se han tomado en el desarrollo del proyecto.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>
      <w:pPr>
        <w:widowControl w:val="1"/>
        <w:spacing w:line="240" w:lineRule="auto"/>
        <w:ind w:left="720" w:firstLine="0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El alcance de este documento será enfocado en varias vistas: vista abstracta de alto nivel, vista lógica, vista de despliegue y vista de implementación; todas ellas de la aplicación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SGNM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Definiciones, Acrónimos, y Abreviaturas</w:t>
      </w:r>
    </w:p>
    <w:p w:rsidR="00000000" w:rsidDel="00000000" w:rsidP="00000000" w:rsidRDefault="00000000" w:rsidRPr="00000000">
      <w:pPr>
        <w:widowControl w:val="1"/>
        <w:spacing w:line="240" w:lineRule="auto"/>
        <w:ind w:left="720" w:firstLine="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Ver el </w:t>
      </w:r>
      <w:hyperlink r:id="rId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Glosario de la aplicación SGNM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Casos de uso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diagramas de paquetes, diagrama de clases, diagrama de despliegue, diagrama de  componentes y diccionario tecnologías.</w:t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 y Restricciones de Arquitectura </w:t>
      </w:r>
    </w:p>
    <w:p w:rsidR="00000000" w:rsidDel="00000000" w:rsidP="00000000" w:rsidRDefault="00000000" w:rsidRPr="00000000">
      <w:pPr>
        <w:widowControl w:val="1"/>
        <w:spacing w:line="240" w:lineRule="auto"/>
        <w:ind w:left="720" w:firstLine="0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El sistema es desarrollada a través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una web api en .net, JSON y REST,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consumidos por un cliente web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Node JS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además de un cliente móvil en Android / iOS. 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Vista Abstracta de Alto Nivel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En esta parte se determina una visión abstracta de alto nivel, donde se muestra la organización fundamental, en conjunto con los servicios web desarrollados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SGNM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; dentro de ella se encuentran los componentes de almacenamiento de datos, los servicios web usados, el modelo de datos y los protocolos bajo los cuales el sistema se soporta.</w: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533400</wp:posOffset>
                </wp:positionH>
                <wp:positionV relativeFrom="paragraph">
                  <wp:posOffset>3594100</wp:posOffset>
                </wp:positionV>
                <wp:extent cx="139700" cy="2413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79325" y="3660938"/>
                          <a:ext cx="133350" cy="2381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533400</wp:posOffset>
                </wp:positionH>
                <wp:positionV relativeFrom="paragraph">
                  <wp:posOffset>3594100</wp:posOffset>
                </wp:positionV>
                <wp:extent cx="139700" cy="2413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70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Arquitectura de Alto Nivel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Vista Lógica</w:t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de la Vista 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Vemos claramente que, según lo descrito en este y otros documentos, la aplicación del Visor de Mapas es muy cercana al patrón de arquitectura MVC (Modelo Vista – Controlador), combinado con el patrón DAO (Data Access Object) para la configuración del acceso a datos. Esto debido al carácter web de la aplicación. </w:t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Servicios Web de Ventas son resultado de información consumida de la Base de Datos. La interfaz es producida por componentes en Javascript, CSS y HTML y a su vez en el cliente de Android con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Según esto, el modelo de la aplicación se definirá de la siguiente forma: </w:t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Configuración de la Base de Datos de acuerdo al Modelo de Datos propuesto (ver documento Modelo de Datos y casos de uso sobre Configuración de la Base de Datos).</w:t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Interfaz de usuario en Javascript y HTML del Visor de Mapas. </w:t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Controlador: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Servicios Web de Ventas, Productos y Usuarios.</w:t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Esto nos lleva al siguiente diagrama que explica mejor la interrelación de estos componentes: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425968" cy="29670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5968" cy="296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aplicación entonces se podría dividir arquitecturalmente en los siguientes paquetes: </w:t>
      </w:r>
    </w:p>
    <w:p w:rsidR="00000000" w:rsidDel="00000000" w:rsidP="00000000" w:rsidRDefault="00000000" w:rsidRPr="00000000">
      <w:pPr>
        <w:keepLines w:val="1"/>
        <w:spacing w:after="12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6159544" cy="285273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9544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Diagrama de Paquetes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 continuación, se describe de modo general los paquetes globales. Los demás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paquetes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pueden ser revisados en detalle en el modelo de casos de uso.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Persistencia: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Contiene la información de configuración de la Base de Datos en SQL Server, y los datos como tal. Utiliza un conector SQLOLEDB para permitir acceso a los datos. Será el repositorio utilizado por los archivos .xsd, que serán la fuente de información que consumirá el servicio WFS.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Negocio: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Contiene la configuración de los servicios web de ventas, productos y servicios. La información de cada servicio es mapeada de la base de datos en los archivos .xsd y referenciada en el archivo wfs_configuration.xml, lo que permitirá consumir el servicio WFS, que no tiene resultados gráficos.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Interfaz: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Contiene la presentación de los elementos de una manera amigable para el usuario. La Interfaz consume los servicios web de ventas, productos y servicios mediante una referencia del servidor de información, hecha en el archivo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ArchivoDeContexto.xml.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Este archivo hace referencia además a los componentes de la Interfaz Gráfica de Usuario y a las funcionalidades hechas en JavaScript, respaldado por Java. 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Diseño de Arquitectura</w:t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Arial" w:cs="Arial" w:eastAsia="Arial" w:hAnsi="Arial"/>
        <w:sz w:val="24"/>
        <w:szCs w:val="24"/>
        <w:u w:val="single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310.0" w:type="dxa"/>
      <w:jc w:val="center"/>
      <w:tblLayout w:type="fixed"/>
      <w:tblLook w:val="0000"/>
    </w:tblPr>
    <w:tblGrid>
      <w:gridCol w:w="729"/>
      <w:gridCol w:w="7766"/>
      <w:gridCol w:w="815"/>
      <w:tblGridChange w:id="0">
        <w:tblGrid>
          <w:gridCol w:w="729"/>
          <w:gridCol w:w="7766"/>
          <w:gridCol w:w="815"/>
        </w:tblGrid>
      </w:tblGridChange>
    </w:tblGrid>
    <w:tr>
      <w:trPr>
        <w:trHeight w:val="900" w:hRule="atLeast"/>
      </w:trP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Source Sans Pro" w:cs="Source Sans Pro" w:eastAsia="Source Sans Pro" w:hAnsi="Source Sans Pro"/>
              <w:sz w:val="30"/>
              <w:szCs w:val="30"/>
              <w:vertAlign w:val="baseline"/>
            </w:rPr>
          </w:pPr>
          <w:r w:rsidDel="00000000" w:rsidR="00000000" w:rsidRPr="00000000">
            <w:rPr>
              <w:rFonts w:ascii="Source Sans Pro" w:cs="Source Sans Pro" w:eastAsia="Source Sans Pro" w:hAnsi="Source Sans Pro"/>
              <w:sz w:val="30"/>
              <w:szCs w:val="30"/>
              <w:vertAlign w:val="baseline"/>
              <w:rtl w:val="0"/>
            </w:rPr>
            <w:t xml:space="preserve">INSTITUTO TECNOL</w:t>
          </w:r>
          <w:r w:rsidDel="00000000" w:rsidR="00000000" w:rsidRPr="00000000">
            <w:rPr>
              <w:rFonts w:ascii="Source Sans Pro" w:cs="Source Sans Pro" w:eastAsia="Source Sans Pro" w:hAnsi="Source Sans Pro"/>
              <w:sz w:val="30"/>
              <w:szCs w:val="30"/>
              <w:rtl w:val="0"/>
            </w:rPr>
            <w:t xml:space="preserve">Ó</w:t>
          </w:r>
          <w:r w:rsidDel="00000000" w:rsidR="00000000" w:rsidRPr="00000000">
            <w:rPr>
              <w:rFonts w:ascii="Source Sans Pro" w:cs="Source Sans Pro" w:eastAsia="Source Sans Pro" w:hAnsi="Source Sans Pro"/>
              <w:sz w:val="30"/>
              <w:szCs w:val="30"/>
              <w:vertAlign w:val="baseline"/>
              <w:rtl w:val="0"/>
            </w:rPr>
            <w:t xml:space="preserve">GICO DE SONORA </w:t>
          </w:r>
        </w:p>
        <w:p w:rsidR="00000000" w:rsidDel="00000000" w:rsidP="00000000" w:rsidRDefault="00000000" w:rsidRPr="00000000">
          <w:pPr>
            <w:contextualSpacing w:val="0"/>
            <w:jc w:val="center"/>
            <w:rPr>
              <w:sz w:val="4"/>
              <w:szCs w:val="4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vertAlign w:val="baseline"/>
              <w:rtl w:val="0"/>
            </w:rPr>
            <w:t xml:space="preserve">CAMPUS GUAYMAS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Source Sans Pro" w:cs="Source Sans Pro" w:eastAsia="Source Sans Pro" w:hAnsi="Source Sans Pro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-92709</wp:posOffset>
          </wp:positionH>
          <wp:positionV relativeFrom="paragraph">
            <wp:posOffset>-868044</wp:posOffset>
          </wp:positionV>
          <wp:extent cx="504825" cy="998220"/>
          <wp:effectExtent b="0" l="0" r="0" t="0"/>
          <wp:wrapSquare wrapText="bothSides" distB="0" distT="0" distL="114300" distR="114300"/>
          <wp:docPr id="3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825" cy="9982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5219700</wp:posOffset>
          </wp:positionH>
          <wp:positionV relativeFrom="paragraph">
            <wp:posOffset>-629919</wp:posOffset>
          </wp:positionV>
          <wp:extent cx="1085850" cy="554990"/>
          <wp:effectExtent b="0" l="0" r="0" t="0"/>
          <wp:wrapSquare wrapText="bothSides" distB="0" distT="0" distL="114300" distR="114300"/>
          <wp:docPr id="2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5850" cy="55499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8.png"/><Relationship Id="rId5" Type="http://schemas.openxmlformats.org/officeDocument/2006/relationships/hyperlink" Target="https://drive.google.com/open?id=1_myKc3c3AKwRPoGps5xxZ48vzIQmPEioEmvz1Ty-dH8" TargetMode="External"/><Relationship Id="rId6" Type="http://schemas.openxmlformats.org/officeDocument/2006/relationships/hyperlink" Target="https://drive.google.com/open?id=1zO8UUFz-P8bC-23Jmxn9wQXkuSFVcXKcDo3OigBg0AA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6.png"/></Relationships>
</file>