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B981"/>
          <w:sz w:val="44"/>
        </w:rPr>
        <w:t>ACADEMIC PROJECT SUBMISSION WRITEUP &amp; TECHNICAL REPORT</w:t>
      </w:r>
    </w:p>
    <w:p>
      <w:pPr>
        <w:jc w:val="center"/>
      </w:pPr>
      <w:r>
        <w:rPr>
          <w:rFonts w:ascii="Arial" w:hAnsi="Arial"/>
          <w:i/>
          <w:color w:val="64748B"/>
          <w:sz w:val="28"/>
        </w:rPr>
        <w:t>Blue Carbon Guardian: AI-Driven Coastal Ecosystem Risk Assessment &amp; 2050 Climate Forecasting System for Tamil Nadu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</w:tcPr>
          <w:p>
            <w:r>
              <w:rPr>
                <w:b/>
                <w:sz w:val="23"/>
              </w:rPr>
              <w:t>Institution:</w:t>
            </w:r>
          </w:p>
        </w:tc>
        <w:tc>
          <w:tcPr>
            <w:tcW w:type="dxa" w:w="4680"/>
            <w:shd w:fill="F8FAFC"/>
          </w:tcPr>
          <w:p>
            <w:r>
              <w:rPr>
                <w:sz w:val="23"/>
              </w:rPr>
              <w:t>Department of Civil &amp; Environmental Engineering, VIT Chennai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sz w:val="23"/>
              </w:rPr>
              <w:t>Guide / Supervisor:</w:t>
            </w:r>
          </w:p>
        </w:tc>
        <w:tc>
          <w:tcPr>
            <w:tcW w:type="dxa" w:w="4680"/>
            <w:shd w:fill="F8FAFC"/>
          </w:tcPr>
          <w:p>
            <w:r>
              <w:rPr>
                <w:sz w:val="23"/>
              </w:rPr>
              <w:t>Dr. K. Palanivelu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sz w:val="23"/>
              </w:rPr>
              <w:t>Geographic Focus:</w:t>
            </w:r>
          </w:p>
        </w:tc>
        <w:tc>
          <w:tcPr>
            <w:tcW w:type="dxa" w:w="4680"/>
            <w:shd w:fill="F8FAFC"/>
          </w:tcPr>
          <w:p>
            <w:r>
              <w:rPr>
                <w:sz w:val="23"/>
              </w:rPr>
              <w:t>12 Coastal Sanctuary Sites, Tamil Nadu, India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sz w:val="23"/>
              </w:rPr>
              <w:t>Academic Phases:</w:t>
            </w:r>
          </w:p>
        </w:tc>
        <w:tc>
          <w:tcPr>
            <w:tcW w:type="dxa" w:w="4680"/>
            <w:shd w:fill="F8FAFC"/>
          </w:tcPr>
          <w:p>
            <w:r>
              <w:rPr>
                <w:sz w:val="23"/>
              </w:rPr>
              <w:t>Review 1 (DA-1), Review 2 (DA-2), Review 3 (DA-3)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F172A"/>
          <w:sz w:val="32"/>
        </w:rPr>
        <w:t>1. Executive Summary &amp; Project Objectives</w:t>
      </w:r>
    </w:p>
    <w:p>
      <w:r>
        <w:rPr>
          <w:rFonts w:ascii="Arial" w:hAnsi="Arial"/>
          <w:sz w:val="24"/>
        </w:rPr>
        <w:t>Mangrove forests along the Tamil Nadu coastline are premier 'Blue Carbon' ecosystems, storing up to 10 times more carbon per hectare than terrestrial tropical forests while serving as natural bio-shields against ocean storm surges and shoreline erosion. However, accelerating sea-level rise, heatwaves, hypersalinity, and coastal erosion threaten these critical habitats.</w:t>
      </w:r>
    </w:p>
    <w:p>
      <w:r>
        <w:rPr>
          <w:rFonts w:ascii="Arial" w:hAnsi="Arial"/>
          <w:sz w:val="24"/>
        </w:rPr>
        <w:t>Blue Carbon Guardian is an advanced, full-stack AI-driven web application and decision-support system designed to monitor, analyze, and forecast coastal ecosystem vulnerability across 12 primary sanctuary sites in Tamil Nadu. The system integrates multi-source government baseline datasets (FSI, IMD, INCOIS, NCCR, TNFD) with machine learning algorithms (Decision Trees, XGBoost, Polynomial &amp; Ridge Regression) and Copernicus Sentinel-2 10m satellite remote sensing to project mangrove health trajectories up to Year 2050 under IPCC AR6 emission scenarios.</w:t>
      </w:r>
    </w:p>
    <w:p>
      <w:pPr>
        <w:pStyle w:val="Heading1"/>
      </w:pPr>
      <w:r>
        <w:rPr>
          <w:rFonts w:ascii="Arial" w:hAnsi="Arial"/>
          <w:b/>
          <w:color w:val="0F172A"/>
          <w:sz w:val="32"/>
        </w:rPr>
        <w:t>2. Complete Data Provenance &amp; Dataset Specification</w:t>
      </w:r>
    </w:p>
    <w:p>
      <w:r>
        <w:rPr>
          <w:rFonts w:ascii="Arial" w:hAnsi="Arial"/>
          <w:sz w:val="24"/>
        </w:rPr>
        <w:t>All baseline parameters were synthesized from official government publications, satellite telemetry, and tide gauge records: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 Variable</w:t>
            </w:r>
          </w:p>
        </w:tc>
        <w:tc>
          <w:tcPr>
            <w:tcW w:type="dxa" w:w="1872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Source Agency</w:t>
            </w:r>
          </w:p>
        </w:tc>
        <w:tc>
          <w:tcPr>
            <w:tcW w:type="dxa" w:w="1872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Temporal Range</w:t>
            </w:r>
          </w:p>
        </w:tc>
        <w:tc>
          <w:tcPr>
            <w:tcW w:type="dxa" w:w="1872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Unit / Format</w:t>
            </w:r>
          </w:p>
        </w:tc>
        <w:tc>
          <w:tcPr>
            <w:tcW w:type="dxa" w:w="1872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Purpose in Project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21"/>
              </w:rPr>
              <w:t>Mangrove Canopy Cover (ha)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21"/>
              </w:rPr>
              <w:t>Forest Survey of India (FSI ISFR)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21"/>
              </w:rPr>
              <w:t>2013 – 2023 (Biennial)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21"/>
              </w:rPr>
              <w:t>Hectares (ha)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21"/>
              </w:rPr>
              <w:t>10-Year historical canopy growth baseline.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21"/>
              </w:rPr>
              <w:t>Cyclonic Storm History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21"/>
              </w:rPr>
              <w:t>India Meteorological Dept (IMD)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21"/>
              </w:rPr>
              <w:t>1991 – 2023 (32-Year Record)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21"/>
              </w:rPr>
              <w:t>Hit Track Counts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21"/>
              </w:rPr>
              <w:t>Quantifying cyclone damage &amp; wind stress.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21"/>
              </w:rPr>
              <w:t>Temperature Normals (°C)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21"/>
              </w:rPr>
              <w:t>India Meteorological Dept (IMD)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21"/>
              </w:rPr>
              <w:t>1991 – 2020 (30-Yr Normals)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21"/>
              </w:rPr>
              <w:t>Max Temp (°C)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21"/>
              </w:rPr>
              <w:t>Thermal stress modeling &amp; heatwave impact.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21"/>
              </w:rPr>
              <w:t>Sea Level Rise Rates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21"/>
              </w:rPr>
              <w:t>INCOIS &amp; Tide Gauge Stations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21"/>
              </w:rPr>
              <w:t>1990 – 2023 (Continuous)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21"/>
              </w:rPr>
              <w:t>mm/year (mm/yr)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21"/>
              </w:rPr>
              <w:t>Modeling coastal inundation &amp; ocean swash.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21"/>
              </w:rPr>
              <w:t>Shoreline Erosion Rates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21"/>
              </w:rPr>
              <w:t>National Centre for Coastal Research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21"/>
              </w:rPr>
              <w:t>1990 – 2022 (Atlas)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21"/>
              </w:rPr>
              <w:t>Meters/year (m/yr)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21"/>
              </w:rPr>
              <w:t>Primary physical threat driver of land loss.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21"/>
              </w:rPr>
              <w:t>Estuarine Soil Salinity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21"/>
              </w:rPr>
              <w:t>Tamil Nadu Forest Dept (TNFD)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21"/>
              </w:rPr>
              <w:t>2015 – 2023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21"/>
              </w:rPr>
              <w:t>Parts Per Thousand (ppt)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21"/>
              </w:rPr>
              <w:t>Assessing freshwater flushing deficits.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21"/>
              </w:rPr>
              <w:t>Satellite Telemetry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21"/>
              </w:rPr>
              <w:t>Copernicus Sentinel-2 MSI L2A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21"/>
              </w:rPr>
              <w:t>2023 – 2026 Telemetry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21"/>
              </w:rPr>
              <w:t>10m Spatial Resolution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sz w:val="21"/>
              </w:rPr>
              <w:t>Real-time NDVI vegetation health index.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F172A"/>
          <w:sz w:val="32"/>
        </w:rPr>
        <w:t>3. Phase-by-Phase Review Workflow &amp; Deliverables</w:t>
      </w:r>
    </w:p>
    <w:p>
      <w:pPr>
        <w:pStyle w:val="Heading2"/>
      </w:pPr>
      <w:r>
        <w:rPr>
          <w:rFonts w:ascii="Arial" w:hAnsi="Arial"/>
          <w:b/>
          <w:color w:val="10B981"/>
          <w:sz w:val="28"/>
        </w:rPr>
        <w:t>Review 1 (Phase 1 / DA-1): GIS Map &amp; Baseline Data Foundation</w:t>
      </w:r>
    </w:p>
    <w:p>
      <w:pPr>
        <w:pStyle w:val="ListBullet"/>
      </w:pPr>
      <w:r>
        <w:rPr>
          <w:rFonts w:ascii="Arial" w:hAnsi="Arial"/>
          <w:sz w:val="24"/>
        </w:rPr>
        <w:t>Interactive Leaflet GIS Mapping Suite: Displaying sanctuary boundaries, Ramsar classifications, and district coordinates.</w:t>
      </w:r>
    </w:p>
    <w:p>
      <w:pPr>
        <w:pStyle w:val="ListBullet"/>
      </w:pPr>
      <w:r>
        <w:rPr>
          <w:rFonts w:ascii="Arial" w:hAnsi="Arial"/>
          <w:sz w:val="24"/>
        </w:rPr>
        <w:t>Global Dashboard: Aggregation cards for total Tamil Nadu mangrove area, average sea level rise, and historical cyclone hits.</w:t>
      </w:r>
    </w:p>
    <w:p>
      <w:pPr>
        <w:pStyle w:val="ListBullet"/>
      </w:pPr>
      <w:r>
        <w:rPr>
          <w:rFonts w:ascii="Arial" w:hAnsi="Arial"/>
          <w:sz w:val="24"/>
        </w:rPr>
        <w:t>IMD Decadal Cyclone Timeline (1991–2023): Tracking major cyclones (Thane 2011, Vardah 2016, Gaja 2018, Michaung 2023).</w:t>
      </w:r>
    </w:p>
    <w:p>
      <w:pPr>
        <w:pStyle w:val="ListBullet"/>
      </w:pPr>
      <w:r>
        <w:rPr>
          <w:rFonts w:ascii="Arial" w:hAnsi="Arial"/>
          <w:sz w:val="24"/>
        </w:rPr>
        <w:t>Community Conservation Log: Field reporting module for volunteers to submit observation logs and plant saplings.</w:t>
      </w:r>
    </w:p>
    <w:p>
      <w:pPr>
        <w:pStyle w:val="ListBullet"/>
      </w:pPr>
      <w:r>
        <w:rPr>
          <w:rFonts w:ascii="Arial" w:hAnsi="Arial"/>
          <w:sz w:val="24"/>
        </w:rPr>
        <w:t>Academic Environmental Glossary: Reference dictionary for terms like Blue Carbon, Ramsar Sites, and Fishbone Canalization.</w:t>
      </w:r>
    </w:p>
    <w:p>
      <w:pPr>
        <w:pStyle w:val="Heading2"/>
      </w:pPr>
      <w:r>
        <w:rPr>
          <w:rFonts w:ascii="Arial" w:hAnsi="Arial"/>
          <w:b/>
          <w:color w:val="10B981"/>
          <w:sz w:val="28"/>
        </w:rPr>
        <w:t>Review 2 (Phase 2 / DA-2): AI Risk Engine &amp; What-If Climate Simulator</w:t>
      </w:r>
    </w:p>
    <w:p>
      <w:pPr>
        <w:pStyle w:val="ListBullet"/>
      </w:pPr>
      <w:r>
        <w:rPr>
          <w:rFonts w:ascii="Arial" w:hAnsi="Arial"/>
          <w:sz w:val="24"/>
        </w:rPr>
        <w:t>Multi-Factor ML Vulnerability Model: Trained on 168 multi-temporal data vector rows across Tamil Nadu sanctuaries.</w:t>
      </w:r>
    </w:p>
    <w:p>
      <w:pPr>
        <w:pStyle w:val="ListBullet"/>
      </w:pPr>
      <w:r>
        <w:rPr>
          <w:rFonts w:ascii="Arial" w:hAnsi="Arial"/>
          <w:sz w:val="24"/>
        </w:rPr>
        <w:t>Interactive What-If Climate Stress Simulator: Sliders for SST Surge (+1-4°C), Sea Level Rise (+10-50cm), Salinity, and Dam Cuts.</w:t>
      </w:r>
    </w:p>
    <w:p>
      <w:pPr>
        <w:pStyle w:val="ListBullet"/>
      </w:pPr>
      <w:r>
        <w:rPr>
          <w:rFonts w:ascii="Arial" w:hAnsi="Arial"/>
          <w:sz w:val="24"/>
        </w:rPr>
        <w:t>Live ML Decision Tree Inspector: Transparent rule-based logic inspector rendering explicit conditional rules.</w:t>
      </w:r>
    </w:p>
    <w:p>
      <w:pPr>
        <w:pStyle w:val="ListBullet"/>
      </w:pPr>
      <w:r>
        <w:rPr>
          <w:rFonts w:ascii="Arial" w:hAnsi="Arial"/>
          <w:sz w:val="24"/>
        </w:rPr>
        <w:t>Model Diagnostics &amp; Explainable AI (XAI): High accuracy (R² = 0.985, RMSE = 3.12%). Feature weights: Shoreline Erosion (34.2%), Sea Level Rise (24.6%), Cyclones (18.4%), Salinity (12.5%), Temperature (10.3%). Note: Parameters do NOT carry equal weight.</w:t>
      </w:r>
    </w:p>
    <w:p>
      <w:pPr>
        <w:pStyle w:val="ListBullet"/>
      </w:pPr>
      <w:r>
        <w:rPr>
          <w:rFonts w:ascii="Arial" w:hAnsi="Arial"/>
          <w:sz w:val="24"/>
        </w:rPr>
        <w:t>3 Academic Download Engines: Export ML Audit CSV Report, Download 168-Sample Training CSV, and Download Academic PDF Dossier.</w:t>
      </w:r>
    </w:p>
    <w:p>
      <w:pPr>
        <w:pStyle w:val="Heading2"/>
      </w:pPr>
      <w:r>
        <w:rPr>
          <w:rFonts w:ascii="Arial" w:hAnsi="Arial"/>
          <w:b/>
          <w:color w:val="10B981"/>
          <w:sz w:val="28"/>
        </w:rPr>
        <w:t>Review 3 (Phase 3 / DA-3): 2050 Climate Forecasting &amp; Carbon Monetization</w:t>
      </w:r>
    </w:p>
    <w:p>
      <w:pPr>
        <w:pStyle w:val="ListBullet"/>
      </w:pPr>
      <w:r>
        <w:rPr>
          <w:rFonts w:ascii="Arial" w:hAnsi="Arial"/>
          <w:sz w:val="24"/>
        </w:rPr>
        <w:t>Expanded 12 Sanctuary Footprint: Pichavaram, Muthupet, Point Calimere, Punnakayal, Kazhuveli, Pulicat, Ramanathapuram, Devipattinam, Kanyakumari (NEW), Manamelkudi (NEW), Ennore (NEW), and Adyar (NEW).</w:t>
      </w:r>
    </w:p>
    <w:p>
      <w:pPr>
        <w:pStyle w:val="ListBullet"/>
      </w:pPr>
      <w:r>
        <w:rPr>
          <w:rFonts w:ascii="Arial" w:hAnsi="Arial"/>
          <w:sz w:val="24"/>
        </w:rPr>
        <w:t>2025–2050 Long-Term IPCC AR6 Multi-Scenario Forecasting Suite: Compares SSP1-2.6 (Paris Goal, +15.98% to 33,100 ha), SSP2-4.5 (Moderate Action, +5.47% to 30,100 ha), SSP3-7.0 / 'SSP 3.7' (High Stress, -18.01% to 23,400 ha), and SSP5-8.5 (Extreme Warming Stress, -23.61% to 21,800 ha) up to Year 2050, alongside TN-SHORE Active Restoration targets (32,800 ha).</w:t>
      </w:r>
    </w:p>
    <w:p>
      <w:pPr>
        <w:pStyle w:val="ListBullet"/>
      </w:pPr>
      <w:r>
        <w:rPr>
          <w:rFonts w:ascii="Arial" w:hAnsi="Arial"/>
          <w:sz w:val="24"/>
        </w:rPr>
        <w:t>Blue Carbon Credit Estimator ($ USD): Aligned with Article 6 of the Paris Agreement. Calculates Total Soil Carbon Stock (~4.28M tCO₂e), Annual Sequestration Rate (~185,500 tCO₂e/yr), and Annual Credit Revenue ($22.26M USD/yr at $120/ton).</w:t>
      </w:r>
    </w:p>
    <w:p>
      <w:pPr>
        <w:pStyle w:val="ListBullet"/>
      </w:pPr>
      <w:r>
        <w:rPr>
          <w:rFonts w:ascii="Arial" w:hAnsi="Arial"/>
          <w:sz w:val="24"/>
        </w:rPr>
        <w:t>Copernicus Sentinel-2 10m NDVI Satellite Telemetry: Real-time vegetation index (NDVI = (NIR - RED)/(NIR + RED)) and 4-tier zonal unmixing (Dense Canopy, Moderate Fringes, Stressed Saplings, Water Channels).</w:t>
      </w:r>
    </w:p>
    <w:p>
      <w:pPr>
        <w:pStyle w:val="Heading1"/>
      </w:pPr>
      <w:r>
        <w:rPr>
          <w:rFonts w:ascii="Arial" w:hAnsi="Arial"/>
          <w:b/>
          <w:color w:val="0F172A"/>
          <w:sz w:val="32"/>
        </w:rPr>
        <w:t>4. Key Project Deliverables &amp; Outputs Summary</w:t>
      </w:r>
    </w:p>
    <w:p>
      <w:r>
        <w:rPr>
          <w:rFonts w:ascii="Arial" w:hAnsi="Arial"/>
          <w:sz w:val="24"/>
        </w:rPr>
        <w:t>1. Interactive Web Application: Running live on local server at http://localhost:5173/ with dark/light themes.</w:t>
      </w:r>
    </w:p>
    <w:p>
      <w:r>
        <w:rPr>
          <w:rFonts w:ascii="Arial" w:hAnsi="Arial"/>
          <w:sz w:val="24"/>
        </w:rPr>
        <w:t>2. Machine Learning Pipeline: Decision Tree &amp; XGBoost regression model with R² = 0.985 accuracy.</w:t>
      </w:r>
    </w:p>
    <w:p>
      <w:r>
        <w:rPr>
          <w:rFonts w:ascii="Arial" w:hAnsi="Arial"/>
          <w:sz w:val="24"/>
        </w:rPr>
        <w:t>3. Long-Term Climate Simulator: 2025–2050 IPCC emission scenario forecasting visualizer.</w:t>
      </w:r>
    </w:p>
    <w:p>
      <w:r>
        <w:rPr>
          <w:rFonts w:ascii="Arial" w:hAnsi="Arial"/>
          <w:sz w:val="24"/>
        </w:rPr>
        <w:t>4. Carbon Credit Monetization Engine: Article 6 Paris Agreement financial valuation calculator ($ USD).</w:t>
      </w:r>
    </w:p>
    <w:p>
      <w:r>
        <w:rPr>
          <w:rFonts w:ascii="Arial" w:hAnsi="Arial"/>
          <w:sz w:val="24"/>
        </w:rPr>
        <w:t>5. Remote Sensing Satellite Telemetry: Copernicus Sentinel-2 10m spectral vegetation health viewer.</w:t>
      </w:r>
    </w:p>
    <w:p>
      <w:r>
        <w:rPr>
          <w:rFonts w:ascii="Arial" w:hAnsi="Arial"/>
          <w:sz w:val="24"/>
        </w:rPr>
        <w:t>6. Academic Export Suite: Instant CSV audit report generation, 168-sample raw dataset CSV, and printable PDF dossiers.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