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Return-Fraud &amp; Wardrobing Detector</w:t>
      </w:r>
    </w:p>
    <w:p>
      <w:pPr>
        <w:spacing w:after="40"/>
      </w:pPr>
      <w:r>
        <w:rPr>
          <w:i/>
          <w:iCs/>
          <w:color w:val="595959"/>
          <w:sz w:val="26"/>
          <w:szCs w:val="26"/>
        </w:rPr>
        <w:t xml:space="preserve">Graph-Based Anomaly Detection for E-Commerce Return Fraud</w:t>
      </w:r>
    </w:p>
    <w:p>
      <w:pPr>
        <w:spacing w:after="300"/>
      </w:pPr>
      <w:r>
        <w:rPr>
          <w:color w:val="595959"/>
          <w:sz w:val="20"/>
          <w:szCs w:val="20"/>
        </w:rPr>
        <w:t xml:space="preserve">Project Plan &amp; Execution Guide  |  Prepared for: Saumya Patel  |  Target: Amazon Internship Portfolio</w:t>
      </w:r>
    </w:p>
    <w:p>
      <w:pPr>
        <w:pBdr>
          <w:bottom w:val="single" w:color="1F3864" w:sz="12" w:space="4"/>
        </w:pBdr>
        <w:spacing w:after="300"/>
      </w:pPr>
    </w:p>
    <w:p>
      <w:pPr>
        <w:pStyle w:val="Heading1"/>
        <w:spacing w:after="160" w:before="360"/>
      </w:pPr>
      <w:r>
        <w:t xml:space="preserve">1. Why This Project</w:t>
      </w:r>
    </w:p>
    <w:p>
      <w:pPr>
        <w:spacing w:after="140"/>
      </w:pPr>
      <w:r>
        <w:t xml:space="preserve">Return fraud — wardrobing (buy, use, return), empty-box returns, and bracketing (ordering multiple variants and returning most of them while presenting as a normal shopper) — costs retailers well over $100B annually. Most production systems still rely on simple rule thresholds (e.g., "flag if returns exceed 5 in 30 days"), which fraud rings easily evade by spacing out returns or spreading activity across accounts.</w:t>
      </w:r>
    </w:p>
    <w:p>
      <w:pPr>
        <w:spacing w:after="140"/>
      </w:pPr>
      <w:r>
        <w:t xml:space="preserve">The real signal lives in relationships between accounts: shared addresses, shared payment fingerprints, shared devices, and coordinated timing. That is a graph problem, not a per-transaction problem. This project demonstrates the ability to (1) recognize when a relational/graph approach beats a tabular one, (2) build an explainable risk pipeline — critical for any fraud or risk team, since false positives block real customers, and (3) tie technical work directly to measurable business impact (loss prevention), which is exactly the framing Amazon's risk, trust &amp; safety, and retail fraud teams look for.</w:t>
      </w:r>
    </w:p>
    <w:p>
      <w:pPr>
        <w:spacing w:after="140"/>
      </w:pPr>
      <w:r>
        <w:rPr>
          <w:i/>
          <w:iCs/>
          <w:color w:val="595959"/>
        </w:rPr>
        <w:t xml:space="preserve">This project also directly reinforces the fintech/risk track you're already building toward (Wells Fargo CRDP — Technology Risk Management / Model Risk Management), so the same narrative and vocabulary (risk scoring, false-positive rate, explainability, model validation) will transfer across applications.</w:t>
      </w:r>
    </w:p>
    <w:p>
      <w:pPr>
        <w:pStyle w:val="Heading1"/>
        <w:spacing w:after="160" w:before="360"/>
      </w:pPr>
      <w:r>
        <w:t xml:space="preserve">2. Objectives &amp; Success Criteria</w:t>
      </w:r>
    </w:p>
    <w:p>
      <w:pPr>
        <w:pStyle w:val="ListParagraph"/>
        <w:numPr>
          <w:ilvl w:val="0"/>
          <w:numId w:val="2"/>
        </w:numPr>
        <w:spacing w:after="80"/>
      </w:pPr>
      <w:r>
        <w:rPr>
          <w:b w:val="false"/>
          <w:bCs w:val="false"/>
        </w:rPr>
        <w:t xml:space="preserve">Build a working pipeline: raw transaction/return data → graph construction → anomaly scoring → ranked, explainable risk clusters.</w:t>
      </w:r>
    </w:p>
    <w:p>
      <w:pPr>
        <w:pStyle w:val="ListParagraph"/>
        <w:numPr>
          <w:ilvl w:val="0"/>
          <w:numId w:val="2"/>
        </w:numPr>
        <w:spacing w:after="80"/>
      </w:pPr>
      <w:r>
        <w:rPr>
          <w:b w:val="false"/>
          <w:bCs w:val="false"/>
        </w:rPr>
        <w:t xml:space="preserve">Beat a rule-based baseline on precision/recall against injected ground-truth fraud labels.</w:t>
      </w:r>
    </w:p>
    <w:p>
      <w:pPr>
        <w:pStyle w:val="ListParagraph"/>
        <w:numPr>
          <w:ilvl w:val="0"/>
          <w:numId w:val="2"/>
        </w:numPr>
        <w:spacing w:after="80"/>
      </w:pPr>
      <w:r>
        <w:rPr>
          <w:b w:val="false"/>
          <w:bCs w:val="false"/>
        </w:rPr>
        <w:t xml:space="preserve">Produce a dashboard that a non-technical reviewer (e.g., interviewer) can look at and immediately understand which clusters are risky and why.</w:t>
      </w:r>
    </w:p>
    <w:p>
      <w:pPr>
        <w:pStyle w:val="ListParagraph"/>
        <w:numPr>
          <w:ilvl w:val="0"/>
          <w:numId w:val="2"/>
        </w:numPr>
        <w:spacing w:after="80"/>
      </w:pPr>
      <w:r>
        <w:rPr>
          <w:b w:val="false"/>
          <w:bCs w:val="false"/>
        </w:rPr>
        <w:t xml:space="preserve">Walk away with a quantified resume bullet and a 60-second interview story.</w:t>
      </w:r>
    </w:p>
    <w:p>
      <w:pPr>
        <w:spacing w:after="200" w:before="120"/>
      </w:pPr>
      <w:r>
        <w:rPr>
          <w:b/>
          <w:bCs/>
        </w:rPr>
        <w:t xml:space="preserve">Definition of done: </w:t>
      </w:r>
      <w:r>
        <w:t xml:space="preserve">a README-documented repo, a reproducible pipeline runnable end-to-end with one command, a metrics report comparing your model to the baseline, and a short demo (screen recording or live dashboard) showing a flagged fraud ring.</w:t>
      </w:r>
    </w:p>
    <w:p>
      <w:pPr>
        <w:pStyle w:val="Heading1"/>
        <w:spacing w:after="160" w:before="360"/>
      </w:pPr>
      <w:r>
        <w:t xml:space="preserve">3. Tech Stack &amp;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rPr>
          <w:tblHeader/>
        </w:trPr>
        <w:tc>
          <w:tcPr>
            <w:tcW w:type="dxa" w:w="2400"/>
            <w:shd w:fill="1F3864" w:color="auto" w:val="clear"/>
            <w:tcMar>
              <w:top w:type="dxa" w:w="100"/>
              <w:left w:type="dxa" w:w="120"/>
              <w:bottom w:type="dxa" w:w="100"/>
              <w:right w:type="dxa" w:w="120"/>
            </w:tcMar>
          </w:tcPr>
          <w:p>
            <w:pPr>
              <w:jc w:val="left"/>
            </w:pPr>
            <w:r>
              <w:rPr>
                <w:b/>
                <w:bCs/>
                <w:color w:val="FFFFFF"/>
              </w:rPr>
              <w:t xml:space="preserve">Layer</w:t>
            </w:r>
          </w:p>
        </w:tc>
        <w:tc>
          <w:tcPr>
            <w:tcW w:type="dxa" w:w="3450"/>
            <w:shd w:fill="1F3864" w:color="auto" w:val="clear"/>
            <w:tcMar>
              <w:top w:type="dxa" w:w="100"/>
              <w:left w:type="dxa" w:w="120"/>
              <w:bottom w:type="dxa" w:w="100"/>
              <w:right w:type="dxa" w:w="120"/>
            </w:tcMar>
          </w:tcPr>
          <w:p>
            <w:pPr>
              <w:jc w:val="left"/>
            </w:pPr>
            <w:r>
              <w:rPr>
                <w:b/>
                <w:bCs/>
                <w:color w:val="FFFFFF"/>
              </w:rPr>
              <w:t xml:space="preserve">Tool</w:t>
            </w:r>
          </w:p>
        </w:tc>
        <w:tc>
          <w:tcPr>
            <w:tcW w:type="dxa" w:w="3500"/>
            <w:shd w:fill="1F3864" w:color="auto" w:val="clear"/>
            <w:tcMar>
              <w:top w:type="dxa" w:w="100"/>
              <w:left w:type="dxa" w:w="120"/>
              <w:bottom w:type="dxa" w:w="100"/>
              <w:right w:type="dxa" w:w="120"/>
            </w:tcMar>
          </w:tcPr>
          <w:p>
            <w:pPr>
              <w:jc w:val="left"/>
            </w:pPr>
            <w:r>
              <w:rPr>
                <w:b/>
                <w:bCs/>
                <w:color w:val="FFFFFF"/>
              </w:rPr>
              <w:t xml:space="preserve">Why</w:t>
            </w:r>
          </w:p>
        </w:tc>
      </w:tr>
      <w:tr>
        <w:tc>
          <w:tcPr>
            <w:tcW w:type="dxa" w:w="2400"/>
            <w:tcMar>
              <w:top w:type="dxa" w:w="100"/>
              <w:left w:type="dxa" w:w="120"/>
              <w:bottom w:type="dxa" w:w="100"/>
              <w:right w:type="dxa" w:w="120"/>
            </w:tcMar>
          </w:tcPr>
          <w:p>
            <w:pPr>
              <w:jc w:val="left"/>
            </w:pPr>
            <w:r>
              <w:rPr>
                <w:b w:val="false"/>
                <w:bCs w:val="false"/>
                <w:color w:val="000000"/>
              </w:rPr>
              <w:t xml:space="preserve">Language</w:t>
            </w:r>
          </w:p>
        </w:tc>
        <w:tc>
          <w:tcPr>
            <w:tcW w:type="dxa" w:w="3450"/>
            <w:tcMar>
              <w:top w:type="dxa" w:w="100"/>
              <w:left w:type="dxa" w:w="120"/>
              <w:bottom w:type="dxa" w:w="100"/>
              <w:right w:type="dxa" w:w="120"/>
            </w:tcMar>
          </w:tcPr>
          <w:p>
            <w:pPr>
              <w:jc w:val="left"/>
            </w:pPr>
            <w:r>
              <w:rPr>
                <w:b w:val="false"/>
                <w:bCs w:val="false"/>
                <w:color w:val="000000"/>
              </w:rPr>
              <w:t xml:space="preserve">Python 3.10+</w:t>
            </w:r>
          </w:p>
        </w:tc>
        <w:tc>
          <w:tcPr>
            <w:tcW w:type="dxa" w:w="3500"/>
            <w:tcMar>
              <w:top w:type="dxa" w:w="100"/>
              <w:left w:type="dxa" w:w="120"/>
              <w:bottom w:type="dxa" w:w="100"/>
              <w:right w:type="dxa" w:w="120"/>
            </w:tcMar>
          </w:tcPr>
          <w:p>
            <w:pPr>
              <w:jc w:val="left"/>
            </w:pPr>
            <w:r>
              <w:rPr>
                <w:b w:val="false"/>
                <w:bCs w:val="false"/>
                <w:color w:val="000000"/>
              </w:rPr>
              <w:t xml:space="preserve">Core pipeline, data science ecosystem</w:t>
            </w:r>
          </w:p>
        </w:tc>
      </w:tr>
      <w:tr>
        <w:tc>
          <w:tcPr>
            <w:tcW w:type="dxa" w:w="2400"/>
            <w:shd w:fill="F2F2F2" w:color="auto" w:val="clear"/>
            <w:tcMar>
              <w:top w:type="dxa" w:w="100"/>
              <w:left w:type="dxa" w:w="120"/>
              <w:bottom w:type="dxa" w:w="100"/>
              <w:right w:type="dxa" w:w="120"/>
            </w:tcMar>
          </w:tcPr>
          <w:p>
            <w:pPr>
              <w:jc w:val="left"/>
            </w:pPr>
            <w:r>
              <w:rPr>
                <w:b w:val="false"/>
                <w:bCs w:val="false"/>
                <w:color w:val="000000"/>
              </w:rPr>
              <w:t xml:space="preserve">Data handling</w:t>
            </w:r>
          </w:p>
        </w:tc>
        <w:tc>
          <w:tcPr>
            <w:tcW w:type="dxa" w:w="3450"/>
            <w:shd w:fill="F2F2F2" w:color="auto" w:val="clear"/>
            <w:tcMar>
              <w:top w:type="dxa" w:w="100"/>
              <w:left w:type="dxa" w:w="120"/>
              <w:bottom w:type="dxa" w:w="100"/>
              <w:right w:type="dxa" w:w="120"/>
            </w:tcMar>
          </w:tcPr>
          <w:p>
            <w:pPr>
              <w:jc w:val="left"/>
            </w:pPr>
            <w:r>
              <w:rPr>
                <w:b w:val="false"/>
                <w:bCs w:val="false"/>
                <w:color w:val="000000"/>
              </w:rPr>
              <w:t xml:space="preserve">pandas, numpy</w:t>
            </w:r>
          </w:p>
        </w:tc>
        <w:tc>
          <w:tcPr>
            <w:tcW w:type="dxa" w:w="3500"/>
            <w:shd w:fill="F2F2F2" w:color="auto" w:val="clear"/>
            <w:tcMar>
              <w:top w:type="dxa" w:w="100"/>
              <w:left w:type="dxa" w:w="120"/>
              <w:bottom w:type="dxa" w:w="100"/>
              <w:right w:type="dxa" w:w="120"/>
            </w:tcMar>
          </w:tcPr>
          <w:p>
            <w:pPr>
              <w:jc w:val="left"/>
            </w:pPr>
            <w:r>
              <w:rPr>
                <w:b w:val="false"/>
                <w:bCs w:val="false"/>
                <w:color w:val="000000"/>
              </w:rPr>
              <w:t xml:space="preserve">Cleaning, feature engineering</w:t>
            </w:r>
          </w:p>
        </w:tc>
      </w:tr>
      <w:tr>
        <w:tc>
          <w:tcPr>
            <w:tcW w:type="dxa" w:w="2400"/>
            <w:tcMar>
              <w:top w:type="dxa" w:w="100"/>
              <w:left w:type="dxa" w:w="120"/>
              <w:bottom w:type="dxa" w:w="100"/>
              <w:right w:type="dxa" w:w="120"/>
            </w:tcMar>
          </w:tcPr>
          <w:p>
            <w:pPr>
              <w:jc w:val="left"/>
            </w:pPr>
            <w:r>
              <w:rPr>
                <w:b w:val="false"/>
                <w:bCs w:val="false"/>
                <w:color w:val="000000"/>
              </w:rPr>
              <w:t xml:space="preserve">Graph (prototype)</w:t>
            </w:r>
          </w:p>
        </w:tc>
        <w:tc>
          <w:tcPr>
            <w:tcW w:type="dxa" w:w="3450"/>
            <w:tcMar>
              <w:top w:type="dxa" w:w="100"/>
              <w:left w:type="dxa" w:w="120"/>
              <w:bottom w:type="dxa" w:w="100"/>
              <w:right w:type="dxa" w:w="120"/>
            </w:tcMar>
          </w:tcPr>
          <w:p>
            <w:pPr>
              <w:jc w:val="left"/>
            </w:pPr>
            <w:r>
              <w:rPr>
                <w:b w:val="false"/>
                <w:bCs w:val="false"/>
                <w:color w:val="000000"/>
              </w:rPr>
              <w:t xml:space="preserve">NetworkX</w:t>
            </w:r>
          </w:p>
        </w:tc>
        <w:tc>
          <w:tcPr>
            <w:tcW w:type="dxa" w:w="3500"/>
            <w:tcMar>
              <w:top w:type="dxa" w:w="100"/>
              <w:left w:type="dxa" w:w="120"/>
              <w:bottom w:type="dxa" w:w="100"/>
              <w:right w:type="dxa" w:w="120"/>
            </w:tcMar>
          </w:tcPr>
          <w:p>
            <w:pPr>
              <w:jc w:val="left"/>
            </w:pPr>
            <w:r>
              <w:rPr>
                <w:b w:val="false"/>
                <w:bCs w:val="false"/>
                <w:color w:val="000000"/>
              </w:rPr>
              <w:t xml:space="preserve">Fast iteration, Louvain community detection built-in</w:t>
            </w:r>
          </w:p>
        </w:tc>
      </w:tr>
      <w:tr>
        <w:tc>
          <w:tcPr>
            <w:tcW w:type="dxa" w:w="2400"/>
            <w:shd w:fill="F2F2F2" w:color="auto" w:val="clear"/>
            <w:tcMar>
              <w:top w:type="dxa" w:w="100"/>
              <w:left w:type="dxa" w:w="120"/>
              <w:bottom w:type="dxa" w:w="100"/>
              <w:right w:type="dxa" w:w="120"/>
            </w:tcMar>
          </w:tcPr>
          <w:p>
            <w:pPr>
              <w:jc w:val="left"/>
            </w:pPr>
            <w:r>
              <w:rPr>
                <w:b w:val="false"/>
                <w:bCs w:val="false"/>
                <w:color w:val="000000"/>
              </w:rPr>
              <w:t xml:space="preserve">Graph (production-style)</w:t>
            </w:r>
          </w:p>
        </w:tc>
        <w:tc>
          <w:tcPr>
            <w:tcW w:type="dxa" w:w="3450"/>
            <w:shd w:fill="F2F2F2" w:color="auto" w:val="clear"/>
            <w:tcMar>
              <w:top w:type="dxa" w:w="100"/>
              <w:left w:type="dxa" w:w="120"/>
              <w:bottom w:type="dxa" w:w="100"/>
              <w:right w:type="dxa" w:w="120"/>
            </w:tcMar>
          </w:tcPr>
          <w:p>
            <w:pPr>
              <w:jc w:val="left"/>
            </w:pPr>
            <w:r>
              <w:rPr>
                <w:b w:val="false"/>
                <w:bCs w:val="false"/>
                <w:color w:val="000000"/>
              </w:rPr>
              <w:t xml:space="preserve">Neo4j Community Edition (Docker, free)</w:t>
            </w:r>
          </w:p>
        </w:tc>
        <w:tc>
          <w:tcPr>
            <w:tcW w:type="dxa" w:w="3500"/>
            <w:shd w:fill="F2F2F2" w:color="auto" w:val="clear"/>
            <w:tcMar>
              <w:top w:type="dxa" w:w="100"/>
              <w:left w:type="dxa" w:w="120"/>
              <w:bottom w:type="dxa" w:w="100"/>
              <w:right w:type="dxa" w:w="120"/>
            </w:tcMar>
          </w:tcPr>
          <w:p>
            <w:pPr>
              <w:jc w:val="left"/>
            </w:pPr>
            <w:r>
              <w:rPr>
                <w:b w:val="false"/>
                <w:bCs w:val="false"/>
                <w:color w:val="000000"/>
              </w:rPr>
              <w:t xml:space="preserve">Resume-relevant graph DB; Cypher queries for cluster exploration</w:t>
            </w:r>
          </w:p>
        </w:tc>
      </w:tr>
      <w:tr>
        <w:tc>
          <w:tcPr>
            <w:tcW w:type="dxa" w:w="2400"/>
            <w:tcMar>
              <w:top w:type="dxa" w:w="100"/>
              <w:left w:type="dxa" w:w="120"/>
              <w:bottom w:type="dxa" w:w="100"/>
              <w:right w:type="dxa" w:w="120"/>
            </w:tcMar>
          </w:tcPr>
          <w:p>
            <w:pPr>
              <w:jc w:val="left"/>
            </w:pPr>
            <w:r>
              <w:rPr>
                <w:b w:val="false"/>
                <w:bCs w:val="false"/>
                <w:color w:val="000000"/>
              </w:rPr>
              <w:t xml:space="preserve">Anomaly detection</w:t>
            </w:r>
          </w:p>
        </w:tc>
        <w:tc>
          <w:tcPr>
            <w:tcW w:type="dxa" w:w="3450"/>
            <w:tcMar>
              <w:top w:type="dxa" w:w="100"/>
              <w:left w:type="dxa" w:w="120"/>
              <w:bottom w:type="dxa" w:w="100"/>
              <w:right w:type="dxa" w:w="120"/>
            </w:tcMar>
          </w:tcPr>
          <w:p>
            <w:pPr>
              <w:jc w:val="left"/>
            </w:pPr>
            <w:r>
              <w:rPr>
                <w:b w:val="false"/>
                <w:bCs w:val="false"/>
                <w:color w:val="000000"/>
              </w:rPr>
              <w:t xml:space="preserve">scikit-learn (Isolation Forest)</w:t>
            </w:r>
          </w:p>
        </w:tc>
        <w:tc>
          <w:tcPr>
            <w:tcW w:type="dxa" w:w="3500"/>
            <w:tcMar>
              <w:top w:type="dxa" w:w="100"/>
              <w:left w:type="dxa" w:w="120"/>
              <w:bottom w:type="dxa" w:w="100"/>
              <w:right w:type="dxa" w:w="120"/>
            </w:tcMar>
          </w:tcPr>
          <w:p>
            <w:pPr>
              <w:jc w:val="left"/>
            </w:pPr>
            <w:r>
              <w:rPr>
                <w:b w:val="false"/>
                <w:bCs w:val="false"/>
                <w:color w:val="000000"/>
              </w:rPr>
              <w:t xml:space="preserve">Node-level outlier scoring, no labeled data required</w:t>
            </w:r>
          </w:p>
        </w:tc>
      </w:tr>
      <w:tr>
        <w:tc>
          <w:tcPr>
            <w:tcW w:type="dxa" w:w="2400"/>
            <w:shd w:fill="F2F2F2" w:color="auto" w:val="clear"/>
            <w:tcMar>
              <w:top w:type="dxa" w:w="100"/>
              <w:left w:type="dxa" w:w="120"/>
              <w:bottom w:type="dxa" w:w="100"/>
              <w:right w:type="dxa" w:w="120"/>
            </w:tcMar>
          </w:tcPr>
          <w:p>
            <w:pPr>
              <w:jc w:val="left"/>
            </w:pPr>
            <w:r>
              <w:rPr>
                <w:b w:val="false"/>
                <w:bCs w:val="false"/>
                <w:color w:val="000000"/>
              </w:rPr>
              <w:t xml:space="preserve">Address normalization</w:t>
            </w:r>
          </w:p>
        </w:tc>
        <w:tc>
          <w:tcPr>
            <w:tcW w:type="dxa" w:w="3450"/>
            <w:shd w:fill="F2F2F2" w:color="auto" w:val="clear"/>
            <w:tcMar>
              <w:top w:type="dxa" w:w="100"/>
              <w:left w:type="dxa" w:w="120"/>
              <w:bottom w:type="dxa" w:w="100"/>
              <w:right w:type="dxa" w:w="120"/>
            </w:tcMar>
          </w:tcPr>
          <w:p>
            <w:pPr>
              <w:jc w:val="left"/>
            </w:pPr>
            <w:r>
              <w:rPr>
                <w:b w:val="false"/>
                <w:bCs w:val="false"/>
                <w:color w:val="000000"/>
              </w:rPr>
              <w:t xml:space="preserve">Google Geocoding API (free tier)</w:t>
            </w:r>
          </w:p>
        </w:tc>
        <w:tc>
          <w:tcPr>
            <w:tcW w:type="dxa" w:w="3500"/>
            <w:shd w:fill="F2F2F2" w:color="auto" w:val="clear"/>
            <w:tcMar>
              <w:top w:type="dxa" w:w="100"/>
              <w:left w:type="dxa" w:w="120"/>
              <w:bottom w:type="dxa" w:w="100"/>
              <w:right w:type="dxa" w:w="120"/>
            </w:tcMar>
          </w:tcPr>
          <w:p>
            <w:pPr>
              <w:jc w:val="left"/>
            </w:pPr>
            <w:r>
              <w:rPr>
                <w:b w:val="false"/>
                <w:bCs w:val="false"/>
                <w:color w:val="000000"/>
              </w:rPr>
              <w:t xml:space="preserve">Detect address variants that refer to the same location</w:t>
            </w:r>
          </w:p>
        </w:tc>
      </w:tr>
      <w:tr>
        <w:tc>
          <w:tcPr>
            <w:tcW w:type="dxa" w:w="2400"/>
            <w:tcMar>
              <w:top w:type="dxa" w:w="100"/>
              <w:left w:type="dxa" w:w="120"/>
              <w:bottom w:type="dxa" w:w="100"/>
              <w:right w:type="dxa" w:w="120"/>
            </w:tcMar>
          </w:tcPr>
          <w:p>
            <w:pPr>
              <w:jc w:val="left"/>
            </w:pPr>
            <w:r>
              <w:rPr>
                <w:b w:val="false"/>
                <w:bCs w:val="false"/>
                <w:color w:val="000000"/>
              </w:rPr>
              <w:t xml:space="preserve">Dashboard</w:t>
            </w:r>
          </w:p>
        </w:tc>
        <w:tc>
          <w:tcPr>
            <w:tcW w:type="dxa" w:w="3450"/>
            <w:tcMar>
              <w:top w:type="dxa" w:w="100"/>
              <w:left w:type="dxa" w:w="120"/>
              <w:bottom w:type="dxa" w:w="100"/>
              <w:right w:type="dxa" w:w="120"/>
            </w:tcMar>
          </w:tcPr>
          <w:p>
            <w:pPr>
              <w:jc w:val="left"/>
            </w:pPr>
            <w:r>
              <w:rPr>
                <w:b w:val="false"/>
                <w:bCs w:val="false"/>
                <w:color w:val="000000"/>
              </w:rPr>
              <w:t xml:space="preserve">Flask + pyvis / d3.js</w:t>
            </w:r>
          </w:p>
        </w:tc>
        <w:tc>
          <w:tcPr>
            <w:tcW w:type="dxa" w:w="3500"/>
            <w:tcMar>
              <w:top w:type="dxa" w:w="100"/>
              <w:left w:type="dxa" w:w="120"/>
              <w:bottom w:type="dxa" w:w="100"/>
              <w:right w:type="dxa" w:w="120"/>
            </w:tcMar>
          </w:tcPr>
          <w:p>
            <w:pPr>
              <w:jc w:val="left"/>
            </w:pPr>
            <w:r>
              <w:rPr>
                <w:b w:val="false"/>
                <w:bCs w:val="false"/>
                <w:color w:val="000000"/>
              </w:rPr>
              <w:t xml:space="preserve">You already know this stack from the Business Report Generator</w:t>
            </w:r>
          </w:p>
        </w:tc>
      </w:tr>
      <w:tr>
        <w:tc>
          <w:tcPr>
            <w:tcW w:type="dxa" w:w="2400"/>
            <w:shd w:fill="F2F2F2" w:color="auto" w:val="clear"/>
            <w:tcMar>
              <w:top w:type="dxa" w:w="100"/>
              <w:left w:type="dxa" w:w="120"/>
              <w:bottom w:type="dxa" w:w="100"/>
              <w:right w:type="dxa" w:w="120"/>
            </w:tcMar>
          </w:tcPr>
          <w:p>
            <w:pPr>
              <w:jc w:val="left"/>
            </w:pPr>
            <w:r>
              <w:rPr>
                <w:b w:val="false"/>
                <w:bCs w:val="false"/>
                <w:color w:val="000000"/>
              </w:rPr>
              <w:t xml:space="preserve">Data source</w:t>
            </w:r>
          </w:p>
        </w:tc>
        <w:tc>
          <w:tcPr>
            <w:tcW w:type="dxa" w:w="3450"/>
            <w:shd w:fill="F2F2F2" w:color="auto" w:val="clear"/>
            <w:tcMar>
              <w:top w:type="dxa" w:w="100"/>
              <w:left w:type="dxa" w:w="120"/>
              <w:bottom w:type="dxa" w:w="100"/>
              <w:right w:type="dxa" w:w="120"/>
            </w:tcMar>
          </w:tcPr>
          <w:p>
            <w:pPr>
              <w:jc w:val="left"/>
            </w:pPr>
            <w:r>
              <w:rPr>
                <w:b w:val="false"/>
                <w:bCs w:val="false"/>
                <w:color w:val="000000"/>
              </w:rPr>
              <w:t xml:space="preserve">Kaggle e-commerce dataset + synthetic fraud injection script</w:t>
            </w:r>
          </w:p>
        </w:tc>
        <w:tc>
          <w:tcPr>
            <w:tcW w:type="dxa" w:w="3500"/>
            <w:shd w:fill="F2F2F2" w:color="auto" w:val="clear"/>
            <w:tcMar>
              <w:top w:type="dxa" w:w="100"/>
              <w:left w:type="dxa" w:w="120"/>
              <w:bottom w:type="dxa" w:w="100"/>
              <w:right w:type="dxa" w:w="120"/>
            </w:tcMar>
          </w:tcPr>
          <w:p>
            <w:pPr>
              <w:jc w:val="left"/>
            </w:pPr>
            <w:r>
              <w:rPr>
                <w:b w:val="false"/>
                <w:bCs w:val="false"/>
                <w:color w:val="000000"/>
              </w:rPr>
              <w:t xml:space="preserve">No public dataset labels wardrobing, so you generate it</w:t>
            </w:r>
          </w:p>
        </w:tc>
      </w:tr>
      <w:tr>
        <w:tc>
          <w:tcPr>
            <w:tcW w:type="dxa" w:w="2400"/>
            <w:tcMar>
              <w:top w:type="dxa" w:w="100"/>
              <w:left w:type="dxa" w:w="120"/>
              <w:bottom w:type="dxa" w:w="100"/>
              <w:right w:type="dxa" w:w="120"/>
            </w:tcMar>
          </w:tcPr>
          <w:p>
            <w:pPr>
              <w:jc w:val="left"/>
            </w:pPr>
            <w:r>
              <w:rPr>
                <w:b w:val="false"/>
                <w:bCs w:val="false"/>
                <w:color w:val="000000"/>
              </w:rPr>
              <w:t xml:space="preserve">Environment</w:t>
            </w:r>
          </w:p>
        </w:tc>
        <w:tc>
          <w:tcPr>
            <w:tcW w:type="dxa" w:w="3450"/>
            <w:tcMar>
              <w:top w:type="dxa" w:w="100"/>
              <w:left w:type="dxa" w:w="120"/>
              <w:bottom w:type="dxa" w:w="100"/>
              <w:right w:type="dxa" w:w="120"/>
            </w:tcMar>
          </w:tcPr>
          <w:p>
            <w:pPr>
              <w:jc w:val="left"/>
            </w:pPr>
            <w:r>
              <w:rPr>
                <w:b w:val="false"/>
                <w:bCs w:val="false"/>
                <w:color w:val="000000"/>
              </w:rPr>
              <w:t xml:space="preserve">Git, .env for secrets, virtualenv</w:t>
            </w:r>
          </w:p>
        </w:tc>
        <w:tc>
          <w:tcPr>
            <w:tcW w:type="dxa" w:w="3500"/>
            <w:tcMar>
              <w:top w:type="dxa" w:w="100"/>
              <w:left w:type="dxa" w:w="120"/>
              <w:bottom w:type="dxa" w:w="100"/>
              <w:right w:type="dxa" w:w="120"/>
            </w:tcMar>
          </w:tcPr>
          <w:p>
            <w:pPr>
              <w:jc w:val="left"/>
            </w:pPr>
            <w:r>
              <w:rPr>
                <w:b w:val="false"/>
                <w:bCs w:val="false"/>
                <w:color w:val="000000"/>
              </w:rPr>
              <w:t xml:space="preserve">Standard hygiene, matches your existing workflow</w:t>
            </w:r>
          </w:p>
        </w:tc>
      </w:tr>
    </w:tbl>
    <w:p>
      <w:pPr>
        <w:spacing w:after="200"/>
      </w:pPr>
    </w:p>
    <w:p>
      <w:pPr>
        <w:pStyle w:val="Heading1"/>
        <w:spacing w:after="160" w:before="360"/>
      </w:pPr>
      <w:r>
        <w:t xml:space="preserve">4. Google API Setup (Free Tier) — Step by Step</w:t>
      </w:r>
    </w:p>
    <w:p>
      <w:pPr>
        <w:spacing w:after="140"/>
      </w:pPr>
      <w:r>
        <w:t xml:space="preserve">You'll use the Google Geocoding API to normalize addresses (so "123 Main St" and "123 Main Street" resolve to the same place). The free tier gives roughly $200/month in credit, which covers about 40,000 geocoding requests — far more than a student project needs.</w:t>
      </w:r>
    </w:p>
    <w:p>
      <w:pPr>
        <w:pStyle w:val="ListParagraph"/>
        <w:numPr>
          <w:ilvl w:val="0"/>
          <w:numId w:val="3"/>
        </w:numPr>
        <w:spacing w:after="80"/>
      </w:pPr>
      <w:r>
        <w:t xml:space="preserve">Go to console.cloud.google.com and create a new project (e.g., "return-fraud-detector").</w:t>
      </w:r>
    </w:p>
    <w:p>
      <w:pPr>
        <w:pStyle w:val="ListParagraph"/>
        <w:numPr>
          <w:ilvl w:val="0"/>
          <w:numId w:val="3"/>
        </w:numPr>
        <w:spacing w:after="80"/>
      </w:pPr>
      <w:r>
        <w:t xml:space="preserve">In the left menu, go to APIs &amp; Services → Library, search "Geocoding API," and click Enable.</w:t>
      </w:r>
    </w:p>
    <w:p>
      <w:pPr>
        <w:pStyle w:val="ListParagraph"/>
        <w:numPr>
          <w:ilvl w:val="0"/>
          <w:numId w:val="3"/>
        </w:numPr>
        <w:spacing w:after="80"/>
      </w:pPr>
      <w:r>
        <w:t xml:space="preserve">Go to APIs &amp; Services → Credentials → Create Credentials → API Key.</w:t>
      </w:r>
    </w:p>
    <w:p>
      <w:pPr>
        <w:pStyle w:val="ListParagraph"/>
        <w:numPr>
          <w:ilvl w:val="0"/>
          <w:numId w:val="3"/>
        </w:numPr>
        <w:spacing w:after="80"/>
      </w:pPr>
      <w:r>
        <w:t xml:space="preserve">Click "Restrict Key": under API restrictions, limit it to Geocoding API only. Under application restrictions, restrict by IP address (your dev machine) if possible.</w:t>
      </w:r>
    </w:p>
    <w:p>
      <w:pPr>
        <w:pStyle w:val="ListParagraph"/>
        <w:numPr>
          <w:ilvl w:val="0"/>
          <w:numId w:val="3"/>
        </w:numPr>
        <w:spacing w:after="80"/>
      </w:pPr>
      <w:r>
        <w:t xml:space="preserve">Create a .env file in your project root: GOOGLE_API_KEY=your_key_here</w:t>
      </w:r>
    </w:p>
    <w:p>
      <w:pPr>
        <w:pStyle w:val="ListParagraph"/>
        <w:numPr>
          <w:ilvl w:val="0"/>
          <w:numId w:val="3"/>
        </w:numPr>
        <w:spacing w:after="80"/>
      </w:pPr>
      <w:r>
        <w:t xml:space="preserve">Add .env to .gitignore immediately, before your first commit (you've done this on prior projects — same discipline applies).</w:t>
      </w:r>
    </w:p>
    <w:p>
      <w:pPr>
        <w:pStyle w:val="ListParagraph"/>
        <w:numPr>
          <w:ilvl w:val="0"/>
          <w:numId w:val="3"/>
        </w:numPr>
        <w:spacing w:after="80"/>
      </w:pPr>
      <w:r>
        <w:t xml:space="preserve">Install the client library: pip install googlemaps python-dotenv</w:t>
      </w:r>
    </w:p>
    <w:p>
      <w:pPr>
        <w:pStyle w:val="ListParagraph"/>
        <w:numPr>
          <w:ilvl w:val="0"/>
          <w:numId w:val="3"/>
        </w:numPr>
        <w:spacing w:after="80"/>
      </w:pPr>
      <w:r>
        <w:t xml:space="preserve">Load and call it in Python:</w:t>
      </w:r>
    </w:p>
    <w:p>
      <w:pPr>
        <w:shd w:fill="F2F2F2" w:color="auto" w:val="clear"/>
        <w:spacing w:after="200"/>
      </w:pPr>
      <w:r>
        <w:rPr>
          <w:rFonts w:ascii="Consolas" w:cs="Consolas" w:eastAsia="Consolas" w:hAnsi="Consolas"/>
          <w:sz w:val="20"/>
          <w:szCs w:val="20"/>
        </w:rPr>
        <w:t xml:space="preserve">import os, googlemaps</w:t>
      </w:r>
    </w:p>
    <w:p>
      <w:pPr>
        <w:shd w:fill="F2F2F2" w:color="auto" w:val="clear"/>
        <w:spacing w:after="200"/>
      </w:pPr>
      <w:r>
        <w:rPr>
          <w:rFonts w:ascii="Consolas" w:cs="Consolas" w:eastAsia="Consolas" w:hAnsi="Consolas"/>
          <w:sz w:val="20"/>
          <w:szCs w:val="20"/>
        </w:rPr>
        <w:t xml:space="preserve">from dotenv import load_dotenv</w:t>
      </w:r>
    </w:p>
    <w:p>
      <w:pPr>
        <w:shd w:fill="F2F2F2" w:color="auto" w:val="clear"/>
        <w:spacing w:after="200"/>
      </w:pPr>
      <w:r>
        <w:rPr>
          <w:rFonts w:ascii="Consolas" w:cs="Consolas" w:eastAsia="Consolas" w:hAnsi="Consolas"/>
          <w:sz w:val="20"/>
          <w:szCs w:val="20"/>
        </w:rPr>
        <w:t xml:space="preserve">load_dotenv()</w:t>
      </w:r>
    </w:p>
    <w:p>
      <w:pPr>
        <w:shd w:fill="F2F2F2" w:color="auto" w:val="clear"/>
        <w:spacing w:after="200"/>
      </w:pPr>
      <w:r>
        <w:rPr>
          <w:rFonts w:ascii="Consolas" w:cs="Consolas" w:eastAsia="Consolas" w:hAnsi="Consolas"/>
          <w:sz w:val="20"/>
          <w:szCs w:val="20"/>
        </w:rPr>
        <w:t xml:space="preserve">gmaps = googlemaps.Client(key=os.environ["GOOGLE_API_KEY"])</w:t>
      </w:r>
    </w:p>
    <w:p>
      <w:pPr>
        <w:shd w:fill="F2F2F2" w:color="auto" w:val="clear"/>
        <w:spacing w:after="260"/>
      </w:pPr>
      <w:r>
        <w:rPr>
          <w:rFonts w:ascii="Consolas" w:cs="Consolas" w:eastAsia="Consolas" w:hAnsi="Consolas"/>
          <w:sz w:val="20"/>
          <w:szCs w:val="20"/>
        </w:rPr>
        <w:t xml:space="preserve">result = gmaps.geocode("123 Main St, Dallas, TX")</w:t>
      </w:r>
    </w:p>
    <w:p>
      <w:pPr>
        <w:spacing w:after="140"/>
      </w:pPr>
      <w:r>
        <w:rPr>
          <w:i/>
          <w:iCs/>
          <w:color w:val="595959"/>
        </w:rPr>
        <w:t xml:space="preserve">Hash the normalized address string (never store raw addresses or lat/lng with customer identifiers together) to create your address_hash node identifier — this preserves privacy and mirrors how a real risk team would handle PII.</w:t>
      </w:r>
    </w:p>
    <w:p>
      <w:pPr>
        <w:spacing w:after="140"/>
      </w:pPr>
      <w:r>
        <w:t xml:space="preserve">Optional stretch: use the Maps JavaScript API (same free tier) to plot flagged clusters on a map in your dashboard for a strong visual in interviews/demos.</w:t>
      </w:r>
    </w:p>
    <w:p>
      <w:pPr>
        <w:pStyle w:val="Heading1"/>
        <w:spacing w:after="160" w:before="360"/>
      </w:pPr>
      <w:r>
        <w:t xml:space="preserve">5. Data Plan</w:t>
      </w:r>
    </w:p>
    <w:p>
      <w:pPr>
        <w:pStyle w:val="Heading2"/>
        <w:spacing w:after="120" w:before="260"/>
      </w:pPr>
      <w:r>
        <w:t xml:space="preserve">5.1 Base data</w:t>
      </w:r>
    </w:p>
    <w:p>
      <w:pPr>
        <w:spacing w:after="140"/>
      </w:pPr>
      <w:r>
        <w:t xml:space="preserve">Start with a Kaggle e-commerce transactions dataset (e.g., an "Online Retail" style dataset) to get realistic legitimate purchase behavior: timestamps, item categories, customer IDs, order values.</w:t>
      </w:r>
    </w:p>
    <w:p>
      <w:pPr>
        <w:pStyle w:val="Heading2"/>
        <w:spacing w:after="120" w:before="260"/>
      </w:pPr>
      <w:r>
        <w:t xml:space="preserve">5.2 Synthetic fraud injection (the piece everything else depends on)</w:t>
      </w:r>
    </w:p>
    <w:p>
      <w:pPr>
        <w:spacing w:after="140"/>
      </w:pPr>
      <w:r>
        <w:t xml:space="preserve">No public dataset labels wardrobing or bracketing, so you will write a script to inject controlled fraud patterns into the legitimate data, while keeping a hidden ground_truth_fraud column that is NEVER fed into your model — only used afterward to compute precision/recall.</w:t>
      </w:r>
    </w:p>
    <w:p>
      <w:pPr>
        <w:pStyle w:val="ListParagraph"/>
        <w:numPr>
          <w:ilvl w:val="0"/>
          <w:numId w:val="2"/>
        </w:numPr>
        <w:spacing w:after="80"/>
      </w:pPr>
      <w:r>
        <w:rPr>
          <w:b w:val="false"/>
          <w:bCs w:val="false"/>
        </w:rPr>
        <w:t xml:space="preserve">Address collision: duplicate a real address across 3–6 distinct customer_ids at a low, controlled rate (simulates fraud rings).</w:t>
      </w:r>
    </w:p>
    <w:p>
      <w:pPr>
        <w:pStyle w:val="ListParagraph"/>
        <w:numPr>
          <w:ilvl w:val="0"/>
          <w:numId w:val="2"/>
        </w:numPr>
        <w:spacing w:after="80"/>
      </w:pPr>
      <w:r>
        <w:rPr>
          <w:b w:val="false"/>
          <w:bCs w:val="false"/>
        </w:rPr>
        <w:t xml:space="preserve">Bracketing: same customer purchases sizes/colors S, M, L of one item; returns 2 of 3 within days.</w:t>
      </w:r>
    </w:p>
    <w:p>
      <w:pPr>
        <w:pStyle w:val="ListParagraph"/>
        <w:numPr>
          <w:ilvl w:val="0"/>
          <w:numId w:val="2"/>
        </w:numPr>
        <w:spacing w:after="80"/>
      </w:pPr>
      <w:r>
        <w:rPr>
          <w:b w:val="false"/>
          <w:bCs w:val="false"/>
        </w:rPr>
        <w:t xml:space="preserve">Wardrobing signature: purchase → return within an unusually short window, concentrated in specific categories (e.g., formalwear, electronics for events).</w:t>
      </w:r>
    </w:p>
    <w:p>
      <w:pPr>
        <w:pStyle w:val="ListParagraph"/>
        <w:numPr>
          <w:ilvl w:val="0"/>
          <w:numId w:val="2"/>
        </w:numPr>
        <w:spacing w:after="80"/>
      </w:pPr>
      <w:r>
        <w:rPr>
          <w:b w:val="false"/>
          <w:bCs w:val="false"/>
        </w:rPr>
        <w:t xml:space="preserve">Abnormal return velocity: inject customers with return rates far above the dataset's natural distribution.</w:t>
      </w:r>
    </w:p>
    <w:p>
      <w:pPr>
        <w:pStyle w:val="ListParagraph"/>
        <w:numPr>
          <w:ilvl w:val="0"/>
          <w:numId w:val="2"/>
        </w:numPr>
        <w:spacing w:after="80"/>
      </w:pPr>
      <w:r>
        <w:rPr>
          <w:b w:val="false"/>
          <w:bCs w:val="false"/>
        </w:rPr>
        <w:t xml:space="preserve">Keep a realistic noise floor: most injected "risky-looking" behavior should still be legitimate (returns happen normally) so your model has to actually discriminate, not just catch everything above a threshold.</w:t>
      </w:r>
    </w:p>
    <w:p>
      <w:pPr>
        <w:pStyle w:val="Heading1"/>
        <w:spacing w:after="160" w:before="360"/>
      </w:pPr>
      <w:r>
        <w:t xml:space="preserve">6. Graph Architecture</w:t>
      </w:r>
    </w:p>
    <w:p>
      <w:pPr>
        <w:pStyle w:val="Heading2"/>
        <w:spacing w:after="120" w:before="260"/>
      </w:pPr>
      <w:r>
        <w:t xml:space="preserve">6.1 Nodes</w:t>
      </w:r>
    </w:p>
    <w:p>
      <w:pPr>
        <w:pStyle w:val="ListParagraph"/>
        <w:numPr>
          <w:ilvl w:val="0"/>
          <w:numId w:val="2"/>
        </w:numPr>
        <w:spacing w:after="80"/>
      </w:pPr>
      <w:r>
        <w:rPr>
          <w:b w:val="false"/>
          <w:bCs w:val="false"/>
        </w:rPr>
        <w:t xml:space="preserve">customer_id</w:t>
      </w:r>
    </w:p>
    <w:p>
      <w:pPr>
        <w:pStyle w:val="ListParagraph"/>
        <w:numPr>
          <w:ilvl w:val="0"/>
          <w:numId w:val="2"/>
        </w:numPr>
        <w:spacing w:after="80"/>
      </w:pPr>
      <w:r>
        <w:rPr>
          <w:b w:val="false"/>
          <w:bCs w:val="false"/>
        </w:rPr>
        <w:t xml:space="preserve">address_hash (from Google Geocoding normalization)</w:t>
      </w:r>
    </w:p>
    <w:p>
      <w:pPr>
        <w:pStyle w:val="ListParagraph"/>
        <w:numPr>
          <w:ilvl w:val="0"/>
          <w:numId w:val="2"/>
        </w:numPr>
        <w:spacing w:after="80"/>
      </w:pPr>
      <w:r>
        <w:rPr>
          <w:b w:val="false"/>
          <w:bCs w:val="false"/>
        </w:rPr>
        <w:t xml:space="preserve">payment_fingerprint (last 4 digits + card type only — never store full card data)</w:t>
      </w:r>
    </w:p>
    <w:p>
      <w:pPr>
        <w:pStyle w:val="ListParagraph"/>
        <w:numPr>
          <w:ilvl w:val="0"/>
          <w:numId w:val="2"/>
        </w:numPr>
        <w:spacing w:after="80"/>
      </w:pPr>
      <w:r>
        <w:rPr>
          <w:b w:val="false"/>
          <w:bCs w:val="false"/>
        </w:rPr>
        <w:t xml:space="preserve">item_id / category</w:t>
      </w:r>
    </w:p>
    <w:p>
      <w:pPr>
        <w:pStyle w:val="Heading2"/>
        <w:spacing w:after="120" w:before="260"/>
      </w:pPr>
      <w:r>
        <w:t xml:space="preserve">6.2 Edges</w:t>
      </w:r>
    </w:p>
    <w:p>
      <w:pPr>
        <w:pStyle w:val="ListParagraph"/>
        <w:numPr>
          <w:ilvl w:val="0"/>
          <w:numId w:val="2"/>
        </w:numPr>
        <w:spacing w:after="80"/>
      </w:pPr>
      <w:r>
        <w:rPr>
          <w:b w:val="false"/>
          <w:bCs w:val="false"/>
        </w:rPr>
        <w:t xml:space="preserve">purchased (customer → item, weighted by frequency/value)</w:t>
      </w:r>
    </w:p>
    <w:p>
      <w:pPr>
        <w:pStyle w:val="ListParagraph"/>
        <w:numPr>
          <w:ilvl w:val="0"/>
          <w:numId w:val="2"/>
        </w:numPr>
        <w:spacing w:after="80"/>
      </w:pPr>
      <w:r>
        <w:rPr>
          <w:b w:val="false"/>
          <w:bCs w:val="false"/>
        </w:rPr>
        <w:t xml:space="preserve">returned (customer → item, with return_reason and days_to_return as attributes)</w:t>
      </w:r>
    </w:p>
    <w:p>
      <w:pPr>
        <w:pStyle w:val="ListParagraph"/>
        <w:numPr>
          <w:ilvl w:val="0"/>
          <w:numId w:val="2"/>
        </w:numPr>
        <w:spacing w:after="80"/>
      </w:pPr>
      <w:r>
        <w:rPr>
          <w:b w:val="false"/>
          <w:bCs w:val="false"/>
        </w:rPr>
        <w:t xml:space="preserve">shares_address_with (customer ↔ customer, derived)</w:t>
      </w:r>
    </w:p>
    <w:p>
      <w:pPr>
        <w:pStyle w:val="ListParagraph"/>
        <w:numPr>
          <w:ilvl w:val="0"/>
          <w:numId w:val="2"/>
        </w:numPr>
        <w:spacing w:after="80"/>
      </w:pPr>
      <w:r>
        <w:rPr>
          <w:b w:val="false"/>
          <w:bCs w:val="false"/>
        </w:rPr>
        <w:t xml:space="preserve">shares_payment_with (customer ↔ customer, derived)</w:t>
      </w:r>
    </w:p>
    <w:p>
      <w:pPr>
        <w:pStyle w:val="Heading2"/>
        <w:spacing w:after="120" w:before="260"/>
      </w:pPr>
      <w:r>
        <w:t xml:space="preserve">6.3 Two-layer detection design</w:t>
      </w:r>
    </w:p>
    <w:p>
      <w:pPr>
        <w:spacing w:after="140"/>
      </w:pPr>
      <w:r>
        <w:t xml:space="preserve">Layer 1 — Graph level: run Louvain community detection (built into NetworkX) to surface clusters of accounts that are structurally connected in ways that shouldn't occur for unrelated shoppers.</w:t>
      </w:r>
    </w:p>
    <w:p>
      <w:pPr>
        <w:spacing w:after="140"/>
      </w:pPr>
      <w:r>
        <w:t xml:space="preserve">Layer 2 — Node level: engineer per-customer features (below) and score them with Isolation Forest, an unsupervised outlier detector — appropriate here because you're deliberately not training on your synthetic labels.</w:t>
      </w:r>
    </w:p>
    <w:p>
      <w:pPr>
        <w:spacing w:after="140"/>
      </w:pPr>
      <w:r>
        <w:rPr>
          <w:i/>
          <w:iCs/>
          <w:color w:val="595959"/>
        </w:rPr>
        <w:t xml:space="preserve">Combine both into a single cluster risk score, and this combination — not either layer alone — is the core technical contribution worth explaining in an interview.</w:t>
      </w:r>
    </w:p>
    <w:p>
      <w:pPr>
        <w:pStyle w:val="Heading1"/>
        <w:spacing w:after="160" w:before="360"/>
      </w:pPr>
      <w:r>
        <w:t xml:space="preserve">7. Feature Engineering</w:t>
      </w:r>
    </w:p>
    <w:p>
      <w:pPr>
        <w:pStyle w:val="ListParagraph"/>
        <w:numPr>
          <w:ilvl w:val="0"/>
          <w:numId w:val="2"/>
        </w:numPr>
        <w:spacing w:after="80"/>
      </w:pPr>
      <w:r>
        <w:rPr>
          <w:b w:val="false"/>
          <w:bCs w:val="false"/>
        </w:rPr>
        <w:t xml:space="preserve">Return velocity: returns per 30/60/90-day window</w:t>
      </w:r>
    </w:p>
    <w:p>
      <w:pPr>
        <w:pStyle w:val="ListParagraph"/>
        <w:numPr>
          <w:ilvl w:val="0"/>
          <w:numId w:val="2"/>
        </w:numPr>
        <w:spacing w:after="80"/>
      </w:pPr>
      <w:r>
        <w:rPr>
          <w:b w:val="false"/>
          <w:bCs w:val="false"/>
        </w:rPr>
        <w:t xml:space="preserve">Return-to-purchase ratio, broken out by category (bracketing shows up here)</w:t>
      </w:r>
    </w:p>
    <w:p>
      <w:pPr>
        <w:pStyle w:val="ListParagraph"/>
        <w:numPr>
          <w:ilvl w:val="0"/>
          <w:numId w:val="2"/>
        </w:numPr>
        <w:spacing w:after="80"/>
      </w:pPr>
      <w:r>
        <w:rPr>
          <w:b w:val="false"/>
          <w:bCs w:val="false"/>
        </w:rPr>
        <w:t xml:space="preserve">Time-between-purchase-and-return (very short windows correlate with wardrobing)</w:t>
      </w:r>
    </w:p>
    <w:p>
      <w:pPr>
        <w:pStyle w:val="ListParagraph"/>
        <w:numPr>
          <w:ilvl w:val="0"/>
          <w:numId w:val="2"/>
        </w:numPr>
        <w:spacing w:after="80"/>
      </w:pPr>
      <w:r>
        <w:rPr>
          <w:b w:val="false"/>
          <w:bCs w:val="false"/>
        </w:rPr>
        <w:t xml:space="preserve">Address fan-in: number of distinct customer_ids linked to one address_hash</w:t>
      </w:r>
    </w:p>
    <w:p>
      <w:pPr>
        <w:pStyle w:val="ListParagraph"/>
        <w:numPr>
          <w:ilvl w:val="0"/>
          <w:numId w:val="2"/>
        </w:numPr>
        <w:spacing w:after="80"/>
      </w:pPr>
      <w:r>
        <w:rPr>
          <w:b w:val="false"/>
          <w:bCs w:val="false"/>
        </w:rPr>
        <w:t xml:space="preserve">Payment fan-in: number of distinct customer_ids linked to one payment_fingerprint</w:t>
      </w:r>
    </w:p>
    <w:p>
      <w:pPr>
        <w:pStyle w:val="ListParagraph"/>
        <w:numPr>
          <w:ilvl w:val="0"/>
          <w:numId w:val="2"/>
        </w:numPr>
        <w:spacing w:after="80"/>
      </w:pPr>
      <w:r>
        <w:rPr>
          <w:b w:val="false"/>
          <w:bCs w:val="false"/>
        </w:rPr>
        <w:t xml:space="preserve">Cluster size and density (from Louvain output)</w:t>
      </w:r>
    </w:p>
    <w:p>
      <w:pPr>
        <w:pStyle w:val="Heading1"/>
        <w:spacing w:after="160" w:before="360"/>
      </w:pPr>
      <w:r>
        <w:t xml:space="preserve">8. Explainability Layer</w:t>
      </w:r>
    </w:p>
    <w:p>
      <w:pPr>
        <w:spacing w:after="140"/>
      </w:pPr>
      <w:r>
        <w:t xml:space="preserve">For every flagged cluster, auto-generate a plain-English reason string, for example: “Three accounts share one address; all three returned over 60% of Electronics purchases within 48 hours.” This is the single highest-leverage piece of the whole project for an Amazon risk/fraud interview — detection without explanation is not deployable, because analysts need to understand why an account was flagged before taking action against a real customer.</w:t>
      </w:r>
    </w:p>
    <w:p>
      <w:pPr>
        <w:spacing w:after="140"/>
      </w:pPr>
      <w:r>
        <w:t xml:space="preserve">Implementation: a simple template system driven off which features were the primary drivers of that cluster's score (highest z-score features), no LLM required — though you could optionally use the Claude API to turn the structured reasons into fully natural-language analyst summaries as a stretch goal.</w:t>
      </w:r>
    </w:p>
    <w:p>
      <w:pPr>
        <w:pStyle w:val="Heading1"/>
        <w:spacing w:after="160" w:before="360"/>
      </w:pPr>
      <w:r>
        <w:t xml:space="preserve">9. Baseline &amp; Evaluation (this is what makes the project credible)</w:t>
      </w:r>
    </w:p>
    <w:p>
      <w:pPr>
        <w:spacing w:after="140"/>
      </w:pPr>
      <w:r>
        <w:t xml:space="preserve">Before building the graph model, implement a simple rule-based baseline first: e.g., flag any customer with more than 5 returns in 30 days, or return ratio above 50%. This takes an afternoon and is essential — without it you have no comparison point.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1F3864" w:color="auto" w:val="clear"/>
            <w:tcMar>
              <w:top w:type="dxa" w:w="100"/>
              <w:left w:type="dxa" w:w="120"/>
              <w:bottom w:type="dxa" w:w="100"/>
              <w:right w:type="dxa" w:w="120"/>
            </w:tcMar>
          </w:tcPr>
          <w:p>
            <w:pPr>
              <w:jc w:val="left"/>
            </w:pPr>
            <w:r>
              <w:rPr>
                <w:b/>
                <w:bCs/>
                <w:color w:val="FFFFFF"/>
              </w:rPr>
              <w:t xml:space="preserve">Metric</w:t>
            </w:r>
          </w:p>
        </w:tc>
        <w:tc>
          <w:tcPr>
            <w:tcW w:type="dxa" w:w="3117"/>
            <w:shd w:fill="1F3864" w:color="auto" w:val="clear"/>
            <w:tcMar>
              <w:top w:type="dxa" w:w="100"/>
              <w:left w:type="dxa" w:w="120"/>
              <w:bottom w:type="dxa" w:w="100"/>
              <w:right w:type="dxa" w:w="120"/>
            </w:tcMar>
          </w:tcPr>
          <w:p>
            <w:pPr>
              <w:jc w:val="left"/>
            </w:pPr>
            <w:r>
              <w:rPr>
                <w:b/>
                <w:bCs/>
                <w:color w:val="FFFFFF"/>
              </w:rPr>
              <w:t xml:space="preserve">Rule-Based Baseline</w:t>
            </w:r>
          </w:p>
        </w:tc>
        <w:tc>
          <w:tcPr>
            <w:tcW w:type="dxa" w:w="3116"/>
            <w:shd w:fill="1F3864" w:color="auto" w:val="clear"/>
            <w:tcMar>
              <w:top w:type="dxa" w:w="100"/>
              <w:left w:type="dxa" w:w="120"/>
              <w:bottom w:type="dxa" w:w="100"/>
              <w:right w:type="dxa" w:w="120"/>
            </w:tcMar>
          </w:tcPr>
          <w:p>
            <w:pPr>
              <w:jc w:val="left"/>
            </w:pPr>
            <w:r>
              <w:rPr>
                <w:b/>
                <w:bCs/>
                <w:color w:val="FFFFFF"/>
              </w:rPr>
              <w:t xml:space="preserve">Graph Model (target)</w:t>
            </w:r>
          </w:p>
        </w:tc>
      </w:tr>
      <w:tr>
        <w:tc>
          <w:tcPr>
            <w:tcW w:type="dxa" w:w="3117"/>
            <w:tcMar>
              <w:top w:type="dxa" w:w="100"/>
              <w:left w:type="dxa" w:w="120"/>
              <w:bottom w:type="dxa" w:w="100"/>
              <w:right w:type="dxa" w:w="120"/>
            </w:tcMar>
          </w:tcPr>
          <w:p>
            <w:pPr>
              <w:jc w:val="left"/>
            </w:pPr>
            <w:r>
              <w:rPr>
                <w:b w:val="false"/>
                <w:bCs w:val="false"/>
                <w:color w:val="000000"/>
              </w:rPr>
              <w:t xml:space="preserve">Precision</w:t>
            </w:r>
          </w:p>
        </w:tc>
        <w:tc>
          <w:tcPr>
            <w:tcW w:type="dxa" w:w="3117"/>
            <w:tcMar>
              <w:top w:type="dxa" w:w="100"/>
              <w:left w:type="dxa" w:w="120"/>
              <w:bottom w:type="dxa" w:w="100"/>
              <w:right w:type="dxa" w:w="120"/>
            </w:tcMar>
          </w:tcPr>
          <w:p>
            <w:pPr>
              <w:jc w:val="left"/>
            </w:pPr>
            <w:r>
              <w:rPr>
                <w:b w:val="false"/>
                <w:bCs w:val="false"/>
                <w:color w:val="000000"/>
              </w:rPr>
              <w:t xml:space="preserve">measure it</w:t>
            </w:r>
          </w:p>
        </w:tc>
        <w:tc>
          <w:tcPr>
            <w:tcW w:type="dxa" w:w="3116"/>
            <w:tcMar>
              <w:top w:type="dxa" w:w="100"/>
              <w:left w:type="dxa" w:w="120"/>
              <w:bottom w:type="dxa" w:w="100"/>
              <w:right w:type="dxa" w:w="120"/>
            </w:tcMar>
          </w:tcPr>
          <w:p>
            <w:pPr>
              <w:jc w:val="left"/>
            </w:pPr>
            <w:r>
              <w:rPr>
                <w:b w:val="false"/>
                <w:bCs w:val="false"/>
                <w:color w:val="000000"/>
              </w:rPr>
              <w:t xml:space="preserve">should exceed baseline</w:t>
            </w:r>
          </w:p>
        </w:tc>
      </w:tr>
      <w:tr>
        <w:tc>
          <w:tcPr>
            <w:tcW w:type="dxa" w:w="3117"/>
            <w:shd w:fill="F2F2F2" w:color="auto" w:val="clear"/>
            <w:tcMar>
              <w:top w:type="dxa" w:w="100"/>
              <w:left w:type="dxa" w:w="120"/>
              <w:bottom w:type="dxa" w:w="100"/>
              <w:right w:type="dxa" w:w="120"/>
            </w:tcMar>
          </w:tcPr>
          <w:p>
            <w:pPr>
              <w:jc w:val="left"/>
            </w:pPr>
            <w:r>
              <w:rPr>
                <w:b w:val="false"/>
                <w:bCs w:val="false"/>
                <w:color w:val="000000"/>
              </w:rPr>
              <w:t xml:space="preserve">Recall</w:t>
            </w:r>
          </w:p>
        </w:tc>
        <w:tc>
          <w:tcPr>
            <w:tcW w:type="dxa" w:w="3117"/>
            <w:shd w:fill="F2F2F2" w:color="auto" w:val="clear"/>
            <w:tcMar>
              <w:top w:type="dxa" w:w="100"/>
              <w:left w:type="dxa" w:w="120"/>
              <w:bottom w:type="dxa" w:w="100"/>
              <w:right w:type="dxa" w:w="120"/>
            </w:tcMar>
          </w:tcPr>
          <w:p>
            <w:pPr>
              <w:jc w:val="left"/>
            </w:pPr>
            <w:r>
              <w:rPr>
                <w:b w:val="false"/>
                <w:bCs w:val="false"/>
                <w:color w:val="000000"/>
              </w:rPr>
              <w:t xml:space="preserve">measure it</w:t>
            </w:r>
          </w:p>
        </w:tc>
        <w:tc>
          <w:tcPr>
            <w:tcW w:type="dxa" w:w="3116"/>
            <w:shd w:fill="F2F2F2" w:color="auto" w:val="clear"/>
            <w:tcMar>
              <w:top w:type="dxa" w:w="100"/>
              <w:left w:type="dxa" w:w="120"/>
              <w:bottom w:type="dxa" w:w="100"/>
              <w:right w:type="dxa" w:w="120"/>
            </w:tcMar>
          </w:tcPr>
          <w:p>
            <w:pPr>
              <w:jc w:val="left"/>
            </w:pPr>
            <w:r>
              <w:rPr>
                <w:b w:val="false"/>
                <w:bCs w:val="false"/>
                <w:color w:val="000000"/>
              </w:rPr>
              <w:t xml:space="preserve">should exceed baseline</w:t>
            </w:r>
          </w:p>
        </w:tc>
      </w:tr>
      <w:tr>
        <w:tc>
          <w:tcPr>
            <w:tcW w:type="dxa" w:w="3117"/>
            <w:tcMar>
              <w:top w:type="dxa" w:w="100"/>
              <w:left w:type="dxa" w:w="120"/>
              <w:bottom w:type="dxa" w:w="100"/>
              <w:right w:type="dxa" w:w="120"/>
            </w:tcMar>
          </w:tcPr>
          <w:p>
            <w:pPr>
              <w:jc w:val="left"/>
            </w:pPr>
            <w:r>
              <w:rPr>
                <w:b w:val="false"/>
                <w:bCs w:val="false"/>
                <w:color w:val="000000"/>
              </w:rPr>
              <w:t xml:space="preserve">False positive rate</w:t>
            </w:r>
          </w:p>
        </w:tc>
        <w:tc>
          <w:tcPr>
            <w:tcW w:type="dxa" w:w="3117"/>
            <w:tcMar>
              <w:top w:type="dxa" w:w="100"/>
              <w:left w:type="dxa" w:w="120"/>
              <w:bottom w:type="dxa" w:w="100"/>
              <w:right w:type="dxa" w:w="120"/>
            </w:tcMar>
          </w:tcPr>
          <w:p>
            <w:pPr>
              <w:jc w:val="left"/>
            </w:pPr>
            <w:r>
              <w:rPr>
                <w:b w:val="false"/>
                <w:bCs w:val="false"/>
                <w:color w:val="000000"/>
              </w:rPr>
              <w:t xml:space="preserve">measure it</w:t>
            </w:r>
          </w:p>
        </w:tc>
        <w:tc>
          <w:tcPr>
            <w:tcW w:type="dxa" w:w="3116"/>
            <w:tcMar>
              <w:top w:type="dxa" w:w="100"/>
              <w:left w:type="dxa" w:w="120"/>
              <w:bottom w:type="dxa" w:w="100"/>
              <w:right w:type="dxa" w:w="120"/>
            </w:tcMar>
          </w:tcPr>
          <w:p>
            <w:pPr>
              <w:jc w:val="left"/>
            </w:pPr>
            <w:r>
              <w:rPr>
                <w:b w:val="false"/>
                <w:bCs w:val="false"/>
                <w:color w:val="000000"/>
              </w:rPr>
              <w:t xml:space="preserve">should be meaningfully lower</w:t>
            </w:r>
          </w:p>
        </w:tc>
      </w:tr>
    </w:tbl>
    <w:p>
      <w:pPr>
        <w:spacing w:after="200"/>
      </w:pPr>
    </w:p>
    <w:p>
      <w:pPr>
        <w:spacing w:after="140"/>
      </w:pPr>
      <w:r>
        <w:t xml:space="preserve">Compute these against your held-out ground_truth_fraud column. Your resume line depends entirely on having real numbers here — don't skip this step.</w:t>
      </w:r>
    </w:p>
    <w:p>
      <w:pPr>
        <w:pStyle w:val="Heading1"/>
        <w:spacing w:after="160" w:before="360"/>
      </w:pPr>
      <w:r>
        <w:t xml:space="preserve">10. Timeline &amp; Task Plan (≈ 3 Weeks)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550"/>
        <w:gridCol w:w="2000"/>
      </w:tblGrid>
      <w:tr>
        <w:trPr>
          <w:tblHeader/>
        </w:trPr>
        <w:tc>
          <w:tcPr>
            <w:tcW w:type="dxa" w:w="1400"/>
            <w:shd w:fill="1F3864" w:color="auto" w:val="clear"/>
            <w:tcMar>
              <w:top w:type="dxa" w:w="100"/>
              <w:left w:type="dxa" w:w="120"/>
              <w:bottom w:type="dxa" w:w="100"/>
              <w:right w:type="dxa" w:w="120"/>
            </w:tcMar>
          </w:tcPr>
          <w:p>
            <w:pPr>
              <w:jc w:val="left"/>
            </w:pPr>
            <w:r>
              <w:rPr>
                <w:b/>
                <w:bCs/>
                <w:color w:val="FFFFFF"/>
              </w:rPr>
              <w:t xml:space="preserve">Days</w:t>
            </w:r>
          </w:p>
        </w:tc>
        <w:tc>
          <w:tcPr>
            <w:tcW w:type="dxa" w:w="2400"/>
            <w:shd w:fill="1F3864" w:color="auto" w:val="clear"/>
            <w:tcMar>
              <w:top w:type="dxa" w:w="100"/>
              <w:left w:type="dxa" w:w="120"/>
              <w:bottom w:type="dxa" w:w="100"/>
              <w:right w:type="dxa" w:w="120"/>
            </w:tcMar>
          </w:tcPr>
          <w:p>
            <w:pPr>
              <w:jc w:val="left"/>
            </w:pPr>
            <w:r>
              <w:rPr>
                <w:b/>
                <w:bCs/>
                <w:color w:val="FFFFFF"/>
              </w:rPr>
              <w:t xml:space="preserve">Phase</w:t>
            </w:r>
          </w:p>
        </w:tc>
        <w:tc>
          <w:tcPr>
            <w:tcW w:type="dxa" w:w="3550"/>
            <w:shd w:fill="1F3864" w:color="auto" w:val="clear"/>
            <w:tcMar>
              <w:top w:type="dxa" w:w="100"/>
              <w:left w:type="dxa" w:w="120"/>
              <w:bottom w:type="dxa" w:w="100"/>
              <w:right w:type="dxa" w:w="120"/>
            </w:tcMar>
          </w:tcPr>
          <w:p>
            <w:pPr>
              <w:jc w:val="left"/>
            </w:pPr>
            <w:r>
              <w:rPr>
                <w:b/>
                <w:bCs/>
                <w:color w:val="FFFFFF"/>
              </w:rPr>
              <w:t xml:space="preserve">Tasks</w:t>
            </w:r>
          </w:p>
        </w:tc>
        <w:tc>
          <w:tcPr>
            <w:tcW w:type="dxa" w:w="2000"/>
            <w:shd w:fill="1F3864" w:color="auto" w:val="clear"/>
            <w:tcMar>
              <w:top w:type="dxa" w:w="100"/>
              <w:left w:type="dxa" w:w="120"/>
              <w:bottom w:type="dxa" w:w="100"/>
              <w:right w:type="dxa" w:w="120"/>
            </w:tcMar>
          </w:tcPr>
          <w:p>
            <w:pPr>
              <w:jc w:val="left"/>
            </w:pPr>
            <w:r>
              <w:rPr>
                <w:b/>
                <w:bCs/>
                <w:color w:val="FFFFFF"/>
              </w:rPr>
              <w:t xml:space="preserve">Output</w:t>
            </w:r>
          </w:p>
        </w:tc>
      </w:tr>
      <w:tr>
        <w:tc>
          <w:tcPr>
            <w:tcW w:type="dxa" w:w="1400"/>
            <w:tcMar>
              <w:top w:type="dxa" w:w="100"/>
              <w:left w:type="dxa" w:w="120"/>
              <w:bottom w:type="dxa" w:w="100"/>
              <w:right w:type="dxa" w:w="120"/>
            </w:tcMar>
          </w:tcPr>
          <w:p>
            <w:pPr>
              <w:jc w:val="left"/>
            </w:pPr>
            <w:r>
              <w:rPr>
                <w:b w:val="false"/>
                <w:bCs w:val="false"/>
                <w:color w:val="000000"/>
              </w:rPr>
              <w:t xml:space="preserve">1–3</w:t>
            </w:r>
          </w:p>
        </w:tc>
        <w:tc>
          <w:tcPr>
            <w:tcW w:type="dxa" w:w="2400"/>
            <w:tcMar>
              <w:top w:type="dxa" w:w="100"/>
              <w:left w:type="dxa" w:w="120"/>
              <w:bottom w:type="dxa" w:w="100"/>
              <w:right w:type="dxa" w:w="120"/>
            </w:tcMar>
          </w:tcPr>
          <w:p>
            <w:pPr>
              <w:jc w:val="left"/>
            </w:pPr>
            <w:r>
              <w:rPr>
                <w:b w:val="false"/>
                <w:bCs w:val="false"/>
                <w:color w:val="000000"/>
              </w:rPr>
              <w:t xml:space="preserve">Data setup</w:t>
            </w:r>
          </w:p>
        </w:tc>
        <w:tc>
          <w:tcPr>
            <w:tcW w:type="dxa" w:w="3550"/>
            <w:tcMar>
              <w:top w:type="dxa" w:w="100"/>
              <w:left w:type="dxa" w:w="120"/>
              <w:bottom w:type="dxa" w:w="100"/>
              <w:right w:type="dxa" w:w="120"/>
            </w:tcMar>
          </w:tcPr>
          <w:p>
            <w:pPr>
              <w:jc w:val="left"/>
            </w:pPr>
            <w:r>
              <w:rPr>
                <w:b w:val="false"/>
                <w:bCs w:val="false"/>
                <w:color w:val="000000"/>
              </w:rPr>
              <w:t xml:space="preserve">Source Kaggle dataset; write &amp; run fraud-injection script; validate distributions look realistic</w:t>
            </w:r>
          </w:p>
        </w:tc>
        <w:tc>
          <w:tcPr>
            <w:tcW w:type="dxa" w:w="2000"/>
            <w:tcMar>
              <w:top w:type="dxa" w:w="100"/>
              <w:left w:type="dxa" w:w="120"/>
              <w:bottom w:type="dxa" w:w="100"/>
              <w:right w:type="dxa" w:w="120"/>
            </w:tcMar>
          </w:tcPr>
          <w:p>
            <w:pPr>
              <w:jc w:val="left"/>
            </w:pPr>
            <w:r>
              <w:rPr>
                <w:b w:val="false"/>
                <w:bCs w:val="false"/>
                <w:color w:val="000000"/>
              </w:rPr>
              <w:t xml:space="preserve">clean_data.csv + ground_truth_fraud.csv</w:t>
            </w:r>
          </w:p>
        </w:tc>
      </w:tr>
      <w:tr>
        <w:tc>
          <w:tcPr>
            <w:tcW w:type="dxa" w:w="1400"/>
            <w:shd w:fill="F2F2F2" w:color="auto" w:val="clear"/>
            <w:tcMar>
              <w:top w:type="dxa" w:w="100"/>
              <w:left w:type="dxa" w:w="120"/>
              <w:bottom w:type="dxa" w:w="100"/>
              <w:right w:type="dxa" w:w="120"/>
            </w:tcMar>
          </w:tcPr>
          <w:p>
            <w:pPr>
              <w:jc w:val="left"/>
            </w:pPr>
            <w:r>
              <w:rPr>
                <w:b w:val="false"/>
                <w:bCs w:val="false"/>
                <w:color w:val="000000"/>
              </w:rPr>
              <w:t xml:space="preserve">4–6</w:t>
            </w:r>
          </w:p>
        </w:tc>
        <w:tc>
          <w:tcPr>
            <w:tcW w:type="dxa" w:w="2400"/>
            <w:shd w:fill="F2F2F2" w:color="auto" w:val="clear"/>
            <w:tcMar>
              <w:top w:type="dxa" w:w="100"/>
              <w:left w:type="dxa" w:w="120"/>
              <w:bottom w:type="dxa" w:w="100"/>
              <w:right w:type="dxa" w:w="120"/>
            </w:tcMar>
          </w:tcPr>
          <w:p>
            <w:pPr>
              <w:jc w:val="left"/>
            </w:pPr>
            <w:r>
              <w:rPr>
                <w:b w:val="false"/>
                <w:bCs w:val="false"/>
                <w:color w:val="000000"/>
              </w:rPr>
              <w:t xml:space="preserve">Graph construction</w:t>
            </w:r>
          </w:p>
        </w:tc>
        <w:tc>
          <w:tcPr>
            <w:tcW w:type="dxa" w:w="3550"/>
            <w:shd w:fill="F2F2F2" w:color="auto" w:val="clear"/>
            <w:tcMar>
              <w:top w:type="dxa" w:w="100"/>
              <w:left w:type="dxa" w:w="120"/>
              <w:bottom w:type="dxa" w:w="100"/>
              <w:right w:type="dxa" w:w="120"/>
            </w:tcMar>
          </w:tcPr>
          <w:p>
            <w:pPr>
              <w:jc w:val="left"/>
            </w:pPr>
            <w:r>
              <w:rPr>
                <w:b w:val="false"/>
                <w:bCs w:val="false"/>
                <w:color w:val="000000"/>
              </w:rPr>
              <w:t xml:space="preserve">Build NetworkX graph; set up Google Geocoding API; normalize &amp; hash addresses; add Neo4j (optional but recommended)</w:t>
            </w:r>
          </w:p>
        </w:tc>
        <w:tc>
          <w:tcPr>
            <w:tcW w:type="dxa" w:w="2000"/>
            <w:shd w:fill="F2F2F2" w:color="auto" w:val="clear"/>
            <w:tcMar>
              <w:top w:type="dxa" w:w="100"/>
              <w:left w:type="dxa" w:w="120"/>
              <w:bottom w:type="dxa" w:w="100"/>
              <w:right w:type="dxa" w:w="120"/>
            </w:tcMar>
          </w:tcPr>
          <w:p>
            <w:pPr>
              <w:jc w:val="left"/>
            </w:pPr>
            <w:r>
              <w:rPr>
                <w:b w:val="false"/>
                <w:bCs w:val="false"/>
                <w:color w:val="000000"/>
              </w:rPr>
              <w:t xml:space="preserve">graph.gpickle / Neo4j DB populated</w:t>
            </w:r>
          </w:p>
        </w:tc>
      </w:tr>
      <w:tr>
        <w:tc>
          <w:tcPr>
            <w:tcW w:type="dxa" w:w="1400"/>
            <w:tcMar>
              <w:top w:type="dxa" w:w="100"/>
              <w:left w:type="dxa" w:w="120"/>
              <w:bottom w:type="dxa" w:w="100"/>
              <w:right w:type="dxa" w:w="120"/>
            </w:tcMar>
          </w:tcPr>
          <w:p>
            <w:pPr>
              <w:jc w:val="left"/>
            </w:pPr>
            <w:r>
              <w:rPr>
                <w:b w:val="false"/>
                <w:bCs w:val="false"/>
                <w:color w:val="000000"/>
              </w:rPr>
              <w:t xml:space="preserve">7</w:t>
            </w:r>
          </w:p>
        </w:tc>
        <w:tc>
          <w:tcPr>
            <w:tcW w:type="dxa" w:w="2400"/>
            <w:tcMar>
              <w:top w:type="dxa" w:w="100"/>
              <w:left w:type="dxa" w:w="120"/>
              <w:bottom w:type="dxa" w:w="100"/>
              <w:right w:type="dxa" w:w="120"/>
            </w:tcMar>
          </w:tcPr>
          <w:p>
            <w:pPr>
              <w:jc w:val="left"/>
            </w:pPr>
            <w:r>
              <w:rPr>
                <w:b w:val="false"/>
                <w:bCs w:val="false"/>
                <w:color w:val="000000"/>
              </w:rPr>
              <w:t xml:space="preserve">Baseline</w:t>
            </w:r>
          </w:p>
        </w:tc>
        <w:tc>
          <w:tcPr>
            <w:tcW w:type="dxa" w:w="3550"/>
            <w:tcMar>
              <w:top w:type="dxa" w:w="100"/>
              <w:left w:type="dxa" w:w="120"/>
              <w:bottom w:type="dxa" w:w="100"/>
              <w:right w:type="dxa" w:w="120"/>
            </w:tcMar>
          </w:tcPr>
          <w:p>
            <w:pPr>
              <w:jc w:val="left"/>
            </w:pPr>
            <w:r>
              <w:rPr>
                <w:b w:val="false"/>
                <w:bCs w:val="false"/>
                <w:color w:val="000000"/>
              </w:rPr>
              <w:t xml:space="preserve">Implement rule-based flagging; compute baseline precision/recall</w:t>
            </w:r>
          </w:p>
        </w:tc>
        <w:tc>
          <w:tcPr>
            <w:tcW w:type="dxa" w:w="2000"/>
            <w:tcMar>
              <w:top w:type="dxa" w:w="100"/>
              <w:left w:type="dxa" w:w="120"/>
              <w:bottom w:type="dxa" w:w="100"/>
              <w:right w:type="dxa" w:w="120"/>
            </w:tcMar>
          </w:tcPr>
          <w:p>
            <w:pPr>
              <w:jc w:val="left"/>
            </w:pPr>
            <w:r>
              <w:rPr>
                <w:b w:val="false"/>
                <w:bCs w:val="false"/>
                <w:color w:val="000000"/>
              </w:rPr>
              <w:t xml:space="preserve">baseline_metrics.json</w:t>
            </w:r>
          </w:p>
        </w:tc>
      </w:tr>
      <w:tr>
        <w:tc>
          <w:tcPr>
            <w:tcW w:type="dxa" w:w="1400"/>
            <w:shd w:fill="F2F2F2" w:color="auto" w:val="clear"/>
            <w:tcMar>
              <w:top w:type="dxa" w:w="100"/>
              <w:left w:type="dxa" w:w="120"/>
              <w:bottom w:type="dxa" w:w="100"/>
              <w:right w:type="dxa" w:w="120"/>
            </w:tcMar>
          </w:tcPr>
          <w:p>
            <w:pPr>
              <w:jc w:val="left"/>
            </w:pPr>
            <w:r>
              <w:rPr>
                <w:b w:val="false"/>
                <w:bCs w:val="false"/>
                <w:color w:val="000000"/>
              </w:rPr>
              <w:t xml:space="preserve">8–10</w:t>
            </w:r>
          </w:p>
        </w:tc>
        <w:tc>
          <w:tcPr>
            <w:tcW w:type="dxa" w:w="2400"/>
            <w:shd w:fill="F2F2F2" w:color="auto" w:val="clear"/>
            <w:tcMar>
              <w:top w:type="dxa" w:w="100"/>
              <w:left w:type="dxa" w:w="120"/>
              <w:bottom w:type="dxa" w:w="100"/>
              <w:right w:type="dxa" w:w="120"/>
            </w:tcMar>
          </w:tcPr>
          <w:p>
            <w:pPr>
              <w:jc w:val="left"/>
            </w:pPr>
            <w:r>
              <w:rPr>
                <w:b w:val="false"/>
                <w:bCs w:val="false"/>
                <w:color w:val="000000"/>
              </w:rPr>
              <w:t xml:space="preserve">Feature engineering + detection</w:t>
            </w:r>
          </w:p>
        </w:tc>
        <w:tc>
          <w:tcPr>
            <w:tcW w:type="dxa" w:w="3550"/>
            <w:shd w:fill="F2F2F2" w:color="auto" w:val="clear"/>
            <w:tcMar>
              <w:top w:type="dxa" w:w="100"/>
              <w:left w:type="dxa" w:w="120"/>
              <w:bottom w:type="dxa" w:w="100"/>
              <w:right w:type="dxa" w:w="120"/>
            </w:tcMar>
          </w:tcPr>
          <w:p>
            <w:pPr>
              <w:jc w:val="left"/>
            </w:pPr>
            <w:r>
              <w:rPr>
                <w:b w:val="false"/>
                <w:bCs w:val="false"/>
                <w:color w:val="000000"/>
              </w:rPr>
              <w:t xml:space="preserve">Build feature table; run Louvain community detection; run Isolation Forest; combine into cluster risk score</w:t>
            </w:r>
          </w:p>
        </w:tc>
        <w:tc>
          <w:tcPr>
            <w:tcW w:type="dxa" w:w="2000"/>
            <w:shd w:fill="F2F2F2" w:color="auto" w:val="clear"/>
            <w:tcMar>
              <w:top w:type="dxa" w:w="100"/>
              <w:left w:type="dxa" w:w="120"/>
              <w:bottom w:type="dxa" w:w="100"/>
              <w:right w:type="dxa" w:w="120"/>
            </w:tcMar>
          </w:tcPr>
          <w:p>
            <w:pPr>
              <w:jc w:val="left"/>
            </w:pPr>
            <w:r>
              <w:rPr>
                <w:b w:val="false"/>
                <w:bCs w:val="false"/>
                <w:color w:val="000000"/>
              </w:rPr>
              <w:t xml:space="preserve">risk_scores.csv</w:t>
            </w:r>
          </w:p>
        </w:tc>
      </w:tr>
      <w:tr>
        <w:tc>
          <w:tcPr>
            <w:tcW w:type="dxa" w:w="1400"/>
            <w:tcMar>
              <w:top w:type="dxa" w:w="100"/>
              <w:left w:type="dxa" w:w="120"/>
              <w:bottom w:type="dxa" w:w="100"/>
              <w:right w:type="dxa" w:w="120"/>
            </w:tcMar>
          </w:tcPr>
          <w:p>
            <w:pPr>
              <w:jc w:val="left"/>
            </w:pPr>
            <w:r>
              <w:rPr>
                <w:b w:val="false"/>
                <w:bCs w:val="false"/>
                <w:color w:val="000000"/>
              </w:rPr>
              <w:t xml:space="preserve">11–13</w:t>
            </w:r>
          </w:p>
        </w:tc>
        <w:tc>
          <w:tcPr>
            <w:tcW w:type="dxa" w:w="2400"/>
            <w:tcMar>
              <w:top w:type="dxa" w:w="100"/>
              <w:left w:type="dxa" w:w="120"/>
              <w:bottom w:type="dxa" w:w="100"/>
              <w:right w:type="dxa" w:w="120"/>
            </w:tcMar>
          </w:tcPr>
          <w:p>
            <w:pPr>
              <w:jc w:val="left"/>
            </w:pPr>
            <w:r>
              <w:rPr>
                <w:b w:val="false"/>
                <w:bCs w:val="false"/>
                <w:color w:val="000000"/>
              </w:rPr>
              <w:t xml:space="preserve">Explainability</w:t>
            </w:r>
          </w:p>
        </w:tc>
        <w:tc>
          <w:tcPr>
            <w:tcW w:type="dxa" w:w="3550"/>
            <w:tcMar>
              <w:top w:type="dxa" w:w="100"/>
              <w:left w:type="dxa" w:w="120"/>
              <w:bottom w:type="dxa" w:w="100"/>
              <w:right w:type="dxa" w:w="120"/>
            </w:tcMar>
          </w:tcPr>
          <w:p>
            <w:pPr>
              <w:jc w:val="left"/>
            </w:pPr>
            <w:r>
              <w:rPr>
                <w:b w:val="false"/>
                <w:bCs w:val="false"/>
                <w:color w:val="000000"/>
              </w:rPr>
              <w:t xml:space="preserve">Build reason-generation templates; validate reasons make sense on manual spot checks</w:t>
            </w:r>
          </w:p>
        </w:tc>
        <w:tc>
          <w:tcPr>
            <w:tcW w:type="dxa" w:w="2000"/>
            <w:tcMar>
              <w:top w:type="dxa" w:w="100"/>
              <w:left w:type="dxa" w:w="120"/>
              <w:bottom w:type="dxa" w:w="100"/>
              <w:right w:type="dxa" w:w="120"/>
            </w:tcMar>
          </w:tcPr>
          <w:p>
            <w:pPr>
              <w:jc w:val="left"/>
            </w:pPr>
            <w:r>
              <w:rPr>
                <w:b w:val="false"/>
                <w:bCs w:val="false"/>
                <w:color w:val="000000"/>
              </w:rPr>
              <w:t xml:space="preserve">explained_clusters.json</w:t>
            </w:r>
          </w:p>
        </w:tc>
      </w:tr>
      <w:tr>
        <w:tc>
          <w:tcPr>
            <w:tcW w:type="dxa" w:w="1400"/>
            <w:shd w:fill="F2F2F2" w:color="auto" w:val="clear"/>
            <w:tcMar>
              <w:top w:type="dxa" w:w="100"/>
              <w:left w:type="dxa" w:w="120"/>
              <w:bottom w:type="dxa" w:w="100"/>
              <w:right w:type="dxa" w:w="120"/>
            </w:tcMar>
          </w:tcPr>
          <w:p>
            <w:pPr>
              <w:jc w:val="left"/>
            </w:pPr>
            <w:r>
              <w:rPr>
                <w:b w:val="false"/>
                <w:bCs w:val="false"/>
                <w:color w:val="000000"/>
              </w:rPr>
              <w:t xml:space="preserve">14–17</w:t>
            </w:r>
          </w:p>
        </w:tc>
        <w:tc>
          <w:tcPr>
            <w:tcW w:type="dxa" w:w="2400"/>
            <w:shd w:fill="F2F2F2" w:color="auto" w:val="clear"/>
            <w:tcMar>
              <w:top w:type="dxa" w:w="100"/>
              <w:left w:type="dxa" w:w="120"/>
              <w:bottom w:type="dxa" w:w="100"/>
              <w:right w:type="dxa" w:w="120"/>
            </w:tcMar>
          </w:tcPr>
          <w:p>
            <w:pPr>
              <w:jc w:val="left"/>
            </w:pPr>
            <w:r>
              <w:rPr>
                <w:b w:val="false"/>
                <w:bCs w:val="false"/>
                <w:color w:val="000000"/>
              </w:rPr>
              <w:t xml:space="preserve">Dashboard</w:t>
            </w:r>
          </w:p>
        </w:tc>
        <w:tc>
          <w:tcPr>
            <w:tcW w:type="dxa" w:w="3550"/>
            <w:shd w:fill="F2F2F2" w:color="auto" w:val="clear"/>
            <w:tcMar>
              <w:top w:type="dxa" w:w="100"/>
              <w:left w:type="dxa" w:w="120"/>
              <w:bottom w:type="dxa" w:w="100"/>
              <w:right w:type="dxa" w:w="120"/>
            </w:tcMar>
          </w:tcPr>
          <w:p>
            <w:pPr>
              <w:jc w:val="left"/>
            </w:pPr>
            <w:r>
              <w:rPr>
                <w:b w:val="false"/>
                <w:bCs w:val="false"/>
                <w:color w:val="000000"/>
              </w:rPr>
              <w:t xml:space="preserve">Flask app; pyvis/d3 graph visualization; (optional) Google Maps plotting of flagged clusters</w:t>
            </w:r>
          </w:p>
        </w:tc>
        <w:tc>
          <w:tcPr>
            <w:tcW w:type="dxa" w:w="2000"/>
            <w:shd w:fill="F2F2F2" w:color="auto" w:val="clear"/>
            <w:tcMar>
              <w:top w:type="dxa" w:w="100"/>
              <w:left w:type="dxa" w:w="120"/>
              <w:bottom w:type="dxa" w:w="100"/>
              <w:right w:type="dxa" w:w="120"/>
            </w:tcMar>
          </w:tcPr>
          <w:p>
            <w:pPr>
              <w:jc w:val="left"/>
            </w:pPr>
            <w:r>
              <w:rPr>
                <w:b w:val="false"/>
                <w:bCs w:val="false"/>
                <w:color w:val="000000"/>
              </w:rPr>
              <w:t xml:space="preserve">working local dashboard</w:t>
            </w:r>
          </w:p>
        </w:tc>
      </w:tr>
      <w:tr>
        <w:tc>
          <w:tcPr>
            <w:tcW w:type="dxa" w:w="1400"/>
            <w:tcMar>
              <w:top w:type="dxa" w:w="100"/>
              <w:left w:type="dxa" w:w="120"/>
              <w:bottom w:type="dxa" w:w="100"/>
              <w:right w:type="dxa" w:w="120"/>
            </w:tcMar>
          </w:tcPr>
          <w:p>
            <w:pPr>
              <w:jc w:val="left"/>
            </w:pPr>
            <w:r>
              <w:rPr>
                <w:b w:val="false"/>
                <w:bCs w:val="false"/>
                <w:color w:val="000000"/>
              </w:rPr>
              <w:t xml:space="preserve">18–19</w:t>
            </w:r>
          </w:p>
        </w:tc>
        <w:tc>
          <w:tcPr>
            <w:tcW w:type="dxa" w:w="2400"/>
            <w:tcMar>
              <w:top w:type="dxa" w:w="100"/>
              <w:left w:type="dxa" w:w="120"/>
              <w:bottom w:type="dxa" w:w="100"/>
              <w:right w:type="dxa" w:w="120"/>
            </w:tcMar>
          </w:tcPr>
          <w:p>
            <w:pPr>
              <w:jc w:val="left"/>
            </w:pPr>
            <w:r>
              <w:rPr>
                <w:b w:val="false"/>
                <w:bCs w:val="false"/>
                <w:color w:val="000000"/>
              </w:rPr>
              <w:t xml:space="preserve">Evaluation writeup</w:t>
            </w:r>
          </w:p>
        </w:tc>
        <w:tc>
          <w:tcPr>
            <w:tcW w:type="dxa" w:w="3550"/>
            <w:tcMar>
              <w:top w:type="dxa" w:w="100"/>
              <w:left w:type="dxa" w:w="120"/>
              <w:bottom w:type="dxa" w:w="100"/>
              <w:right w:type="dxa" w:w="120"/>
            </w:tcMar>
          </w:tcPr>
          <w:p>
            <w:pPr>
              <w:jc w:val="left"/>
            </w:pPr>
            <w:r>
              <w:rPr>
                <w:b w:val="false"/>
                <w:bCs w:val="false"/>
                <w:color w:val="000000"/>
              </w:rPr>
              <w:t xml:space="preserve">Compute final metrics vs. baseline; write comparison + charts</w:t>
            </w:r>
          </w:p>
        </w:tc>
        <w:tc>
          <w:tcPr>
            <w:tcW w:type="dxa" w:w="2000"/>
            <w:tcMar>
              <w:top w:type="dxa" w:w="100"/>
              <w:left w:type="dxa" w:w="120"/>
              <w:bottom w:type="dxa" w:w="100"/>
              <w:right w:type="dxa" w:w="120"/>
            </w:tcMar>
          </w:tcPr>
          <w:p>
            <w:pPr>
              <w:jc w:val="left"/>
            </w:pPr>
            <w:r>
              <w:rPr>
                <w:b w:val="false"/>
                <w:bCs w:val="false"/>
                <w:color w:val="000000"/>
              </w:rPr>
              <w:t xml:space="preserve">metrics_report.md</w:t>
            </w:r>
          </w:p>
        </w:tc>
      </w:tr>
      <w:tr>
        <w:tc>
          <w:tcPr>
            <w:tcW w:type="dxa" w:w="1400"/>
            <w:shd w:fill="F2F2F2" w:color="auto" w:val="clear"/>
            <w:tcMar>
              <w:top w:type="dxa" w:w="100"/>
              <w:left w:type="dxa" w:w="120"/>
              <w:bottom w:type="dxa" w:w="100"/>
              <w:right w:type="dxa" w:w="120"/>
            </w:tcMar>
          </w:tcPr>
          <w:p>
            <w:pPr>
              <w:jc w:val="left"/>
            </w:pPr>
            <w:r>
              <w:rPr>
                <w:b w:val="false"/>
                <w:bCs w:val="false"/>
                <w:color w:val="000000"/>
              </w:rPr>
              <w:t xml:space="preserve">20–21</w:t>
            </w:r>
          </w:p>
        </w:tc>
        <w:tc>
          <w:tcPr>
            <w:tcW w:type="dxa" w:w="2400"/>
            <w:shd w:fill="F2F2F2" w:color="auto" w:val="clear"/>
            <w:tcMar>
              <w:top w:type="dxa" w:w="100"/>
              <w:left w:type="dxa" w:w="120"/>
              <w:bottom w:type="dxa" w:w="100"/>
              <w:right w:type="dxa" w:w="120"/>
            </w:tcMar>
          </w:tcPr>
          <w:p>
            <w:pPr>
              <w:jc w:val="left"/>
            </w:pPr>
            <w:r>
              <w:rPr>
                <w:b w:val="false"/>
                <w:bCs w:val="false"/>
                <w:color w:val="000000"/>
              </w:rPr>
              <w:t xml:space="preserve">Polish &amp; ship</w:t>
            </w:r>
          </w:p>
        </w:tc>
        <w:tc>
          <w:tcPr>
            <w:tcW w:type="dxa" w:w="3550"/>
            <w:shd w:fill="F2F2F2" w:color="auto" w:val="clear"/>
            <w:tcMar>
              <w:top w:type="dxa" w:w="100"/>
              <w:left w:type="dxa" w:w="120"/>
              <w:bottom w:type="dxa" w:w="100"/>
              <w:right w:type="dxa" w:w="120"/>
            </w:tcMar>
          </w:tcPr>
          <w:p>
            <w:pPr>
              <w:jc w:val="left"/>
            </w:pPr>
            <w:r>
              <w:rPr>
                <w:b w:val="false"/>
                <w:bCs w:val="false"/>
                <w:color w:val="000000"/>
              </w:rPr>
              <w:t xml:space="preserve">README, architecture diagram, demo recording, resume bullet, GitHub push, repo cleanup</w:t>
            </w:r>
          </w:p>
        </w:tc>
        <w:tc>
          <w:tcPr>
            <w:tcW w:type="dxa" w:w="2000"/>
            <w:shd w:fill="F2F2F2" w:color="auto" w:val="clear"/>
            <w:tcMar>
              <w:top w:type="dxa" w:w="100"/>
              <w:left w:type="dxa" w:w="120"/>
              <w:bottom w:type="dxa" w:w="100"/>
              <w:right w:type="dxa" w:w="120"/>
            </w:tcMar>
          </w:tcPr>
          <w:p>
            <w:pPr>
              <w:jc w:val="left"/>
            </w:pPr>
            <w:r>
              <w:rPr>
                <w:b w:val="false"/>
                <w:bCs w:val="false"/>
                <w:color w:val="000000"/>
              </w:rPr>
              <w:t xml:space="preserve">public GitHub repo</w:t>
            </w:r>
          </w:p>
        </w:tc>
      </w:tr>
    </w:tbl>
    <w:p>
      <w:pPr>
        <w:spacing w:after="200"/>
      </w:pPr>
    </w:p>
    <w:p>
      <w:pPr>
        <w:pStyle w:val="Heading1"/>
        <w:spacing w:after="160" w:before="360"/>
      </w:pPr>
      <w:r>
        <w:t xml:space="preserve">11. How to Start</w:t>
      </w:r>
    </w:p>
    <w:p>
      <w:pPr>
        <w:pStyle w:val="ListParagraph"/>
        <w:numPr>
          <w:ilvl w:val="0"/>
          <w:numId w:val="3"/>
        </w:numPr>
        <w:spacing w:after="80"/>
      </w:pPr>
      <w:r>
        <w:t xml:space="preserve">Create the repo: git init return-fraud-detector, add .gitignore (include .env, __pycache__, *.gpickle, node_modules).</w:t>
      </w:r>
    </w:p>
    <w:p>
      <w:pPr>
        <w:pStyle w:val="ListParagraph"/>
        <w:numPr>
          <w:ilvl w:val="0"/>
          <w:numId w:val="3"/>
        </w:numPr>
        <w:spacing w:after="80"/>
      </w:pPr>
      <w:r>
        <w:t xml:space="preserve">Set up virtualenv: python -m venv venv, activate it, pip install pandas numpy networkx scikit-learn flask googlemaps python-dotenv pyvis.</w:t>
      </w:r>
    </w:p>
    <w:p>
      <w:pPr>
        <w:pStyle w:val="ListParagraph"/>
        <w:numPr>
          <w:ilvl w:val="0"/>
          <w:numId w:val="3"/>
        </w:numPr>
        <w:spacing w:after="80"/>
      </w:pPr>
      <w:r>
        <w:t xml:space="preserve">Do the Google Cloud API setup from Section 4 before writing any address logic — confirm a single geocode() call works and returns a normalized address before building anything around it.</w:t>
      </w:r>
    </w:p>
    <w:p>
      <w:pPr>
        <w:pStyle w:val="ListParagraph"/>
        <w:numPr>
          <w:ilvl w:val="0"/>
          <w:numId w:val="3"/>
        </w:numPr>
        <w:spacing w:after="80"/>
      </w:pPr>
      <w:r>
        <w:t xml:space="preserve">Download your Kaggle dataset and get it loading cleanly in a notebook before writing the injection script.</w:t>
      </w:r>
    </w:p>
    <w:p>
      <w:pPr>
        <w:pStyle w:val="ListParagraph"/>
        <w:numPr>
          <w:ilvl w:val="0"/>
          <w:numId w:val="3"/>
        </w:numPr>
        <w:spacing w:after="80"/>
      </w:pPr>
      <w:r>
        <w:t xml:space="preserve">Write the fraud-injection script next — everything downstream depends on it, so do not skip ahead to modeling with unrealistic or untested data.</w:t>
      </w:r>
    </w:p>
    <w:p>
      <w:pPr>
        <w:pStyle w:val="Heading1"/>
        <w:spacing w:after="160" w:before="360"/>
      </w:pPr>
      <w:r>
        <w:t xml:space="preserve">12. How to Finish / Definition of Done</w:t>
      </w:r>
    </w:p>
    <w:p>
      <w:pPr>
        <w:pStyle w:val="ListParagraph"/>
        <w:numPr>
          <w:ilvl w:val="0"/>
          <w:numId w:val="2"/>
        </w:numPr>
        <w:spacing w:after="80"/>
      </w:pPr>
      <w:r>
        <w:rPr>
          <w:b w:val="false"/>
          <w:bCs w:val="false"/>
        </w:rPr>
        <w:t xml:space="preserve">Pipeline runs end-to-end from one entry point (e.g., python run_pipeline.py) producing risk_scores.csv and explained_clusters.json.</w:t>
      </w:r>
    </w:p>
    <w:p>
      <w:pPr>
        <w:pStyle w:val="ListParagraph"/>
        <w:numPr>
          <w:ilvl w:val="0"/>
          <w:numId w:val="2"/>
        </w:numPr>
        <w:spacing w:after="80"/>
      </w:pPr>
      <w:r>
        <w:rPr>
          <w:b w:val="false"/>
          <w:bCs w:val="false"/>
        </w:rPr>
        <w:t xml:space="preserve">metrics_report.md shows your model beating the rule-based baseline with real numbers, not estimates.</w:t>
      </w:r>
    </w:p>
    <w:p>
      <w:pPr>
        <w:pStyle w:val="ListParagraph"/>
        <w:numPr>
          <w:ilvl w:val="0"/>
          <w:numId w:val="2"/>
        </w:numPr>
        <w:spacing w:after="80"/>
      </w:pPr>
      <w:r>
        <w:rPr>
          <w:b w:val="false"/>
          <w:bCs w:val="false"/>
        </w:rPr>
        <w:t xml:space="preserve">Dashboard runs locally and shows at least one clearly-explained flagged cluster.</w:t>
      </w:r>
    </w:p>
    <w:p>
      <w:pPr>
        <w:pStyle w:val="ListParagraph"/>
        <w:numPr>
          <w:ilvl w:val="0"/>
          <w:numId w:val="2"/>
        </w:numPr>
        <w:spacing w:after="80"/>
      </w:pPr>
      <w:r>
        <w:rPr>
          <w:b w:val="false"/>
          <w:bCs w:val="false"/>
        </w:rPr>
        <w:t xml:space="preserve">README includes: problem statement, architecture diagram, setup instructions, and your metrics table.</w:t>
      </w:r>
    </w:p>
    <w:p>
      <w:pPr>
        <w:pStyle w:val="ListParagraph"/>
        <w:numPr>
          <w:ilvl w:val="0"/>
          <w:numId w:val="2"/>
        </w:numPr>
        <w:spacing w:after="80"/>
      </w:pPr>
      <w:r>
        <w:rPr>
          <w:b w:val="false"/>
          <w:bCs w:val="false"/>
        </w:rPr>
        <w:t xml:space="preserve">API keys are not committed anywhere in git history (double check with git log -p | grep API_KEY before making the repo public).</w:t>
      </w:r>
    </w:p>
    <w:p>
      <w:pPr>
        <w:pStyle w:val="ListParagraph"/>
        <w:numPr>
          <w:ilvl w:val="0"/>
          <w:numId w:val="2"/>
        </w:numPr>
        <w:spacing w:after="80"/>
      </w:pPr>
      <w:r>
        <w:rPr>
          <w:b w:val="false"/>
          <w:bCs w:val="false"/>
        </w:rPr>
        <w:t xml:space="preserve">You can explain, out loud, in under 90 seconds: the problem, why graphs over rules, your two-layer detection design, and your headline metric improvement.</w:t>
      </w:r>
    </w:p>
    <w:p>
      <w:pPr>
        <w:pStyle w:val="Heading1"/>
        <w:spacing w:after="160" w:before="360"/>
      </w:pPr>
      <w:r>
        <w:t xml:space="preserve">13. Resume Bullet Template</w:t>
      </w:r>
    </w:p>
    <w:p>
      <w:pPr>
        <w:spacing w:after="140"/>
      </w:pPr>
      <w:r>
        <w:rPr>
          <w:i/>
          <w:iCs/>
          <w:color w:val="595959"/>
        </w:rPr>
        <w:t xml:space="preserve">Fill in your real numbers once you have them:</w:t>
      </w:r>
    </w:p>
    <w:p>
      <w:pPr>
        <w:pBdr>
          <w:left w:val="single" w:color="1F3864" w:sz="18" w:space="8"/>
        </w:pBdr>
        <w:shd w:fill="F2F2F2" w:color="auto" w:val="clear"/>
        <w:spacing w:after="200"/>
      </w:pPr>
      <w:r>
        <w:rPr>
          <w:i/>
          <w:iCs/>
        </w:rPr>
        <w:t xml:space="preserve">Built a graph-based return-fraud detection pipeline (NetworkX/Neo4j, scikit-learn, Google Geocoding API) combining community detection and anomaly scoring, achieving [X]% precision and [Y]% recall on injected fraud patterns — a [Z]% reduction in false positives versus a rule-based baseline.</w:t>
      </w:r>
    </w:p>
    <w:p>
      <w:pPr>
        <w:pStyle w:val="Heading1"/>
        <w:spacing w:after="160" w:before="360"/>
      </w:pPr>
      <w:r>
        <w:t xml:space="preserve">14. Risks &amp; How to Handle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1F3864" w:color="auto" w:val="clear"/>
            <w:tcMar>
              <w:top w:type="dxa" w:w="100"/>
              <w:left w:type="dxa" w:w="120"/>
              <w:bottom w:type="dxa" w:w="100"/>
              <w:right w:type="dxa" w:w="120"/>
            </w:tcMar>
          </w:tcPr>
          <w:p>
            <w:pPr>
              <w:jc w:val="left"/>
            </w:pPr>
            <w:r>
              <w:rPr>
                <w:b/>
                <w:bCs/>
                <w:color w:val="FFFFFF"/>
              </w:rPr>
              <w:t xml:space="preserve">Risk</w:t>
            </w:r>
          </w:p>
        </w:tc>
        <w:tc>
          <w:tcPr>
            <w:tcW w:type="dxa" w:w="3117"/>
            <w:shd w:fill="1F3864" w:color="auto" w:val="clear"/>
            <w:tcMar>
              <w:top w:type="dxa" w:w="100"/>
              <w:left w:type="dxa" w:w="120"/>
              <w:bottom w:type="dxa" w:w="100"/>
              <w:right w:type="dxa" w:w="120"/>
            </w:tcMar>
          </w:tcPr>
          <w:p>
            <w:pPr>
              <w:jc w:val="left"/>
            </w:pPr>
            <w:r>
              <w:rPr>
                <w:b/>
                <w:bCs/>
                <w:color w:val="FFFFFF"/>
              </w:rPr>
              <w:t xml:space="preserve">Why It Happens</w:t>
            </w:r>
          </w:p>
        </w:tc>
        <w:tc>
          <w:tcPr>
            <w:tcW w:type="dxa" w:w="3116"/>
            <w:shd w:fill="1F3864" w:color="auto" w:val="clear"/>
            <w:tcMar>
              <w:top w:type="dxa" w:w="100"/>
              <w:left w:type="dxa" w:w="120"/>
              <w:bottom w:type="dxa" w:w="100"/>
              <w:right w:type="dxa" w:w="120"/>
            </w:tcMar>
          </w:tcPr>
          <w:p>
            <w:pPr>
              <w:jc w:val="left"/>
            </w:pPr>
            <w:r>
              <w:rPr>
                <w:b/>
                <w:bCs/>
                <w:color w:val="FFFFFF"/>
              </w:rPr>
              <w:t xml:space="preserve">Mitigation</w:t>
            </w:r>
          </w:p>
        </w:tc>
      </w:tr>
      <w:tr>
        <w:tc>
          <w:tcPr>
            <w:tcW w:type="dxa" w:w="3117"/>
            <w:tcMar>
              <w:top w:type="dxa" w:w="100"/>
              <w:left w:type="dxa" w:w="120"/>
              <w:bottom w:type="dxa" w:w="100"/>
              <w:right w:type="dxa" w:w="120"/>
            </w:tcMar>
          </w:tcPr>
          <w:p>
            <w:pPr>
              <w:jc w:val="left"/>
            </w:pPr>
            <w:r>
              <w:rPr>
                <w:b w:val="false"/>
                <w:bCs w:val="false"/>
                <w:color w:val="000000"/>
              </w:rPr>
              <w:t xml:space="preserve">Injected fraud too obvious</w:t>
            </w:r>
          </w:p>
        </w:tc>
        <w:tc>
          <w:tcPr>
            <w:tcW w:type="dxa" w:w="3117"/>
            <w:tcMar>
              <w:top w:type="dxa" w:w="100"/>
              <w:left w:type="dxa" w:w="120"/>
              <w:bottom w:type="dxa" w:w="100"/>
              <w:right w:type="dxa" w:w="120"/>
            </w:tcMar>
          </w:tcPr>
          <w:p>
            <w:pPr>
              <w:jc w:val="left"/>
            </w:pPr>
            <w:r>
              <w:rPr>
                <w:b w:val="false"/>
                <w:bCs w:val="false"/>
                <w:color w:val="000000"/>
              </w:rPr>
              <w:t xml:space="preserve">Model looks artificially perfect</w:t>
            </w:r>
          </w:p>
        </w:tc>
        <w:tc>
          <w:tcPr>
            <w:tcW w:type="dxa" w:w="3116"/>
            <w:tcMar>
              <w:top w:type="dxa" w:w="100"/>
              <w:left w:type="dxa" w:w="120"/>
              <w:bottom w:type="dxa" w:w="100"/>
              <w:right w:type="dxa" w:w="120"/>
            </w:tcMar>
          </w:tcPr>
          <w:p>
            <w:pPr>
              <w:jc w:val="left"/>
            </w:pPr>
            <w:r>
              <w:rPr>
                <w:b w:val="false"/>
                <w:bCs w:val="false"/>
                <w:color w:val="000000"/>
              </w:rPr>
              <w:t xml:space="preserve">Add noise: legitimate customers with high-but-innocent return rates</w:t>
            </w:r>
          </w:p>
        </w:tc>
      </w:tr>
      <w:tr>
        <w:tc>
          <w:tcPr>
            <w:tcW w:type="dxa" w:w="3117"/>
            <w:shd w:fill="F2F2F2" w:color="auto" w:val="clear"/>
            <w:tcMar>
              <w:top w:type="dxa" w:w="100"/>
              <w:left w:type="dxa" w:w="120"/>
              <w:bottom w:type="dxa" w:w="100"/>
              <w:right w:type="dxa" w:w="120"/>
            </w:tcMar>
          </w:tcPr>
          <w:p>
            <w:pPr>
              <w:jc w:val="left"/>
            </w:pPr>
            <w:r>
              <w:rPr>
                <w:b w:val="false"/>
                <w:bCs w:val="false"/>
                <w:color w:val="000000"/>
              </w:rPr>
              <w:t xml:space="preserve">Google API quota/billing worry</w:t>
            </w:r>
          </w:p>
        </w:tc>
        <w:tc>
          <w:tcPr>
            <w:tcW w:type="dxa" w:w="3117"/>
            <w:shd w:fill="F2F2F2" w:color="auto" w:val="clear"/>
            <w:tcMar>
              <w:top w:type="dxa" w:w="100"/>
              <w:left w:type="dxa" w:w="120"/>
              <w:bottom w:type="dxa" w:w="100"/>
              <w:right w:type="dxa" w:w="120"/>
            </w:tcMar>
          </w:tcPr>
          <w:p>
            <w:pPr>
              <w:jc w:val="left"/>
            </w:pPr>
            <w:r>
              <w:rPr>
                <w:b w:val="false"/>
                <w:bCs w:val="false"/>
                <w:color w:val="000000"/>
              </w:rPr>
              <w:t xml:space="preserve">Free tier still needs a billing account on file</w:t>
            </w:r>
          </w:p>
        </w:tc>
        <w:tc>
          <w:tcPr>
            <w:tcW w:type="dxa" w:w="3116"/>
            <w:shd w:fill="F2F2F2" w:color="auto" w:val="clear"/>
            <w:tcMar>
              <w:top w:type="dxa" w:w="100"/>
              <w:left w:type="dxa" w:w="120"/>
              <w:bottom w:type="dxa" w:w="100"/>
              <w:right w:type="dxa" w:w="120"/>
            </w:tcMar>
          </w:tcPr>
          <w:p>
            <w:pPr>
              <w:jc w:val="left"/>
            </w:pPr>
            <w:r>
              <w:rPr>
                <w:b w:val="false"/>
                <w:bCs w:val="false"/>
                <w:color w:val="000000"/>
              </w:rPr>
              <w:t xml:space="preserve">Set a budget alert at $5 in Cloud Console; usage will stay near $0</w:t>
            </w:r>
          </w:p>
        </w:tc>
      </w:tr>
      <w:tr>
        <w:tc>
          <w:tcPr>
            <w:tcW w:type="dxa" w:w="3117"/>
            <w:tcMar>
              <w:top w:type="dxa" w:w="100"/>
              <w:left w:type="dxa" w:w="120"/>
              <w:bottom w:type="dxa" w:w="100"/>
              <w:right w:type="dxa" w:w="120"/>
            </w:tcMar>
          </w:tcPr>
          <w:p>
            <w:pPr>
              <w:jc w:val="left"/>
            </w:pPr>
            <w:r>
              <w:rPr>
                <w:b w:val="false"/>
                <w:bCs w:val="false"/>
                <w:color w:val="000000"/>
              </w:rPr>
              <w:t xml:space="preserve">Graph gets too large to visualize</w:t>
            </w:r>
          </w:p>
        </w:tc>
        <w:tc>
          <w:tcPr>
            <w:tcW w:type="dxa" w:w="3117"/>
            <w:tcMar>
              <w:top w:type="dxa" w:w="100"/>
              <w:left w:type="dxa" w:w="120"/>
              <w:bottom w:type="dxa" w:w="100"/>
              <w:right w:type="dxa" w:w="120"/>
            </w:tcMar>
          </w:tcPr>
          <w:p>
            <w:pPr>
              <w:jc w:val="left"/>
            </w:pPr>
            <w:r>
              <w:rPr>
                <w:b w:val="false"/>
                <w:bCs w:val="false"/>
                <w:color w:val="000000"/>
              </w:rPr>
              <w:t xml:space="preserve">Real-scale synthetic data</w:t>
            </w:r>
          </w:p>
        </w:tc>
        <w:tc>
          <w:tcPr>
            <w:tcW w:type="dxa" w:w="3116"/>
            <w:tcMar>
              <w:top w:type="dxa" w:w="100"/>
              <w:left w:type="dxa" w:w="120"/>
              <w:bottom w:type="dxa" w:w="100"/>
              <w:right w:type="dxa" w:w="120"/>
            </w:tcMar>
          </w:tcPr>
          <w:p>
            <w:pPr>
              <w:jc w:val="left"/>
            </w:pPr>
            <w:r>
              <w:rPr>
                <w:b w:val="false"/>
                <w:bCs w:val="false"/>
                <w:color w:val="000000"/>
              </w:rPr>
              <w:t xml:space="preserve">Sample/filter to top-N risk clusters for the dashboard view</w:t>
            </w:r>
          </w:p>
        </w:tc>
      </w:tr>
      <w:tr>
        <w:tc>
          <w:tcPr>
            <w:tcW w:type="dxa" w:w="3117"/>
            <w:shd w:fill="F2F2F2" w:color="auto" w:val="clear"/>
            <w:tcMar>
              <w:top w:type="dxa" w:w="100"/>
              <w:left w:type="dxa" w:w="120"/>
              <w:bottom w:type="dxa" w:w="100"/>
              <w:right w:type="dxa" w:w="120"/>
            </w:tcMar>
          </w:tcPr>
          <w:p>
            <w:pPr>
              <w:jc w:val="left"/>
            </w:pPr>
            <w:r>
              <w:rPr>
                <w:b w:val="false"/>
                <w:bCs w:val="false"/>
                <w:color w:val="000000"/>
              </w:rPr>
              <w:t xml:space="preserve">Scope creep (Neo4j, Maps API, LLM summaries all at once)</w:t>
            </w:r>
          </w:p>
        </w:tc>
        <w:tc>
          <w:tcPr>
            <w:tcW w:type="dxa" w:w="3117"/>
            <w:shd w:fill="F2F2F2" w:color="auto" w:val="clear"/>
            <w:tcMar>
              <w:top w:type="dxa" w:w="100"/>
              <w:left w:type="dxa" w:w="120"/>
              <w:bottom w:type="dxa" w:w="100"/>
              <w:right w:type="dxa" w:w="120"/>
            </w:tcMar>
          </w:tcPr>
          <w:p>
            <w:pPr>
              <w:jc w:val="left"/>
            </w:pPr>
            <w:r>
              <w:rPr>
                <w:b w:val="false"/>
                <w:bCs w:val="false"/>
                <w:color w:val="000000"/>
              </w:rPr>
              <w:t xml:space="preserve">All are "nice to have" stretch goals</w:t>
            </w:r>
          </w:p>
        </w:tc>
        <w:tc>
          <w:tcPr>
            <w:tcW w:type="dxa" w:w="3116"/>
            <w:shd w:fill="F2F2F2" w:color="auto" w:val="clear"/>
            <w:tcMar>
              <w:top w:type="dxa" w:w="100"/>
              <w:left w:type="dxa" w:w="120"/>
              <w:bottom w:type="dxa" w:w="100"/>
              <w:right w:type="dxa" w:w="120"/>
            </w:tcMar>
          </w:tcPr>
          <w:p>
            <w:pPr>
              <w:jc w:val="left"/>
            </w:pPr>
            <w:r>
              <w:rPr>
                <w:b w:val="false"/>
                <w:bCs w:val="false"/>
                <w:color w:val="000000"/>
              </w:rPr>
              <w:t xml:space="preserve">Ship NetworkX + Flask core first; add stretch goals only after Definition of Done is met</w:t>
            </w:r>
          </w:p>
        </w:tc>
      </w:tr>
    </w:tbl>
    <w:p>
      <w:pPr>
        <w:spacing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2026-07-03T06:15:39.209Z</dcterms:created>
  <dcterms:modified xsi:type="dcterms:W3CDTF">2026-07-03T06:15:39.209Z</dcterms:modified>
</cp:coreProperties>
</file>

<file path=docProps/custom.xml><?xml version="1.0" encoding="utf-8"?>
<Properties xmlns="http://schemas.openxmlformats.org/officeDocument/2006/custom-properties" xmlns:vt="http://schemas.openxmlformats.org/officeDocument/2006/docPropsVTypes"/>
</file>