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4AF98" w14:textId="77777777" w:rsidR="00A65E94" w:rsidRDefault="00A65E94" w:rsidP="00A65E94">
      <w:pPr>
        <w:spacing w:after="60"/>
        <w:jc w:val="center"/>
      </w:pPr>
      <w:r>
        <w:rPr>
          <w:b/>
          <w:bCs/>
          <w:sz w:val="32"/>
          <w:szCs w:val="32"/>
        </w:rPr>
        <w:t>Customer Churn: Findings &amp; Recommendations</w:t>
      </w:r>
    </w:p>
    <w:p w14:paraId="63B4EC81" w14:textId="77777777" w:rsidR="00A65E94" w:rsidRDefault="00A65E94"/>
    <w:p w14:paraId="58E4899F" w14:textId="77777777" w:rsidR="00A65E94" w:rsidRDefault="00A65E94" w:rsidP="00A65E94">
      <w:pPr>
        <w:rPr>
          <w:b/>
          <w:bCs/>
          <w:sz w:val="24"/>
          <w:szCs w:val="24"/>
        </w:rPr>
      </w:pPr>
      <w:r w:rsidRPr="00A65E94">
        <w:rPr>
          <w:b/>
          <w:bCs/>
          <w:sz w:val="24"/>
          <w:szCs w:val="24"/>
        </w:rPr>
        <w:t>Headline Finding</w:t>
      </w:r>
    </w:p>
    <w:p w14:paraId="4135B420" w14:textId="77777777" w:rsidR="00A65E94" w:rsidRDefault="00A65E94" w:rsidP="00A65E94">
      <w:pPr>
        <w:rPr>
          <w:b/>
          <w:bCs/>
          <w:sz w:val="24"/>
          <w:szCs w:val="24"/>
        </w:rPr>
      </w:pPr>
    </w:p>
    <w:p w14:paraId="70F671A7" w14:textId="38ECF488" w:rsidR="00A65E94" w:rsidRDefault="00A65E94" w:rsidP="00A65E94">
      <w:pPr>
        <w:rPr>
          <w:sz w:val="24"/>
          <w:szCs w:val="24"/>
        </w:rPr>
      </w:pPr>
      <w:r w:rsidRPr="00A65E94">
        <w:rPr>
          <w:sz w:val="24"/>
          <w:szCs w:val="24"/>
        </w:rPr>
        <w:t>Overall customer churn is 26.5%. Churn is strongly concentrated among month-to-month contract customers (42.7%), compared with 11.3% for one-year and 2.8% for two-year contracts. This means roughly 1 in 4 customers churns, with month-to-month customers showing approximately 15× the churn rate of two-year customers. However, contract type should be treated as a correlation rather than a direct lever, because customers choosing flexible contracts may already be more price-sensitive, newer, or less committed.</w:t>
      </w:r>
    </w:p>
    <w:p w14:paraId="321442EC" w14:textId="77777777" w:rsidR="00A65E94" w:rsidRDefault="00A65E94" w:rsidP="00A65E94">
      <w:pPr>
        <w:rPr>
          <w:sz w:val="24"/>
          <w:szCs w:val="24"/>
        </w:rPr>
      </w:pPr>
    </w:p>
    <w:p w14:paraId="1A3C5B1F" w14:textId="77777777" w:rsidR="00A65E94" w:rsidRDefault="00A65E94" w:rsidP="00A65E94">
      <w:pPr>
        <w:rPr>
          <w:b/>
          <w:bCs/>
          <w:sz w:val="24"/>
          <w:szCs w:val="24"/>
        </w:rPr>
      </w:pPr>
      <w:r w:rsidRPr="00A65E94">
        <w:rPr>
          <w:b/>
          <w:bCs/>
          <w:sz w:val="24"/>
          <w:szCs w:val="24"/>
        </w:rPr>
        <w:t>Monitoring &amp; Early Warning</w:t>
      </w:r>
    </w:p>
    <w:p w14:paraId="38C8485F" w14:textId="77777777" w:rsidR="00A65E94" w:rsidRPr="00A65E94" w:rsidRDefault="00A65E94" w:rsidP="00A65E94">
      <w:pPr>
        <w:rPr>
          <w:b/>
          <w:bCs/>
          <w:sz w:val="24"/>
          <w:szCs w:val="24"/>
        </w:rPr>
      </w:pPr>
    </w:p>
    <w:p w14:paraId="18808051" w14:textId="77777777" w:rsidR="00A65E94" w:rsidRDefault="00A65E94" w:rsidP="00A65E94">
      <w:pPr>
        <w:rPr>
          <w:sz w:val="24"/>
          <w:szCs w:val="24"/>
        </w:rPr>
      </w:pPr>
      <w:r w:rsidRPr="00A65E94">
        <w:rPr>
          <w:sz w:val="24"/>
          <w:szCs w:val="24"/>
        </w:rPr>
        <w:t xml:space="preserve">The business should monitor the </w:t>
      </w:r>
      <w:r w:rsidRPr="00A65E94">
        <w:rPr>
          <w:b/>
          <w:bCs/>
          <w:sz w:val="24"/>
          <w:szCs w:val="24"/>
        </w:rPr>
        <w:t>weekly distribution of predicted churn probabilities</w:t>
      </w:r>
      <w:r w:rsidRPr="00A65E94">
        <w:rPr>
          <w:sz w:val="24"/>
          <w:szCs w:val="24"/>
        </w:rPr>
        <w:t xml:space="preserve">, particularly for </w:t>
      </w:r>
      <w:r w:rsidRPr="00A65E94">
        <w:rPr>
          <w:b/>
          <w:bCs/>
          <w:sz w:val="24"/>
          <w:szCs w:val="24"/>
        </w:rPr>
        <w:t xml:space="preserve">new </w:t>
      </w:r>
      <w:proofErr w:type="spellStart"/>
      <w:r w:rsidRPr="00A65E94">
        <w:rPr>
          <w:b/>
          <w:bCs/>
          <w:sz w:val="24"/>
          <w:szCs w:val="24"/>
        </w:rPr>
        <w:t>fiber</w:t>
      </w:r>
      <w:proofErr w:type="spellEnd"/>
      <w:r w:rsidRPr="00A65E94">
        <w:rPr>
          <w:b/>
          <w:bCs/>
          <w:sz w:val="24"/>
          <w:szCs w:val="24"/>
        </w:rPr>
        <w:t>-optic and electronic-check customers</w:t>
      </w:r>
      <w:r w:rsidRPr="00A65E94">
        <w:rPr>
          <w:sz w:val="24"/>
          <w:szCs w:val="24"/>
        </w:rPr>
        <w:t xml:space="preserve">. These features are among the model's strongest risk indicators. A rising risk distribution in these groups could provide an early warning of changing customer </w:t>
      </w:r>
      <w:proofErr w:type="spellStart"/>
      <w:r w:rsidRPr="00A65E94">
        <w:rPr>
          <w:sz w:val="24"/>
          <w:szCs w:val="24"/>
        </w:rPr>
        <w:t>behavior</w:t>
      </w:r>
      <w:proofErr w:type="spellEnd"/>
      <w:r w:rsidRPr="00A65E94">
        <w:rPr>
          <w:sz w:val="24"/>
          <w:szCs w:val="24"/>
        </w:rPr>
        <w:t>, competitive pricing, or payment friction before the overall churn rate increases.</w:t>
      </w:r>
    </w:p>
    <w:p w14:paraId="22C63E12" w14:textId="77777777" w:rsidR="00A65E94" w:rsidRDefault="00A65E94" w:rsidP="00A65E94">
      <w:pPr>
        <w:rPr>
          <w:sz w:val="24"/>
          <w:szCs w:val="24"/>
        </w:rPr>
      </w:pPr>
    </w:p>
    <w:p w14:paraId="4E8BE71D" w14:textId="77777777" w:rsidR="00A65E94" w:rsidRDefault="00A65E94" w:rsidP="00A65E94">
      <w:pPr>
        <w:rPr>
          <w:b/>
          <w:bCs/>
          <w:sz w:val="24"/>
          <w:szCs w:val="24"/>
        </w:rPr>
      </w:pPr>
      <w:r w:rsidRPr="00A65E94">
        <w:rPr>
          <w:b/>
          <w:bCs/>
          <w:sz w:val="24"/>
          <w:szCs w:val="24"/>
        </w:rPr>
        <w:t>Model Governance</w:t>
      </w:r>
    </w:p>
    <w:p w14:paraId="03C39B7F" w14:textId="77777777" w:rsidR="00A65E94" w:rsidRPr="00A65E94" w:rsidRDefault="00A65E94" w:rsidP="00A65E94">
      <w:pPr>
        <w:rPr>
          <w:b/>
          <w:bCs/>
          <w:sz w:val="24"/>
          <w:szCs w:val="24"/>
        </w:rPr>
      </w:pPr>
    </w:p>
    <w:p w14:paraId="682E2E28" w14:textId="77777777" w:rsidR="00A65E94" w:rsidRDefault="00A65E94" w:rsidP="00A65E94">
      <w:pPr>
        <w:rPr>
          <w:sz w:val="24"/>
          <w:szCs w:val="24"/>
        </w:rPr>
      </w:pPr>
      <w:r w:rsidRPr="00A65E94">
        <w:rPr>
          <w:sz w:val="24"/>
          <w:szCs w:val="24"/>
        </w:rPr>
        <w:t xml:space="preserve">For every LLM-generated customer explanation, only </w:t>
      </w:r>
      <w:r w:rsidRPr="00A65E94">
        <w:rPr>
          <w:b/>
          <w:bCs/>
          <w:sz w:val="24"/>
          <w:szCs w:val="24"/>
        </w:rPr>
        <w:t>three inputs</w:t>
      </w:r>
      <w:r w:rsidRPr="00A65E94">
        <w:rPr>
          <w:sz w:val="24"/>
          <w:szCs w:val="24"/>
        </w:rPr>
        <w:t xml:space="preserve"> are passed to the model: </w:t>
      </w:r>
      <w:r w:rsidRPr="00A65E94">
        <w:rPr>
          <w:b/>
          <w:bCs/>
          <w:sz w:val="24"/>
          <w:szCs w:val="24"/>
        </w:rPr>
        <w:t>churn probability, tenure, and top risk-driving features</w:t>
      </w:r>
      <w:r w:rsidRPr="00A65E94">
        <w:rPr>
          <w:sz w:val="24"/>
          <w:szCs w:val="24"/>
        </w:rPr>
        <w:t xml:space="preserve">. Sensitive demographic attributes such as gender, </w:t>
      </w:r>
      <w:proofErr w:type="spellStart"/>
      <w:r w:rsidRPr="00A65E94">
        <w:rPr>
          <w:sz w:val="24"/>
          <w:szCs w:val="24"/>
        </w:rPr>
        <w:t>SeniorCitizen</w:t>
      </w:r>
      <w:proofErr w:type="spellEnd"/>
      <w:r w:rsidRPr="00A65E94">
        <w:rPr>
          <w:sz w:val="24"/>
          <w:szCs w:val="24"/>
        </w:rPr>
        <w:t>, Partner, and Dependents are structurally excluded. The exact prompt should be logged with the customer ID so that auditors can verify that restricted attributes never entered the explanation process.</w:t>
      </w:r>
    </w:p>
    <w:p w14:paraId="12479A3F" w14:textId="77777777" w:rsidR="00A65E94" w:rsidRDefault="00A65E94" w:rsidP="00A65E94">
      <w:pPr>
        <w:rPr>
          <w:sz w:val="24"/>
          <w:szCs w:val="24"/>
        </w:rPr>
      </w:pPr>
    </w:p>
    <w:p w14:paraId="71A91062" w14:textId="77777777" w:rsidR="00A65E94" w:rsidRPr="00A65E94" w:rsidRDefault="00A65E94" w:rsidP="00A65E94">
      <w:pPr>
        <w:rPr>
          <w:b/>
          <w:bCs/>
          <w:sz w:val="24"/>
          <w:szCs w:val="24"/>
        </w:rPr>
      </w:pPr>
      <w:r w:rsidRPr="00A65E94">
        <w:rPr>
          <w:b/>
          <w:bCs/>
          <w:sz w:val="24"/>
          <w:szCs w:val="24"/>
        </w:rPr>
        <w:t>Retrieval &amp; Hallucination Control</w:t>
      </w:r>
    </w:p>
    <w:p w14:paraId="7DE67948" w14:textId="77777777" w:rsidR="00A65E94" w:rsidRPr="00A65E94" w:rsidRDefault="00A65E94" w:rsidP="00A65E94">
      <w:pPr>
        <w:rPr>
          <w:sz w:val="24"/>
          <w:szCs w:val="24"/>
        </w:rPr>
      </w:pPr>
      <w:r w:rsidRPr="00A65E94">
        <w:rPr>
          <w:sz w:val="24"/>
          <w:szCs w:val="24"/>
        </w:rPr>
        <w:t xml:space="preserve">Testing showed that when the retention playbook was </w:t>
      </w:r>
      <w:r w:rsidRPr="00A65E94">
        <w:rPr>
          <w:b/>
          <w:bCs/>
          <w:sz w:val="24"/>
          <w:szCs w:val="24"/>
        </w:rPr>
        <w:t>not retrieved</w:t>
      </w:r>
      <w:r w:rsidRPr="00A65E94">
        <w:rPr>
          <w:sz w:val="24"/>
          <w:szCs w:val="24"/>
        </w:rPr>
        <w:t>, the LLM generated a confident but incorrect policy-clause reference and invented supporting details. This demonstrates why retrieval is essential in a compliance-sensitive workflow. Every explanation should therefore use the grounded playbook content and cite the applicable clause.</w:t>
      </w:r>
    </w:p>
    <w:p w14:paraId="59526992" w14:textId="77777777" w:rsidR="00A65E94" w:rsidRDefault="00A65E94" w:rsidP="00A65E94">
      <w:pPr>
        <w:rPr>
          <w:sz w:val="24"/>
          <w:szCs w:val="24"/>
        </w:rPr>
      </w:pPr>
    </w:p>
    <w:p w14:paraId="30AA2F79" w14:textId="77777777" w:rsidR="00A65E94" w:rsidRDefault="00A65E94" w:rsidP="00A65E94">
      <w:pPr>
        <w:rPr>
          <w:sz w:val="24"/>
          <w:szCs w:val="24"/>
        </w:rPr>
      </w:pPr>
    </w:p>
    <w:p w14:paraId="6B704D74" w14:textId="77777777" w:rsidR="00A65E94" w:rsidRDefault="00A65E94" w:rsidP="00A65E94">
      <w:pPr>
        <w:rPr>
          <w:b/>
          <w:bCs/>
          <w:sz w:val="24"/>
          <w:szCs w:val="24"/>
        </w:rPr>
      </w:pPr>
      <w:r w:rsidRPr="00A65E94">
        <w:rPr>
          <w:b/>
          <w:bCs/>
          <w:sz w:val="24"/>
          <w:szCs w:val="24"/>
        </w:rPr>
        <w:t>Cost Control</w:t>
      </w:r>
    </w:p>
    <w:p w14:paraId="25D01EB8" w14:textId="77777777" w:rsidR="00A65E94" w:rsidRPr="00A65E94" w:rsidRDefault="00A65E94" w:rsidP="00A65E94">
      <w:pPr>
        <w:rPr>
          <w:b/>
          <w:bCs/>
          <w:sz w:val="24"/>
          <w:szCs w:val="24"/>
        </w:rPr>
      </w:pPr>
    </w:p>
    <w:p w14:paraId="4E5858B8" w14:textId="77777777" w:rsidR="00A65E94" w:rsidRPr="00A65E94" w:rsidRDefault="00A65E94" w:rsidP="00A65E94">
      <w:pPr>
        <w:rPr>
          <w:sz w:val="24"/>
          <w:szCs w:val="24"/>
        </w:rPr>
      </w:pPr>
      <w:r w:rsidRPr="00A65E94">
        <w:rPr>
          <w:sz w:val="24"/>
          <w:szCs w:val="24"/>
        </w:rPr>
        <w:t xml:space="preserve">At scale, LLM costs can be reduced by </w:t>
      </w:r>
      <w:r w:rsidRPr="00A65E94">
        <w:rPr>
          <w:b/>
          <w:bCs/>
          <w:sz w:val="24"/>
          <w:szCs w:val="24"/>
        </w:rPr>
        <w:t>caching playbook clauses</w:t>
      </w:r>
      <w:r w:rsidRPr="00A65E94">
        <w:rPr>
          <w:sz w:val="24"/>
          <w:szCs w:val="24"/>
        </w:rPr>
        <w:t xml:space="preserve"> and batching customers with identical risk tiers and top-feature patterns instead of generating one API call per customer. This reduces API volume while maintaining the same grounded playbook and clause-citation requirements.</w:t>
      </w:r>
    </w:p>
    <w:p w14:paraId="79FC6EF2" w14:textId="77777777" w:rsidR="00A65E94" w:rsidRPr="00A65E94" w:rsidRDefault="00A65E94" w:rsidP="00A65E94">
      <w:pPr>
        <w:rPr>
          <w:sz w:val="24"/>
          <w:szCs w:val="24"/>
        </w:rPr>
      </w:pPr>
    </w:p>
    <w:p w14:paraId="3CC56FE0" w14:textId="77777777" w:rsidR="00A65E94" w:rsidRDefault="00A65E94" w:rsidP="00A65E94">
      <w:pPr>
        <w:rPr>
          <w:b/>
          <w:bCs/>
          <w:sz w:val="24"/>
          <w:szCs w:val="24"/>
        </w:rPr>
      </w:pPr>
      <w:r w:rsidRPr="00A65E94">
        <w:rPr>
          <w:b/>
          <w:bCs/>
          <w:sz w:val="24"/>
          <w:szCs w:val="24"/>
        </w:rPr>
        <w:t>Priority Retention Segment</w:t>
      </w:r>
    </w:p>
    <w:p w14:paraId="1A8920DD" w14:textId="77777777" w:rsidR="00A65E94" w:rsidRPr="00A65E94" w:rsidRDefault="00A65E94" w:rsidP="00A65E94">
      <w:pPr>
        <w:rPr>
          <w:b/>
          <w:bCs/>
          <w:sz w:val="24"/>
          <w:szCs w:val="24"/>
        </w:rPr>
      </w:pPr>
    </w:p>
    <w:p w14:paraId="7D61CAE0" w14:textId="77777777" w:rsidR="00A65E94" w:rsidRPr="00A65E94" w:rsidRDefault="00A65E94" w:rsidP="00A65E94">
      <w:pPr>
        <w:rPr>
          <w:sz w:val="24"/>
          <w:szCs w:val="24"/>
        </w:rPr>
      </w:pPr>
      <w:r w:rsidRPr="00A65E94">
        <w:rPr>
          <w:sz w:val="24"/>
          <w:szCs w:val="24"/>
        </w:rPr>
        <w:t xml:space="preserve">The recommended first target is the </w:t>
      </w:r>
      <w:r w:rsidRPr="00A65E94">
        <w:rPr>
          <w:b/>
          <w:bCs/>
          <w:sz w:val="24"/>
          <w:szCs w:val="24"/>
        </w:rPr>
        <w:t>New, High-Spend, High-Risk</w:t>
      </w:r>
      <w:r w:rsidRPr="00A65E94">
        <w:rPr>
          <w:sz w:val="24"/>
          <w:szCs w:val="24"/>
        </w:rPr>
        <w:t xml:space="preserve"> segment. This group has an average tenure of </w:t>
      </w:r>
      <w:r w:rsidRPr="00A65E94">
        <w:rPr>
          <w:b/>
          <w:bCs/>
          <w:sz w:val="24"/>
          <w:szCs w:val="24"/>
        </w:rPr>
        <w:t>14.8 months</w:t>
      </w:r>
      <w:r w:rsidRPr="00A65E94">
        <w:rPr>
          <w:sz w:val="24"/>
          <w:szCs w:val="24"/>
        </w:rPr>
        <w:t xml:space="preserve">, monthly spending of </w:t>
      </w:r>
      <w:r w:rsidRPr="00A65E94">
        <w:rPr>
          <w:b/>
          <w:bCs/>
          <w:sz w:val="24"/>
          <w:szCs w:val="24"/>
        </w:rPr>
        <w:t>$84.92</w:t>
      </w:r>
      <w:r w:rsidRPr="00A65E94">
        <w:rPr>
          <w:sz w:val="24"/>
          <w:szCs w:val="24"/>
        </w:rPr>
        <w:t xml:space="preserve">, and predicted churn probability of </w:t>
      </w:r>
      <w:r w:rsidRPr="00A65E94">
        <w:rPr>
          <w:b/>
          <w:bCs/>
          <w:sz w:val="24"/>
          <w:szCs w:val="24"/>
        </w:rPr>
        <w:t>0.74</w:t>
      </w:r>
      <w:r w:rsidRPr="00A65E94">
        <w:rPr>
          <w:sz w:val="24"/>
          <w:szCs w:val="24"/>
        </w:rPr>
        <w:t xml:space="preserve">, with an actual churn rate of </w:t>
      </w:r>
      <w:r w:rsidRPr="00A65E94">
        <w:rPr>
          <w:b/>
          <w:bCs/>
          <w:sz w:val="24"/>
          <w:szCs w:val="24"/>
        </w:rPr>
        <w:t>58%</w:t>
      </w:r>
      <w:r w:rsidRPr="00A65E94">
        <w:rPr>
          <w:sz w:val="24"/>
          <w:szCs w:val="24"/>
        </w:rPr>
        <w:t xml:space="preserve">. Approximately </w:t>
      </w:r>
      <w:r w:rsidRPr="00A65E94">
        <w:rPr>
          <w:b/>
          <w:bCs/>
          <w:sz w:val="24"/>
          <w:szCs w:val="24"/>
        </w:rPr>
        <w:t>$121,000 in monthly revenue</w:t>
      </w:r>
      <w:r w:rsidRPr="00A65E94">
        <w:rPr>
          <w:sz w:val="24"/>
          <w:szCs w:val="24"/>
        </w:rPr>
        <w:t xml:space="preserve"> is at risk.</w:t>
      </w:r>
    </w:p>
    <w:p w14:paraId="2BB0DFCC" w14:textId="77777777" w:rsidR="00A65E94" w:rsidRPr="00A65E94" w:rsidRDefault="00A65E94" w:rsidP="00A65E94">
      <w:pPr>
        <w:rPr>
          <w:sz w:val="24"/>
          <w:szCs w:val="24"/>
        </w:rPr>
      </w:pPr>
      <w:r w:rsidRPr="00A65E94">
        <w:rPr>
          <w:sz w:val="24"/>
          <w:szCs w:val="24"/>
        </w:rPr>
        <w:t>Although the loyal, high-spend segment generates more revenue (</w:t>
      </w:r>
      <w:r w:rsidRPr="00A65E94">
        <w:rPr>
          <w:b/>
          <w:bCs/>
          <w:sz w:val="24"/>
          <w:szCs w:val="24"/>
        </w:rPr>
        <w:t>$181,000/month</w:t>
      </w:r>
      <w:r w:rsidRPr="00A65E94">
        <w:rPr>
          <w:sz w:val="24"/>
          <w:szCs w:val="24"/>
        </w:rPr>
        <w:t>), its churn risk is substantially lower (</w:t>
      </w:r>
      <w:r w:rsidRPr="00A65E94">
        <w:rPr>
          <w:b/>
          <w:bCs/>
          <w:sz w:val="24"/>
          <w:szCs w:val="24"/>
        </w:rPr>
        <w:t>27%</w:t>
      </w:r>
      <w:r w:rsidRPr="00A65E94">
        <w:rPr>
          <w:sz w:val="24"/>
          <w:szCs w:val="24"/>
        </w:rPr>
        <w:t xml:space="preserve">). Targeting the new, high-spend, high-risk segment therefore </w:t>
      </w:r>
      <w:r w:rsidRPr="00A65E94">
        <w:rPr>
          <w:sz w:val="24"/>
          <w:szCs w:val="24"/>
        </w:rPr>
        <w:lastRenderedPageBreak/>
        <w:t xml:space="preserve">provides a better balance between </w:t>
      </w:r>
      <w:r w:rsidRPr="00A65E94">
        <w:rPr>
          <w:b/>
          <w:bCs/>
          <w:sz w:val="24"/>
          <w:szCs w:val="24"/>
        </w:rPr>
        <w:t>customer risk and financial impact</w:t>
      </w:r>
      <w:r w:rsidRPr="00A65E94">
        <w:rPr>
          <w:sz w:val="24"/>
          <w:szCs w:val="24"/>
        </w:rPr>
        <w:t>, maximizing expected revenue saved per retention dollar.</w:t>
      </w:r>
    </w:p>
    <w:p w14:paraId="247B2406" w14:textId="77777777" w:rsidR="00A65E94" w:rsidRDefault="00A65E94" w:rsidP="00A65E94">
      <w:pPr>
        <w:rPr>
          <w:sz w:val="24"/>
          <w:szCs w:val="24"/>
        </w:rPr>
      </w:pPr>
    </w:p>
    <w:p w14:paraId="4C3F4B27" w14:textId="77777777" w:rsidR="00A65E94" w:rsidRPr="00A65E94" w:rsidRDefault="00A65E94" w:rsidP="00A65E94">
      <w:pPr>
        <w:rPr>
          <w:b/>
          <w:bCs/>
          <w:sz w:val="24"/>
          <w:szCs w:val="24"/>
        </w:rPr>
      </w:pPr>
      <w:r w:rsidRPr="00A65E94">
        <w:rPr>
          <w:b/>
          <w:bCs/>
          <w:sz w:val="24"/>
          <w:szCs w:val="24"/>
        </w:rPr>
        <w:t>Data &amp; Model Validation</w:t>
      </w:r>
    </w:p>
    <w:p w14:paraId="3332EC5D" w14:textId="77777777" w:rsidR="00A65E94" w:rsidRPr="00A65E94" w:rsidRDefault="00A65E94" w:rsidP="00A65E94">
      <w:pPr>
        <w:rPr>
          <w:sz w:val="24"/>
          <w:szCs w:val="24"/>
        </w:rPr>
      </w:pPr>
      <w:proofErr w:type="spellStart"/>
      <w:r w:rsidRPr="00A65E94">
        <w:rPr>
          <w:sz w:val="24"/>
          <w:szCs w:val="24"/>
        </w:rPr>
        <w:t>TotalCharges</w:t>
      </w:r>
      <w:proofErr w:type="spellEnd"/>
      <w:r w:rsidRPr="00A65E94">
        <w:rPr>
          <w:sz w:val="24"/>
          <w:szCs w:val="24"/>
        </w:rPr>
        <w:t xml:space="preserve"> was converted from text to numeric, and </w:t>
      </w:r>
      <w:r w:rsidRPr="00A65E94">
        <w:rPr>
          <w:b/>
          <w:bCs/>
          <w:sz w:val="24"/>
          <w:szCs w:val="24"/>
        </w:rPr>
        <w:t>11 blank records</w:t>
      </w:r>
      <w:r w:rsidRPr="00A65E94">
        <w:rPr>
          <w:sz w:val="24"/>
          <w:szCs w:val="24"/>
        </w:rPr>
        <w:t xml:space="preserve"> were set to zero because all corresponded to customers with zero tenure. The Random Forest achieved </w:t>
      </w:r>
      <w:r w:rsidRPr="00A65E94">
        <w:rPr>
          <w:b/>
          <w:bCs/>
          <w:sz w:val="24"/>
          <w:szCs w:val="24"/>
        </w:rPr>
        <w:t>78.98% training accuracy</w:t>
      </w:r>
      <w:r w:rsidRPr="00A65E94">
        <w:rPr>
          <w:sz w:val="24"/>
          <w:szCs w:val="24"/>
        </w:rPr>
        <w:t xml:space="preserve"> and </w:t>
      </w:r>
      <w:r w:rsidRPr="00A65E94">
        <w:rPr>
          <w:b/>
          <w:bCs/>
          <w:sz w:val="24"/>
          <w:szCs w:val="24"/>
        </w:rPr>
        <w:t>76.08% test accuracy</w:t>
      </w:r>
      <w:r w:rsidRPr="00A65E94">
        <w:rPr>
          <w:sz w:val="24"/>
          <w:szCs w:val="24"/>
        </w:rPr>
        <w:t xml:space="preserve">, indicating only a </w:t>
      </w:r>
      <w:r w:rsidRPr="00A65E94">
        <w:rPr>
          <w:b/>
          <w:bCs/>
          <w:sz w:val="24"/>
          <w:szCs w:val="24"/>
        </w:rPr>
        <w:t>2.9-percentage-point gap</w:t>
      </w:r>
      <w:r w:rsidRPr="00A65E94">
        <w:rPr>
          <w:sz w:val="24"/>
          <w:szCs w:val="24"/>
        </w:rPr>
        <w:t>.</w:t>
      </w:r>
    </w:p>
    <w:p w14:paraId="43A2736B" w14:textId="77777777" w:rsidR="00A65E94" w:rsidRDefault="00A65E94" w:rsidP="00A65E94">
      <w:pPr>
        <w:rPr>
          <w:sz w:val="24"/>
          <w:szCs w:val="24"/>
        </w:rPr>
      </w:pPr>
      <w:r w:rsidRPr="00A65E94">
        <w:rPr>
          <w:sz w:val="24"/>
          <w:szCs w:val="24"/>
        </w:rPr>
        <w:t xml:space="preserve">Because only </w:t>
      </w:r>
      <w:r w:rsidRPr="00A65E94">
        <w:rPr>
          <w:b/>
          <w:bCs/>
          <w:sz w:val="24"/>
          <w:szCs w:val="24"/>
        </w:rPr>
        <w:t>26.5%</w:t>
      </w:r>
      <w:r w:rsidRPr="00A65E94">
        <w:rPr>
          <w:sz w:val="24"/>
          <w:szCs w:val="24"/>
        </w:rPr>
        <w:t xml:space="preserve"> of customers churn, accuracy alone can be misleading: a model predicting "No Churn" for everyone would achieve </w:t>
      </w:r>
      <w:r w:rsidRPr="00A65E94">
        <w:rPr>
          <w:b/>
          <w:bCs/>
          <w:sz w:val="24"/>
          <w:szCs w:val="24"/>
        </w:rPr>
        <w:t>73.5% accuracy</w:t>
      </w:r>
      <w:r w:rsidRPr="00A65E94">
        <w:rPr>
          <w:sz w:val="24"/>
          <w:szCs w:val="24"/>
        </w:rPr>
        <w:t xml:space="preserve"> while identifying no at-risk customers. The model's </w:t>
      </w:r>
      <w:r w:rsidRPr="00A65E94">
        <w:rPr>
          <w:b/>
          <w:bCs/>
          <w:sz w:val="24"/>
          <w:szCs w:val="24"/>
        </w:rPr>
        <w:t>78.9% recall</w:t>
      </w:r>
      <w:r w:rsidRPr="00A65E94">
        <w:rPr>
          <w:sz w:val="24"/>
          <w:szCs w:val="24"/>
        </w:rPr>
        <w:t xml:space="preserve"> is therefore more informative for retention, although </w:t>
      </w:r>
      <w:r w:rsidRPr="00A65E94">
        <w:rPr>
          <w:b/>
          <w:bCs/>
          <w:sz w:val="24"/>
          <w:szCs w:val="24"/>
        </w:rPr>
        <w:t>79 of 374 churners</w:t>
      </w:r>
      <w:r w:rsidRPr="00A65E94">
        <w:rPr>
          <w:sz w:val="24"/>
          <w:szCs w:val="24"/>
        </w:rPr>
        <w:t xml:space="preserve"> in the test set were still missed.</w:t>
      </w:r>
    </w:p>
    <w:p w14:paraId="39D716BF" w14:textId="77777777" w:rsidR="00F97D2A" w:rsidRPr="00A65E94" w:rsidRDefault="00F97D2A" w:rsidP="00A65E94">
      <w:pPr>
        <w:rPr>
          <w:sz w:val="24"/>
          <w:szCs w:val="24"/>
        </w:rPr>
      </w:pPr>
    </w:p>
    <w:p w14:paraId="4A329C39" w14:textId="77777777" w:rsidR="00A65E94" w:rsidRDefault="00A65E94" w:rsidP="00A65E94">
      <w:pPr>
        <w:rPr>
          <w:b/>
          <w:bCs/>
          <w:sz w:val="24"/>
          <w:szCs w:val="24"/>
        </w:rPr>
      </w:pPr>
      <w:r w:rsidRPr="00A65E94">
        <w:rPr>
          <w:b/>
          <w:bCs/>
          <w:sz w:val="24"/>
          <w:szCs w:val="24"/>
        </w:rPr>
        <w:t>Business Recommendation</w:t>
      </w:r>
    </w:p>
    <w:p w14:paraId="40183F4B" w14:textId="77777777" w:rsidR="00F97D2A" w:rsidRPr="00A65E94" w:rsidRDefault="00F97D2A" w:rsidP="00A65E94">
      <w:pPr>
        <w:rPr>
          <w:b/>
          <w:bCs/>
          <w:sz w:val="24"/>
          <w:szCs w:val="24"/>
        </w:rPr>
      </w:pPr>
    </w:p>
    <w:p w14:paraId="12A01412" w14:textId="77777777" w:rsidR="00A65E94" w:rsidRPr="00A65E94" w:rsidRDefault="00A65E94" w:rsidP="00A65E94">
      <w:pPr>
        <w:rPr>
          <w:sz w:val="24"/>
          <w:szCs w:val="24"/>
        </w:rPr>
      </w:pPr>
      <w:r w:rsidRPr="00A65E94">
        <w:rPr>
          <w:b/>
          <w:bCs/>
          <w:sz w:val="24"/>
          <w:szCs w:val="24"/>
        </w:rPr>
        <w:t>Prioritize retention spending on new, high-spend, high-risk customers; monitor risk shifts in vulnerable product/payment groups; enforce demographic exclusion and retrieval-grounded explanations; and use batching/caching to control LLM costs.</w:t>
      </w:r>
      <w:r w:rsidRPr="00A65E94">
        <w:rPr>
          <w:sz w:val="24"/>
          <w:szCs w:val="24"/>
        </w:rPr>
        <w:t xml:space="preserve"> This approach aligns retention investment with both </w:t>
      </w:r>
      <w:r w:rsidRPr="00A65E94">
        <w:rPr>
          <w:b/>
          <w:bCs/>
          <w:sz w:val="24"/>
          <w:szCs w:val="24"/>
        </w:rPr>
        <w:t>customer risk and revenue at stake</w:t>
      </w:r>
      <w:r w:rsidRPr="00A65E94">
        <w:rPr>
          <w:sz w:val="24"/>
          <w:szCs w:val="24"/>
        </w:rPr>
        <w:t>, while maintaining governance and operational reliability.</w:t>
      </w:r>
    </w:p>
    <w:p w14:paraId="5B645D0E" w14:textId="77777777" w:rsidR="00A65E94" w:rsidRDefault="00A65E94" w:rsidP="00A65E94">
      <w:pPr>
        <w:rPr>
          <w:sz w:val="24"/>
          <w:szCs w:val="24"/>
        </w:rPr>
      </w:pPr>
    </w:p>
    <w:p w14:paraId="39F6D953" w14:textId="77777777" w:rsidR="00A65E94" w:rsidRPr="00A65E94" w:rsidRDefault="00A65E94" w:rsidP="00A65E94">
      <w:pPr>
        <w:rPr>
          <w:sz w:val="24"/>
          <w:szCs w:val="24"/>
        </w:rPr>
      </w:pPr>
    </w:p>
    <w:p w14:paraId="29139ED5" w14:textId="77777777" w:rsidR="00A65E94" w:rsidRPr="00A65E94" w:rsidRDefault="00A65E94" w:rsidP="00A65E94">
      <w:pPr>
        <w:rPr>
          <w:sz w:val="24"/>
          <w:szCs w:val="24"/>
        </w:rPr>
      </w:pPr>
    </w:p>
    <w:p w14:paraId="4D6FE875" w14:textId="3D1B3C49" w:rsidR="00A65E94" w:rsidRDefault="00A65E94" w:rsidP="00A65E94"/>
    <w:sectPr w:rsidR="00A65E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E94"/>
    <w:rsid w:val="000944EA"/>
    <w:rsid w:val="00A65E94"/>
    <w:rsid w:val="00F97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1FEF92"/>
  <w15:chartTrackingRefBased/>
  <w15:docId w15:val="{40FC15B4-7F0D-4CAE-879B-4B7FC032A5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5E94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5E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5E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5E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5E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5E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5E9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5E9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5E9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5E9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5E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5E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5E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5E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5E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5E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5E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5E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5E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5E9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5E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5E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5E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5E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5E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5E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5E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5E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5E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5E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562</Words>
  <Characters>3207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Saumya John</dc:creator>
  <cp:keywords/>
  <dc:description/>
  <cp:lastModifiedBy>Saumya John</cp:lastModifiedBy>
  <cp:revision>1</cp:revision>
  <dcterms:created xsi:type="dcterms:W3CDTF">2026-09-06T07:45:00Z</dcterms:created>
  <dcterms:modified xsi:type="dcterms:W3CDTF">2026-09-06T07:56:00Z</dcterms:modified>
</cp:coreProperties>
</file>