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2"/>
        <w:gridCol w:w="4565"/>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44"/>
                <w:szCs w:val="44"/>
              </w:rPr>
              <w:t>Kentucky</w:t>
            </w:r>
            <w:r>
              <w:rPr>
                <w:rFonts w:hint="default" w:ascii="Arial" w:hAnsi="Arial" w:eastAsia="Arial"/>
                <w:b/>
                <w:bCs/>
                <w:caps/>
                <w:smallCaps w:val="0"/>
                <w:color w:val="000000"/>
                <w:sz w:val="44"/>
                <w:szCs w:val="44"/>
                <w:lang w:val="en-US"/>
              </w:rPr>
              <w:t xml:space="preserve"> </w:t>
            </w:r>
            <w:r>
              <w:rPr>
                <w:rFonts w:ascii="Arial" w:hAnsi="Arial" w:eastAsia="Arial" w:cs="Arial"/>
                <w:b/>
                <w:bCs/>
                <w:color w:val="000000"/>
                <w:sz w:val="44"/>
                <w:szCs w:val="44"/>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77DF3675"/>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2023-03-09T14:08:37Z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6EA697CB0C77448186945A93955FA4EA</vt:lpwstr>
  </property>
</Properties>
</file>