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05C63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E05C63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OHIO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493BA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493BA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493BA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493BA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493BA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493BA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493BA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493BA8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493BA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A2F" w:rsidRDefault="00E80A2F" w:rsidP="00E81056">
      <w:r>
        <w:separator/>
      </w:r>
    </w:p>
  </w:endnote>
  <w:endnote w:type="continuationSeparator" w:id="0">
    <w:p w:rsidR="00E80A2F" w:rsidRDefault="00E80A2F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493BA8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A2F" w:rsidRDefault="00E80A2F" w:rsidP="00E81056">
      <w:r>
        <w:separator/>
      </w:r>
    </w:p>
  </w:footnote>
  <w:footnote w:type="continuationSeparator" w:id="0">
    <w:p w:rsidR="00E80A2F" w:rsidRDefault="00E80A2F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93BA8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05C63"/>
    <w:rsid w:val="00E67BF8"/>
    <w:rsid w:val="00E80A2F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2023-03-03T14:10:00Z</dcterms:modified>
</cp:coreProperties>
</file>