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VERMONT</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w:t>
      </w:r>
      <w:bookmarkStart w:id="0" w:name="_GoBack"/>
      <w:bookmarkEnd w:id="0"/>
      <w:r>
        <w:rPr>
          <w:rFonts w:ascii="Arial" w:hAnsi="Arial" w:eastAsia="Arial" w:cs="Arial"/>
          <w:sz w:val="20"/>
          <w:szCs w:val="20"/>
        </w:rPr>
        <w:t xml:space="preserve">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87E66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2023-05-18T09:28:16Z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