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WISCONSIN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432" w:hanging="432"/>
        <w:jc w:val="center"/>
      </w:pPr>
    </w:p>
    <w:p>
      <w:pPr>
        <w:pStyle w:val="Body B"/>
        <w:widowControl w:val="0"/>
        <w:ind w:left="324" w:hanging="324"/>
        <w:jc w:val="center"/>
      </w:pPr>
    </w:p>
    <w:p>
      <w:pPr>
        <w:pStyle w:val="Body B A"/>
        <w:widowControl w:val="0"/>
        <w:ind w:left="216" w:hanging="216"/>
        <w:jc w:val="center"/>
      </w:pPr>
    </w:p>
    <w:p>
      <w:pPr>
        <w:pStyle w:val="Body B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6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