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RENTAL/LEASE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disability, familial status or national origin. State and local laws may protect additional classes such as marital status, sexual orientation, gender identity and source of income from housing discrimination.</w:t>
      </w:r>
    </w:p>
    <w:p>
      <w:pPr>
        <w:pStyle w:val="Body"/>
        <w:rPr>
          <w:rFonts w:ascii="Arial" w:cs="Arial" w:hAnsi="Arial" w:eastAsia="Arial"/>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references and any other relevant information necessary for Landlord to evaluate this application. Applicant further authorizes Landlord and its agents to obtain a consumer credit report and a criminal background report.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Arial" w:hAnsi="Arial"/>
        <w:b w:val="1"/>
        <w:bCs w:val="1"/>
        <w:sz w:val="20"/>
        <w:szCs w:val="20"/>
        <w:rtl w:val="0"/>
        <w:lang w:val="en-US"/>
      </w:rPr>
      <w:t>Rental/Lease Application</w:t>
    </w:r>
    <w:r>
      <w:rPr>
        <w:rFonts w:ascii="Arial" w:hAnsi="Arial" w:hint="default"/>
        <w:b w:val="1"/>
        <w:bCs w:val="1"/>
        <w:sz w:val="20"/>
        <w:szCs w:val="20"/>
        <w:rtl w:val="0"/>
        <w:lang w:val="en-US"/>
      </w:rPr>
      <w:t> </w:t>
    </w:r>
    <w:r>
      <w:rPr>
        <w:rFonts w:ascii="Arial" w:hAnsi="Arial"/>
        <w:sz w:val="20"/>
        <w:szCs w:val="20"/>
        <w:rtl w:val="0"/>
      </w:rPr>
      <w:t>(Rev. 133C7D3)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