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 WASHINGTON F</w:t>
            </w:r>
            <w:r>
              <w:rPr>
                <w:rFonts w:ascii="Arial" w:hAnsi="Arial"/>
                <w:b w:val="1"/>
                <w:bCs w:val="1"/>
                <w:sz w:val="32"/>
                <w:szCs w:val="32"/>
                <w:shd w:val="nil" w:color="auto" w:fill="auto"/>
                <w:rtl w:val="0"/>
                <w:lang w:val="en-US"/>
              </w:rPr>
              <w:t>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