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216FF" w14:textId="77777777" w:rsidR="0018078F" w:rsidRDefault="0018078F">
      <w:pPr>
        <w:jc w:val="center"/>
        <w:rPr>
          <w:lang w:val="en-US"/>
        </w:rPr>
      </w:pPr>
      <w:r/>
    </w:p>
    <w:p w14:paraId="09D936CA" w14:textId="77777777" w:rsidR="0018078F" w:rsidRDefault="0018078F">
      <w:pPr>
        <w:rPr>
          <w:lang w:val="en-US"/>
        </w:rPr>
      </w:pPr>
      <w:r/>
    </w:p>
    <w:p w14:paraId="6D17AA7D" w14:textId="77777777" w:rsidR="0018078F" w:rsidRDefault="0018078F">
      <w:pPr>
        <w:rPr>
          <w:lang w:val="en-US"/>
        </w:rPr>
      </w:pPr>
      <w:r/>
    </w:p>
    <w:p w14:paraId="3FF465B6" w14:textId="77777777" w:rsidR="0018078F" w:rsidRDefault="0018078F">
      <w:pPr>
        <w:rPr>
          <w:lang w:val="en-US"/>
        </w:rPr>
      </w:pPr>
      <w:r/>
    </w:p>
    <w:p w14:paraId="1DEECAF7" w14:textId="77777777" w:rsidR="0018078F" w:rsidRDefault="0018078F">
      <w:pPr>
        <w:rPr>
          <w:lang w:val="en-US"/>
        </w:rPr>
      </w:pPr>
      <w:r/>
    </w:p>
    <w:p w14:paraId="6CED2305" w14:textId="77777777" w:rsidR="0018078F" w:rsidRDefault="0018078F">
      <w:pPr>
        <w:rPr>
          <w:lang w:val="en-US"/>
        </w:rPr>
      </w:pPr>
      <w:r/>
    </w:p>
    <w:p w14:paraId="606566FB" w14:textId="77777777" w:rsidR="0018078F" w:rsidRDefault="00361F29">
      <w:pPr>
        <w:rPr>
          <w:lang w:val="en-US" w:eastAsia="zh-CN"/>
        </w:rPr>
      </w:pPr>
      <w:r>
        <w:tab/>
        <w:tab/>
        <w:tab/>
      </w:r>
    </w:p>
    <w:p w14:paraId="2D2CA83E" w14:textId="77777777" w:rsidR="0018078F" w:rsidRDefault="0018078F">
      <w:pPr>
        <w:rPr>
          <w:sz w:val="48"/>
          <w:szCs w:val="48"/>
        </w:rPr>
      </w:pPr>
      <w:r/>
    </w:p>
    <w:p w14:paraId="253F0C12" w14:textId="77777777" w:rsidR="0018078F" w:rsidRDefault="0018078F">
      <w:pPr>
        <w:pStyle w:val="Subtitle"/>
        <w:spacing w:before="0" w:after="100" w:afterAutospacing="1"/>
        <w:jc w:val="center"/>
        <w:rPr>
          <w:rFonts w:cs="Arial"/>
          <w:color w:val="00B050"/>
          <w:sz w:val="48"/>
          <w:szCs w:val="48"/>
          <w:lang w:val="fr-FR"/>
        </w:rPr>
      </w:pPr>
      <w:r/>
    </w:p>
    <w:p w14:paraId="0C63CF57" w14:textId="77777777" w:rsidR="0018078F" w:rsidRDefault="0018078F">
      <w:pPr>
        <w:pStyle w:val="Subtitle"/>
        <w:spacing w:after="360"/>
        <w:jc w:val="left"/>
        <w:rPr>
          <w:rFonts w:eastAsia="YouYuan" w:cs="Arial"/>
          <w:b w:val="0"/>
          <w:iCs w:val="0"/>
          <w:color w:val="3F9C35"/>
          <w:sz w:val="52"/>
          <w:szCs w:val="48"/>
          <w:lang w:val="en-US" w:eastAsia="zh-CN"/>
        </w:rPr>
      </w:pPr>
      <w:r/>
    </w:p>
    <w:p w14:paraId="084A750E" w14:textId="5C65D179" w:rsidR="0018078F" w:rsidRPr="00296FD1" w:rsidRDefault="00142B52" w:rsidP="00296FD1">
      <w:pPr>
        <w:pStyle w:val="Title"/>
        <w:rPr>
          <w:b/>
          <w:bCs/>
          <w:iCs/>
          <w:color w:val="EE0000"/>
          <w:sz w:val="56"/>
          <w:szCs w:val="56"/>
          <w:lang w:val="en-US"/>
        </w:rPr>
      </w:pPr>
      <w:proofErr w:type="spellStart"/>
      <w:proofErr w:type="spellEnd"/>
      <w:r>
        <w:t>SofarSolar Netherlands B.V.</w:t>
      </w:r>
    </w:p>
    <w:p w14:paraId="2B796132" w14:textId="77777777" w:rsidR="0018078F" w:rsidRPr="00296FD1" w:rsidRDefault="00361F29" w:rsidP="00296FD1">
      <w:pPr>
        <w:pStyle w:val="Title"/>
      </w:pPr>
      <w:r>
        <w:t>TRANSFER PRICING DOCUMENTATION</w:t>
      </w:r>
    </w:p>
    <w:p w14:paraId="6A927D19" w14:textId="77777777" w:rsidR="0018078F" w:rsidRDefault="00361F29" w:rsidP="00296FD1">
      <w:pPr>
        <w:pStyle w:val="Title"/>
      </w:pPr>
      <w:r>
        <w:t>LOCAL FILE</w:t>
      </w:r>
    </w:p>
    <w:p w14:paraId="195428C3" w14:textId="77777777" w:rsidR="00C620CD" w:rsidRPr="00C620CD" w:rsidRDefault="00C620CD" w:rsidP="00C620CD">
      <w:pPr>
        <w:pStyle w:val="BodyText"/>
      </w:pPr>
      <w:r/>
    </w:p>
    <w:p w14:paraId="1827545F" w14:textId="4B5D320C" w:rsidR="0018078F" w:rsidRPr="00CD63DC" w:rsidRDefault="00361F29" w:rsidP="00296FD1">
      <w:pPr>
        <w:pStyle w:val="Title"/>
        <w:rPr>
          <w:b/>
        </w:rPr>
      </w:pPr>
      <w:proofErr w:type="spellStart"/>
      <w:proofErr w:type="spellEnd"/>
      <w:r>
        <w:t>Financial Years Ending 31 December 2024</w:t>
      </w:r>
    </w:p>
    <w:p w14:paraId="01EE548B" w14:textId="77777777" w:rsidR="0018078F" w:rsidRPr="00CD63DC" w:rsidRDefault="0018078F">
      <w:pPr>
        <w:pStyle w:val="Subtitle"/>
        <w:spacing w:before="0" w:after="100" w:afterAutospacing="1"/>
        <w:ind w:right="-352"/>
        <w:jc w:val="left"/>
        <w:rPr>
          <w:rFonts w:cs="Arial"/>
          <w:b w:val="0"/>
          <w:i/>
          <w:color w:val="FF0000"/>
          <w:sz w:val="22"/>
          <w:lang w:val="en-US"/>
        </w:rPr>
      </w:pPr>
      <w:r/>
    </w:p>
    <w:p w14:paraId="2F2DFBF0" w14:textId="77777777" w:rsidR="0018078F" w:rsidRPr="00CD63DC" w:rsidRDefault="00361F29">
      <w:pPr>
        <w:pStyle w:val="Subtitle"/>
        <w:spacing w:before="0" w:after="100" w:afterAutospacing="1"/>
        <w:ind w:right="-352"/>
        <w:jc w:val="left"/>
        <w:rPr>
          <w:rFonts w:cs="Arial"/>
          <w:i/>
          <w:iCs w:val="0"/>
          <w:color w:val="000000" w:themeColor="text1"/>
          <w:szCs w:val="32"/>
          <w:u w:val="single"/>
        </w:rPr>
      </w:pPr>
      <w:r>
        <w:t>Draft for discussion purposes only</w:t>
      </w:r>
    </w:p>
    <w:p w14:paraId="1226FCCF" w14:textId="77777777" w:rsidR="0018078F" w:rsidRPr="00CD63DC" w:rsidRDefault="0018078F">
      <w:pPr>
        <w:pStyle w:val="BodyText"/>
        <w:spacing w:line="276" w:lineRule="auto"/>
      </w:pPr>
      <w:r/>
    </w:p>
    <w:p w14:paraId="7CBD5AC7" w14:textId="77777777" w:rsidR="0018078F" w:rsidRPr="00CD63DC" w:rsidRDefault="00361F29">
      <w:pPr>
        <w:pStyle w:val="Subtitle"/>
        <w:tabs>
          <w:tab w:val="left" w:pos="5205"/>
        </w:tabs>
        <w:jc w:val="left"/>
        <w:rPr>
          <w:rFonts w:cs="Arial"/>
          <w:i/>
          <w:color w:val="000000" w:themeColor="text1"/>
        </w:rPr>
      </w:pPr>
      <w:r/>
    </w:p>
    <w:p w14:paraId="07506C5F" w14:textId="77777777" w:rsidR="0018078F" w:rsidRPr="00CD63DC" w:rsidRDefault="00361F29">
      <w:pPr>
        <w:pStyle w:val="Heading1"/>
        <w:rPr>
          <w:rFonts w:cs="Arial"/>
          <w:color w:val="3F9C35"/>
          <w14:textFill>
            <w14:solidFill>
              <w14:srgbClr w14:val="3F9C35">
                <w14:lumMod w14:val="50000"/>
                <w14:lumOff w14:val="50000"/>
              </w14:srgbClr>
            </w14:solidFill>
          </w14:textFill>
        </w:rPr>
      </w:pPr>
      <w:bookmarkStart w:id="0" w:name="_Toc203039376"/>
      <w:bookmarkStart w:id="1" w:name="_Toc386024022"/>
      <w:bookmarkEnd w:id="0"/>
      <w:r>
        <w:t>Glossary</w:t>
      </w:r>
    </w:p>
    <w:tbl>
      <w:tblPr>
        <w:tblStyle w:val="GreyTable2"/>
        <w:tblW w:w="0" w:type="auto"/>
        <w:tblInd w:w="-5" w:type="dxa"/>
        <w:tblBorders>
          <w:top w:val="dotted" w:sz="4" w:space="0" w:color="009CDE"/>
          <w:left w:val="dotted" w:sz="4" w:space="0" w:color="009CDE"/>
          <w:bottom w:val="dotted" w:sz="4" w:space="0" w:color="009CDE"/>
          <w:right w:val="dotted" w:sz="4" w:space="0" w:color="009CDE"/>
          <w:insideH w:val="dotted" w:sz="4" w:space="0" w:color="009CDE"/>
          <w:insideV w:val="dotted" w:sz="4" w:space="0" w:color="009CDE"/>
        </w:tblBorders>
        <w:tblLook w:val="04A0" w:firstRow="1" w:lastRow="0" w:firstColumn="1" w:lastColumn="0" w:noHBand="0" w:noVBand="1"/>
      </w:tblPr>
      <w:tblGrid>
        <w:gridCol w:w="3729"/>
        <w:gridCol w:w="5350"/>
      </w:tblGrid>
      <w:tr w:rsidR="0018078F" w:rsidRPr="00CD63DC" w14:paraId="533992AE" w14:textId="77777777" w:rsidTr="009E7F9D">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3729" w:type="dxa"/>
            <w:shd w:val="clear" w:color="auto" w:fill="3F9C35"/>
            <w:vAlign w:val="center"/>
          </w:tcPr>
          <w:p w14:paraId="335A3787" w14:textId="77777777" w:rsidR="0018078F" w:rsidRPr="00CD63DC" w:rsidRDefault="00361F29">
            <w:pPr>
              <w:pStyle w:val="TableHeading"/>
              <w:spacing w:before="40" w:after="40"/>
              <w:jc w:val="center"/>
              <w:rPr>
                <w:bCs/>
                <w:color w:val="FFFFFF" w:themeColor="background1"/>
              </w:rPr>
            </w:pPr>
            <w:r>
              <w:t>Abbreviation</w:t>
            </w:r>
          </w:p>
        </w:tc>
        <w:tc>
          <w:tcPr>
            <w:tcW w:w="5350" w:type="dxa"/>
            <w:shd w:val="clear" w:color="auto" w:fill="3F9C35"/>
            <w:vAlign w:val="center"/>
          </w:tcPr>
          <w:p w14:paraId="271106AB" w14:textId="77777777" w:rsidR="0018078F" w:rsidRPr="00CD63DC" w:rsidRDefault="00361F29">
            <w:pPr>
              <w:pStyle w:val="TableText"/>
              <w:spacing w:before="40" w:after="40"/>
              <w:jc w:val="center"/>
              <w:cnfStyle w:val="100000000000" w:firstRow="1" w:lastRow="0" w:firstColumn="0" w:lastColumn="0" w:oddVBand="0" w:evenVBand="0" w:oddHBand="0" w:evenHBand="0" w:firstRowFirstColumn="0" w:firstRowLastColumn="0" w:lastRowFirstColumn="0" w:lastRowLastColumn="0"/>
              <w:rPr>
                <w:b/>
                <w:color w:val="FFFFFF" w:themeColor="background1"/>
              </w:rPr>
            </w:pPr>
            <w:r>
              <w:t>Definition</w:t>
            </w:r>
          </w:p>
        </w:tc>
      </w:tr>
      <w:tr w:rsidR="0018078F" w:rsidRPr="00CD63DC" w14:paraId="509EB9D2" w14:textId="77777777" w:rsidTr="009E7F9D">
        <w:trPr>
          <w:trHeight w:val="317"/>
        </w:trPr>
        <w:tc>
          <w:tcPr>
            <w:cnfStyle w:val="001000000000" w:firstRow="0" w:lastRow="0" w:firstColumn="1" w:lastColumn="0" w:oddVBand="0" w:evenVBand="0" w:oddHBand="0" w:evenHBand="0" w:firstRowFirstColumn="0" w:firstRowLastColumn="0" w:lastRowFirstColumn="0" w:lastRowLastColumn="0"/>
            <w:tcW w:w="3729" w:type="dxa"/>
            <w:vAlign w:val="center"/>
          </w:tcPr>
          <w:p w14:paraId="62BCFEC4" w14:textId="77777777" w:rsidR="0018078F" w:rsidRPr="00CD63DC" w:rsidRDefault="00361F29">
            <w:pPr>
              <w:spacing w:before="40" w:after="40"/>
              <w:rPr>
                <w:b/>
              </w:rPr>
            </w:pPr>
            <w:r>
              <w:t>APAs</w:t>
            </w:r>
          </w:p>
        </w:tc>
        <w:tc>
          <w:tcPr>
            <w:tcW w:w="5350" w:type="dxa"/>
            <w:vAlign w:val="center"/>
          </w:tcPr>
          <w:p w14:paraId="07869214" w14:textId="77777777" w:rsidR="0018078F" w:rsidRPr="00CD63DC" w:rsidRDefault="00361F29">
            <w:pPr>
              <w:spacing w:before="40" w:after="40"/>
              <w:cnfStyle w:val="000000000000" w:firstRow="0" w:lastRow="0" w:firstColumn="0" w:lastColumn="0" w:oddVBand="0" w:evenVBand="0" w:oddHBand="0" w:evenHBand="0" w:firstRowFirstColumn="0" w:firstRowLastColumn="0" w:lastRowFirstColumn="0" w:lastRowLastColumn="0"/>
            </w:pPr>
            <w:r>
              <w:t>Advance pricing agreements</w:t>
            </w:r>
          </w:p>
        </w:tc>
      </w:tr>
      <w:tr w:rsidR="0018078F" w:rsidRPr="00CD63DC" w14:paraId="64B5238D" w14:textId="77777777" w:rsidTr="009E7F9D">
        <w:trPr>
          <w:trHeight w:val="317"/>
        </w:trPr>
        <w:tc>
          <w:tcPr>
            <w:cnfStyle w:val="001000000000" w:firstRow="0" w:lastRow="0" w:firstColumn="1" w:lastColumn="0" w:oddVBand="0" w:evenVBand="0" w:oddHBand="0" w:evenHBand="0" w:firstRowFirstColumn="0" w:firstRowLastColumn="0" w:lastRowFirstColumn="0" w:lastRowLastColumn="0"/>
            <w:tcW w:w="3729" w:type="dxa"/>
            <w:vAlign w:val="center"/>
          </w:tcPr>
          <w:p w14:paraId="744B7BBC" w14:textId="77777777" w:rsidR="0018078F" w:rsidRPr="00CD63DC" w:rsidRDefault="00361F29">
            <w:pPr>
              <w:spacing w:before="40" w:after="40"/>
              <w:rPr>
                <w:b/>
              </w:rPr>
            </w:pPr>
            <w:r>
              <w:t>ATRs</w:t>
            </w:r>
          </w:p>
        </w:tc>
        <w:tc>
          <w:tcPr>
            <w:tcW w:w="5350" w:type="dxa"/>
            <w:vAlign w:val="center"/>
          </w:tcPr>
          <w:p w14:paraId="0ED6E252" w14:textId="77777777" w:rsidR="0018078F" w:rsidRPr="00CD63DC" w:rsidRDefault="00361F29">
            <w:pPr>
              <w:spacing w:before="40" w:after="40"/>
              <w:cnfStyle w:val="000000000000" w:firstRow="0" w:lastRow="0" w:firstColumn="0" w:lastColumn="0" w:oddVBand="0" w:evenVBand="0" w:oddHBand="0" w:evenHBand="0" w:firstRowFirstColumn="0" w:firstRowLastColumn="0" w:lastRowFirstColumn="0" w:lastRowLastColumn="0"/>
            </w:pPr>
            <w:r>
              <w:t>Advance tax rulings</w:t>
            </w:r>
          </w:p>
        </w:tc>
      </w:tr>
      <w:tr w:rsidR="0018078F" w:rsidRPr="00CD63DC" w14:paraId="41D3312F" w14:textId="77777777" w:rsidTr="009E7F9D">
        <w:trPr>
          <w:trHeight w:val="317"/>
        </w:trPr>
        <w:tc>
          <w:tcPr>
            <w:cnfStyle w:val="001000000000" w:firstRow="0" w:lastRow="0" w:firstColumn="1" w:lastColumn="0" w:oddVBand="0" w:evenVBand="0" w:oddHBand="0" w:evenHBand="0" w:firstRowFirstColumn="0" w:firstRowLastColumn="0" w:lastRowFirstColumn="0" w:lastRowLastColumn="0"/>
            <w:tcW w:w="3729" w:type="dxa"/>
            <w:vAlign w:val="center"/>
          </w:tcPr>
          <w:p w14:paraId="1421C82B" w14:textId="77777777" w:rsidR="0018078F" w:rsidRPr="00CD63DC" w:rsidRDefault="00361F29">
            <w:pPr>
              <w:spacing w:before="40" w:after="40"/>
              <w:rPr>
                <w:b/>
              </w:rPr>
            </w:pPr>
            <w:r>
              <w:t xml:space="preserve">BEPS </w:t>
            </w:r>
          </w:p>
        </w:tc>
        <w:tc>
          <w:tcPr>
            <w:tcW w:w="5350" w:type="dxa"/>
            <w:vAlign w:val="center"/>
          </w:tcPr>
          <w:p w14:paraId="6F08DB55" w14:textId="77777777" w:rsidR="0018078F" w:rsidRPr="00CD63DC" w:rsidRDefault="00361F29">
            <w:pPr>
              <w:spacing w:before="40" w:after="40"/>
              <w:cnfStyle w:val="000000000000" w:firstRow="0" w:lastRow="0" w:firstColumn="0" w:lastColumn="0" w:oddVBand="0" w:evenVBand="0" w:oddHBand="0" w:evenHBand="0" w:firstRowFirstColumn="0" w:firstRowLastColumn="0" w:lastRowFirstColumn="0" w:lastRowLastColumn="0"/>
            </w:pPr>
            <w:r>
              <w:t>Base Erosion and Profit Shifting</w:t>
            </w:r>
          </w:p>
        </w:tc>
      </w:tr>
      <w:tr w:rsidR="0018078F" w:rsidRPr="00CD63DC" w14:paraId="4408A738" w14:textId="77777777" w:rsidTr="009E7F9D">
        <w:trPr>
          <w:trHeight w:val="317"/>
        </w:trPr>
        <w:tc>
          <w:tcPr>
            <w:cnfStyle w:val="001000000000" w:firstRow="0" w:lastRow="0" w:firstColumn="1" w:lastColumn="0" w:oddVBand="0" w:evenVBand="0" w:oddHBand="0" w:evenHBand="0" w:firstRowFirstColumn="0" w:firstRowLastColumn="0" w:lastRowFirstColumn="0" w:lastRowLastColumn="0"/>
            <w:tcW w:w="3729" w:type="dxa"/>
            <w:vAlign w:val="center"/>
          </w:tcPr>
          <w:p w14:paraId="5E12A1BA" w14:textId="77777777" w:rsidR="0018078F" w:rsidRPr="00CD63DC" w:rsidRDefault="00361F29">
            <w:pPr>
              <w:spacing w:before="40" w:after="40"/>
              <w:rPr>
                <w:b/>
              </w:rPr>
            </w:pPr>
            <w:r>
              <w:t>CITA</w:t>
            </w:r>
          </w:p>
        </w:tc>
        <w:tc>
          <w:tcPr>
            <w:tcW w:w="5350" w:type="dxa"/>
            <w:vAlign w:val="center"/>
          </w:tcPr>
          <w:p w14:paraId="0BD34B9E" w14:textId="77777777" w:rsidR="0018078F" w:rsidRPr="00CD63DC" w:rsidRDefault="00361F29">
            <w:pPr>
              <w:spacing w:before="40" w:after="40"/>
              <w:cnfStyle w:val="000000000000" w:firstRow="0" w:lastRow="0" w:firstColumn="0" w:lastColumn="0" w:oddVBand="0" w:evenVBand="0" w:oddHBand="0" w:evenHBand="0" w:firstRowFirstColumn="0" w:firstRowLastColumn="0" w:lastRowFirstColumn="0" w:lastRowLastColumn="0"/>
            </w:pPr>
            <w:r>
              <w:t>Dutch Corporate Income Tax Act 1969</w:t>
            </w:r>
          </w:p>
        </w:tc>
      </w:tr>
      <w:tr w:rsidR="0018078F" w:rsidRPr="00CD63DC" w14:paraId="70160ED8" w14:textId="77777777" w:rsidTr="009E7F9D">
        <w:trPr>
          <w:trHeight w:val="317"/>
        </w:trPr>
        <w:tc>
          <w:tcPr>
            <w:cnfStyle w:val="001000000000" w:firstRow="0" w:lastRow="0" w:firstColumn="1" w:lastColumn="0" w:oddVBand="0" w:evenVBand="0" w:oddHBand="0" w:evenHBand="0" w:firstRowFirstColumn="0" w:firstRowLastColumn="0" w:lastRowFirstColumn="0" w:lastRowLastColumn="0"/>
            <w:tcW w:w="3729" w:type="dxa"/>
            <w:vAlign w:val="center"/>
          </w:tcPr>
          <w:p w14:paraId="1B03D960" w14:textId="77777777" w:rsidR="0018078F" w:rsidRPr="00CD63DC" w:rsidRDefault="00361F29">
            <w:pPr>
              <w:spacing w:before="40" w:after="40"/>
              <w:rPr>
                <w:b/>
              </w:rPr>
            </w:pPr>
            <w:r>
              <w:t>EUR</w:t>
            </w:r>
          </w:p>
        </w:tc>
        <w:tc>
          <w:tcPr>
            <w:tcW w:w="5350" w:type="dxa"/>
            <w:vAlign w:val="center"/>
          </w:tcPr>
          <w:p w14:paraId="7DB6FD08" w14:textId="77777777" w:rsidR="0018078F" w:rsidRPr="00CD63DC" w:rsidRDefault="00361F29">
            <w:pPr>
              <w:spacing w:before="40" w:after="40"/>
              <w:cnfStyle w:val="000000000000" w:firstRow="0" w:lastRow="0" w:firstColumn="0" w:lastColumn="0" w:oddVBand="0" w:evenVBand="0" w:oddHBand="0" w:evenHBand="0" w:firstRowFirstColumn="0" w:firstRowLastColumn="0" w:lastRowFirstColumn="0" w:lastRowLastColumn="0"/>
            </w:pPr>
            <w:r>
              <w:t>Euro, the lawful currency of the Eurozone</w:t>
            </w:r>
          </w:p>
        </w:tc>
      </w:tr>
      <w:tr w:rsidR="0018078F" w:rsidRPr="00CD63DC" w14:paraId="5C71E7E8" w14:textId="77777777" w:rsidTr="009E7F9D">
        <w:trPr>
          <w:trHeight w:val="1485"/>
        </w:trPr>
        <w:tc>
          <w:tcPr>
            <w:cnfStyle w:val="001000000000" w:firstRow="0" w:lastRow="0" w:firstColumn="1" w:lastColumn="0" w:oddVBand="0" w:evenVBand="0" w:oddHBand="0" w:evenHBand="0" w:firstRowFirstColumn="0" w:firstRowLastColumn="0" w:lastRowFirstColumn="0" w:lastRowLastColumn="0"/>
            <w:tcW w:w="3729" w:type="dxa"/>
            <w:vAlign w:val="center"/>
          </w:tcPr>
          <w:p w14:paraId="194466E3" w14:textId="42B47ECF" w:rsidR="0018078F" w:rsidRPr="00CD63DC" w:rsidRDefault="00361F29">
            <w:pPr>
              <w:spacing w:before="40" w:after="40"/>
              <w:rPr>
                <w:bCs/>
              </w:rPr>
            </w:pPr>
            <w:proofErr w:type="spellStart"/>
            <w:proofErr w:type="spellEnd"/>
            <w:r>
              <w:t>FY2024</w:t>
            </w:r>
          </w:p>
        </w:tc>
        <w:tc>
          <w:tcPr>
            <w:tcW w:w="5350" w:type="dxa"/>
            <w:vAlign w:val="center"/>
          </w:tcPr>
          <w:p w14:paraId="702BD406" w14:textId="67C5FCA5" w:rsidR="0018078F" w:rsidRPr="00CD63DC" w:rsidRDefault="00361F29">
            <w:pPr>
              <w:spacing w:before="40" w:after="40"/>
              <w:cnfStyle w:val="000000000000" w:firstRow="0" w:lastRow="0" w:firstColumn="0" w:lastColumn="0" w:oddVBand="0" w:evenVBand="0" w:oddHBand="0" w:evenHBand="0" w:firstRowFirstColumn="0" w:firstRowLastColumn="0" w:lastRowFirstColumn="0" w:lastRowLastColumn="0"/>
              <w:rPr>
                <w:bCs/>
              </w:rPr>
            </w:pPr>
            <w:proofErr w:type="spellStart"/>
            <w:proofErr w:type="spellEnd"/>
            <w:r>
              <w:t>Financial year ended 31 December 2024</w:t>
            </w:r>
          </w:p>
        </w:tc>
      </w:tr>
      <w:tr w:rsidR="0018078F" w:rsidRPr="00CD63DC" w14:paraId="516C4C88" w14:textId="77777777" w:rsidTr="009E7F9D">
        <w:trPr>
          <w:trHeight w:val="317"/>
        </w:trPr>
        <w:tc>
          <w:tcPr>
            <w:cnfStyle w:val="001000000000" w:firstRow="0" w:lastRow="0" w:firstColumn="1" w:lastColumn="0" w:oddVBand="0" w:evenVBand="0" w:oddHBand="0" w:evenHBand="0" w:firstRowFirstColumn="0" w:firstRowLastColumn="0" w:lastRowFirstColumn="0" w:lastRowLastColumn="0"/>
            <w:tcW w:w="3729" w:type="dxa"/>
            <w:vAlign w:val="center"/>
          </w:tcPr>
          <w:p w14:paraId="47BEF3EF" w14:textId="68E17097" w:rsidR="0018078F" w:rsidRPr="00CD63DC" w:rsidRDefault="00361F29">
            <w:pPr>
              <w:spacing w:before="40" w:after="40"/>
              <w:rPr>
                <w:bCs/>
              </w:rPr>
            </w:pPr>
            <w:proofErr w:type="spellStart"/>
            <w:proofErr w:type="spellEnd"/>
            <w:r>
              <w:t>Group or SofarSolar Group</w:t>
            </w:r>
          </w:p>
        </w:tc>
        <w:tc>
          <w:tcPr>
            <w:tcW w:w="5350" w:type="dxa"/>
            <w:vAlign w:val="center"/>
          </w:tcPr>
          <w:p w14:paraId="03A0F890" w14:textId="64720EE4" w:rsidR="0018078F" w:rsidRPr="00CD63DC" w:rsidRDefault="005749F3">
            <w:pPr>
              <w:spacing w:before="40" w:after="40"/>
              <w:cnfStyle w:val="000000000000" w:firstRow="0" w:lastRow="0" w:firstColumn="0" w:lastColumn="0" w:oddVBand="0" w:evenVBand="0" w:oddHBand="0" w:evenHBand="0" w:firstRowFirstColumn="0" w:firstRowLastColumn="0" w:lastRowFirstColumn="0" w:lastRowLastColumn="0"/>
              <w:rPr>
                <w:bCs/>
              </w:rPr>
            </w:pPr>
            <w:proofErr w:type="spellStart"/>
            <w:proofErr w:type="spellEnd"/>
            <w:r>
              <w:t>SofarSolar Netherlands B.V. and its affiliates</w:t>
            </w:r>
          </w:p>
        </w:tc>
      </w:tr>
      <w:tr w:rsidR="0018078F" w:rsidRPr="00CD63DC" w14:paraId="47A0052B" w14:textId="77777777" w:rsidTr="009E7F9D">
        <w:trPr>
          <w:trHeight w:val="317"/>
        </w:trPr>
        <w:tc>
          <w:tcPr>
            <w:cnfStyle w:val="001000000000" w:firstRow="0" w:lastRow="0" w:firstColumn="1" w:lastColumn="0" w:oddVBand="0" w:evenVBand="0" w:oddHBand="0" w:evenHBand="0" w:firstRowFirstColumn="0" w:firstRowLastColumn="0" w:lastRowFirstColumn="0" w:lastRowLastColumn="0"/>
            <w:tcW w:w="3729" w:type="dxa"/>
            <w:vAlign w:val="center"/>
          </w:tcPr>
          <w:p w14:paraId="5B2092DB" w14:textId="77777777" w:rsidR="0018078F" w:rsidRPr="00CD63DC" w:rsidRDefault="00361F29">
            <w:pPr>
              <w:spacing w:before="40" w:after="40"/>
              <w:rPr>
                <w:b/>
              </w:rPr>
            </w:pPr>
            <w:r>
              <w:t>MNE(s)</w:t>
            </w:r>
          </w:p>
        </w:tc>
        <w:tc>
          <w:tcPr>
            <w:tcW w:w="5350" w:type="dxa"/>
            <w:vAlign w:val="center"/>
          </w:tcPr>
          <w:p w14:paraId="0BAEAFEE" w14:textId="77777777" w:rsidR="0018078F" w:rsidRPr="00CD63DC" w:rsidRDefault="00361F29">
            <w:pPr>
              <w:spacing w:before="40" w:after="40"/>
              <w:cnfStyle w:val="000000000000" w:firstRow="0" w:lastRow="0" w:firstColumn="0" w:lastColumn="0" w:oddVBand="0" w:evenVBand="0" w:oddHBand="0" w:evenHBand="0" w:firstRowFirstColumn="0" w:firstRowLastColumn="0" w:lastRowFirstColumn="0" w:lastRowLastColumn="0"/>
            </w:pPr>
            <w:r>
              <w:t>Multinational enterprises</w:t>
            </w:r>
          </w:p>
        </w:tc>
      </w:tr>
      <w:tr w:rsidR="0018078F" w:rsidRPr="00CD63DC" w14:paraId="00D5070A" w14:textId="77777777" w:rsidTr="009E7F9D">
        <w:trPr>
          <w:trHeight w:val="317"/>
        </w:trPr>
        <w:tc>
          <w:tcPr>
            <w:cnfStyle w:val="001000000000" w:firstRow="0" w:lastRow="0" w:firstColumn="1" w:lastColumn="0" w:oddVBand="0" w:evenVBand="0" w:oddHBand="0" w:evenHBand="0" w:firstRowFirstColumn="0" w:firstRowLastColumn="0" w:lastRowFirstColumn="0" w:lastRowLastColumn="0"/>
            <w:tcW w:w="3729" w:type="dxa"/>
            <w:vAlign w:val="center"/>
          </w:tcPr>
          <w:p w14:paraId="60F315F1" w14:textId="0B97AEE8" w:rsidR="0018078F" w:rsidRPr="00CD63DC" w:rsidRDefault="00625668">
            <w:pPr>
              <w:spacing w:before="40" w:after="40"/>
              <w:jc w:val="left"/>
              <w:rPr>
                <w:bCs/>
              </w:rPr>
            </w:pPr>
            <w:proofErr w:type="spellStart"/>
            <w:proofErr w:type="spellEnd"/>
            <w:r>
              <w:t xml:space="preserve">SofarSolar Netherlands B.V. </w:t>
            </w:r>
          </w:p>
        </w:tc>
        <w:tc>
          <w:tcPr>
            <w:tcW w:w="5350" w:type="dxa"/>
            <w:vAlign w:val="center"/>
          </w:tcPr>
          <w:p w14:paraId="689D97CA" w14:textId="70B38538" w:rsidR="0018078F" w:rsidRPr="00CD63DC" w:rsidRDefault="00232B60">
            <w:pPr>
              <w:spacing w:before="40" w:after="40"/>
              <w:cnfStyle w:val="000000000000" w:firstRow="0" w:lastRow="0" w:firstColumn="0" w:lastColumn="0" w:oddVBand="0" w:evenVBand="0" w:oddHBand="0" w:evenHBand="0" w:firstRowFirstColumn="0" w:firstRowLastColumn="0" w:lastRowFirstColumn="0" w:lastRowLastColumn="0"/>
              <w:rPr>
                <w:bCs/>
              </w:rPr>
            </w:pPr>
            <w:proofErr w:type="spellStart"/>
            <w:proofErr w:type="spellEnd"/>
            <w:r>
              <w:t xml:space="preserve">SofarSolar Netherlands B.V. </w:t>
            </w:r>
          </w:p>
        </w:tc>
      </w:tr>
      <w:tr w:rsidR="009E7F9D" w:rsidRPr="00CD63DC" w14:paraId="6453BBD3" w14:textId="77777777" w:rsidTr="009E7F9D">
        <w:trPr>
          <w:trHeight w:val="317"/>
        </w:trPr>
        <w:tc>
          <w:tcPr>
            <w:cnfStyle w:val="001000000000" w:firstRow="0" w:lastRow="0" w:firstColumn="1" w:lastColumn="0" w:oddVBand="0" w:evenVBand="0" w:oddHBand="0" w:evenHBand="0" w:firstRowFirstColumn="0" w:firstRowLastColumn="0" w:lastRowFirstColumn="0" w:lastRowLastColumn="0"/>
            <w:tcW w:w="3729" w:type="dxa"/>
            <w:vAlign w:val="center"/>
          </w:tcPr>
          <w:p w14:paraId="47E6BB21" w14:textId="62D552C8" w:rsidR="009E7F9D" w:rsidRPr="00CD63DC" w:rsidRDefault="009E7F9D" w:rsidP="009E7F9D">
            <w:pPr>
              <w:spacing w:before="40" w:after="40"/>
              <w:rPr>
                <w:bCs/>
                <w:iCs/>
                <w:szCs w:val="18"/>
              </w:rPr>
            </w:pPr>
            <w:proofErr w:type="spellStart"/>
            <w:proofErr w:type="spellEnd"/>
            <w:r>
              <w:t xml:space="preserve">Shenzhen SofarSolar Co. Ltd. </w:t>
            </w:r>
          </w:p>
        </w:tc>
        <w:tc>
          <w:tcPr>
            <w:tcW w:w="5350" w:type="dxa"/>
            <w:vAlign w:val="center"/>
          </w:tcPr>
          <w:p w14:paraId="79A5AFBC" w14:textId="1AC77B77" w:rsidR="009E7F9D" w:rsidRPr="00CD63DC" w:rsidRDefault="009E7F9D" w:rsidP="009E7F9D">
            <w:pPr>
              <w:spacing w:before="40" w:after="40"/>
              <w:cnfStyle w:val="000000000000" w:firstRow="0" w:lastRow="0" w:firstColumn="0" w:lastColumn="0" w:oddVBand="0" w:evenVBand="0" w:oddHBand="0" w:evenHBand="0" w:firstRowFirstColumn="0" w:firstRowLastColumn="0" w:lastRowFirstColumn="0" w:lastRowLastColumn="0"/>
              <w:rPr>
                <w:bCs/>
              </w:rPr>
            </w:pPr>
            <w:proofErr w:type="spellStart"/>
            <w:proofErr w:type="spellEnd"/>
            <w:r>
              <w:t>SofarSolar Ltd</w:t>
            </w:r>
          </w:p>
        </w:tc>
      </w:tr>
      <w:tr w:rsidR="0018078F" w:rsidRPr="00CD63DC" w14:paraId="4ADD7318" w14:textId="77777777" w:rsidTr="009E7F9D">
        <w:trPr>
          <w:trHeight w:val="317"/>
        </w:trPr>
        <w:tc>
          <w:tcPr>
            <w:cnfStyle w:val="001000000000" w:firstRow="0" w:lastRow="0" w:firstColumn="1" w:lastColumn="0" w:oddVBand="0" w:evenVBand="0" w:oddHBand="0" w:evenHBand="0" w:firstRowFirstColumn="0" w:firstRowLastColumn="0" w:lastRowFirstColumn="0" w:lastRowLastColumn="0"/>
            <w:tcW w:w="3729" w:type="dxa"/>
            <w:vAlign w:val="center"/>
          </w:tcPr>
          <w:p w14:paraId="7B5989A8" w14:textId="2B9D314C" w:rsidR="0018078F" w:rsidRPr="00CD63DC" w:rsidRDefault="00232B60">
            <w:pPr>
              <w:spacing w:before="40" w:after="40"/>
              <w:rPr>
                <w:bCs/>
                <w:iCs/>
                <w:szCs w:val="18"/>
              </w:rPr>
            </w:pPr>
            <w:proofErr w:type="spellStart"/>
            <w:proofErr w:type="spellEnd"/>
            <w:r>
              <w:t xml:space="preserve">Shenzhen SofarSolar Co. Ltd. </w:t>
            </w:r>
          </w:p>
        </w:tc>
        <w:tc>
          <w:tcPr>
            <w:tcW w:w="5350" w:type="dxa"/>
            <w:vAlign w:val="center"/>
          </w:tcPr>
          <w:p w14:paraId="3502E379" w14:textId="5F298BDB" w:rsidR="0018078F" w:rsidRPr="00CD63DC" w:rsidRDefault="00232B60">
            <w:pPr>
              <w:spacing w:before="40" w:after="40"/>
              <w:cnfStyle w:val="000000000000" w:firstRow="0" w:lastRow="0" w:firstColumn="0" w:lastColumn="0" w:oddVBand="0" w:evenVBand="0" w:oddHBand="0" w:evenHBand="0" w:firstRowFirstColumn="0" w:firstRowLastColumn="0" w:lastRowFirstColumn="0" w:lastRowLastColumn="0"/>
              <w:rPr>
                <w:bCs/>
              </w:rPr>
            </w:pPr>
            <w:proofErr w:type="spellStart"/>
            <w:proofErr w:type="spellEnd"/>
            <w:r>
              <w:t xml:space="preserve">SofarSolar Ltd </w:t>
            </w:r>
          </w:p>
        </w:tc>
      </w:tr>
      <w:tr w:rsidR="0018078F" w:rsidRPr="00CD63DC" w14:paraId="09851A66" w14:textId="77777777" w:rsidTr="009E7F9D">
        <w:trPr>
          <w:trHeight w:val="317"/>
        </w:trPr>
        <w:tc>
          <w:tcPr>
            <w:cnfStyle w:val="001000000000" w:firstRow="0" w:lastRow="0" w:firstColumn="1" w:lastColumn="0" w:oddVBand="0" w:evenVBand="0" w:oddHBand="0" w:evenHBand="0" w:firstRowFirstColumn="0" w:firstRowLastColumn="0" w:lastRowFirstColumn="0" w:lastRowLastColumn="0"/>
            <w:tcW w:w="3729" w:type="dxa"/>
            <w:vAlign w:val="center"/>
          </w:tcPr>
          <w:p w14:paraId="2C954D44" w14:textId="77777777" w:rsidR="0018078F" w:rsidRPr="00CD63DC" w:rsidRDefault="00361F29">
            <w:pPr>
              <w:spacing w:before="40" w:after="40"/>
              <w:rPr>
                <w:b/>
              </w:rPr>
            </w:pPr>
            <w:r>
              <w:t>OECD</w:t>
            </w:r>
          </w:p>
        </w:tc>
        <w:tc>
          <w:tcPr>
            <w:tcW w:w="5350" w:type="dxa"/>
            <w:vAlign w:val="center"/>
          </w:tcPr>
          <w:p w14:paraId="76C1F29B" w14:textId="77777777" w:rsidR="0018078F" w:rsidRPr="00CD63DC" w:rsidRDefault="00361F29">
            <w:pPr>
              <w:spacing w:before="40" w:after="40"/>
              <w:cnfStyle w:val="000000000000" w:firstRow="0" w:lastRow="0" w:firstColumn="0" w:lastColumn="0" w:oddVBand="0" w:evenVBand="0" w:oddHBand="0" w:evenHBand="0" w:firstRowFirstColumn="0" w:firstRowLastColumn="0" w:lastRowFirstColumn="0" w:lastRowLastColumn="0"/>
            </w:pPr>
            <w:r>
              <w:t>Organisation for Economic Co-operation and Development</w:t>
            </w:r>
          </w:p>
        </w:tc>
      </w:tr>
      <w:tr w:rsidR="0018078F" w:rsidRPr="00CD63DC" w14:paraId="0907FECA" w14:textId="77777777" w:rsidTr="009E7F9D">
        <w:trPr>
          <w:trHeight w:val="615"/>
        </w:trPr>
        <w:tc>
          <w:tcPr>
            <w:cnfStyle w:val="001000000000" w:firstRow="0" w:lastRow="0" w:firstColumn="1" w:lastColumn="0" w:oddVBand="0" w:evenVBand="0" w:oddHBand="0" w:evenHBand="0" w:firstRowFirstColumn="0" w:firstRowLastColumn="0" w:lastRowFirstColumn="0" w:lastRowLastColumn="0"/>
            <w:tcW w:w="3729" w:type="dxa"/>
            <w:vAlign w:val="center"/>
          </w:tcPr>
          <w:p w14:paraId="525278B8" w14:textId="77777777" w:rsidR="0018078F" w:rsidRPr="00CD63DC" w:rsidRDefault="00361F29">
            <w:pPr>
              <w:spacing w:before="40" w:after="40"/>
              <w:rPr>
                <w:b/>
              </w:rPr>
            </w:pPr>
            <w:r>
              <w:t>OECD Guidelines</w:t>
            </w:r>
          </w:p>
        </w:tc>
        <w:tc>
          <w:tcPr>
            <w:tcW w:w="5350" w:type="dxa"/>
            <w:vAlign w:val="center"/>
          </w:tcPr>
          <w:p w14:paraId="40EE177D" w14:textId="77777777" w:rsidR="0018078F" w:rsidRPr="00CD63DC" w:rsidRDefault="00361F29">
            <w:pPr>
              <w:spacing w:before="40" w:after="40"/>
              <w:cnfStyle w:val="000000000000" w:firstRow="0" w:lastRow="0" w:firstColumn="0" w:lastColumn="0" w:oddVBand="0" w:evenVBand="0" w:oddHBand="0" w:evenHBand="0" w:firstRowFirstColumn="0" w:firstRowLastColumn="0" w:lastRowFirstColumn="0" w:lastRowLastColumn="0"/>
            </w:pPr>
            <w:r>
              <w:t>Transfer Pricing Guidelines for Multinational Enterprises and Tax Administrations, OECD, January 2022</w:t>
            </w:r>
          </w:p>
        </w:tc>
      </w:tr>
      <w:tr w:rsidR="0018078F" w:rsidRPr="00CD63DC" w14:paraId="3B9BB430" w14:textId="77777777" w:rsidTr="009E7F9D">
        <w:trPr>
          <w:trHeight w:val="317"/>
        </w:trPr>
        <w:tc>
          <w:tcPr>
            <w:cnfStyle w:val="001000000000" w:firstRow="0" w:lastRow="0" w:firstColumn="1" w:lastColumn="0" w:oddVBand="0" w:evenVBand="0" w:oddHBand="0" w:evenHBand="0" w:firstRowFirstColumn="0" w:firstRowLastColumn="0" w:lastRowFirstColumn="0" w:lastRowLastColumn="0"/>
            <w:tcW w:w="3729" w:type="dxa"/>
            <w:vAlign w:val="center"/>
          </w:tcPr>
          <w:p w14:paraId="12C63FD6" w14:textId="77777777" w:rsidR="0018078F" w:rsidRPr="00CD63DC" w:rsidRDefault="00361F29">
            <w:pPr>
              <w:spacing w:before="40" w:after="40"/>
              <w:rPr>
                <w:b/>
              </w:rPr>
            </w:pPr>
            <w:r>
              <w:t>RSM or we</w:t>
            </w:r>
          </w:p>
        </w:tc>
        <w:tc>
          <w:tcPr>
            <w:tcW w:w="5350" w:type="dxa"/>
            <w:vAlign w:val="center"/>
          </w:tcPr>
          <w:p w14:paraId="5A8BADE9" w14:textId="77777777" w:rsidR="0018078F" w:rsidRPr="00CD63DC" w:rsidRDefault="00361F29">
            <w:pPr>
              <w:spacing w:before="40" w:after="40"/>
              <w:cnfStyle w:val="000000000000" w:firstRow="0" w:lastRow="0" w:firstColumn="0" w:lastColumn="0" w:oddVBand="0" w:evenVBand="0" w:oddHBand="0" w:evenHBand="0" w:firstRowFirstColumn="0" w:firstRowLastColumn="0" w:lastRowFirstColumn="0" w:lastRowLastColumn="0"/>
            </w:pPr>
            <w:r>
              <w:t>RSM</w:t>
            </w:r>
          </w:p>
        </w:tc>
      </w:tr>
      <w:tr w:rsidR="0018078F" w:rsidRPr="00CD63DC" w14:paraId="17C71C77" w14:textId="77777777" w:rsidTr="009E7F9D">
        <w:trPr>
          <w:trHeight w:val="317"/>
        </w:trPr>
        <w:tc>
          <w:tcPr>
            <w:cnfStyle w:val="001000000000" w:firstRow="0" w:lastRow="0" w:firstColumn="1" w:lastColumn="0" w:oddVBand="0" w:evenVBand="0" w:oddHBand="0" w:evenHBand="0" w:firstRowFirstColumn="0" w:firstRowLastColumn="0" w:lastRowFirstColumn="0" w:lastRowLastColumn="0"/>
            <w:tcW w:w="3729" w:type="dxa"/>
            <w:vAlign w:val="center"/>
          </w:tcPr>
          <w:p w14:paraId="5F5C6888" w14:textId="77777777" w:rsidR="0018078F" w:rsidRPr="00CD63DC" w:rsidRDefault="00361F29">
            <w:pPr>
              <w:spacing w:before="40" w:after="40"/>
              <w:rPr>
                <w:b/>
              </w:rPr>
            </w:pPr>
            <w:r>
              <w:t>TP</w:t>
            </w:r>
          </w:p>
        </w:tc>
        <w:tc>
          <w:tcPr>
            <w:tcW w:w="5350" w:type="dxa"/>
            <w:vAlign w:val="center"/>
          </w:tcPr>
          <w:p w14:paraId="7723141A" w14:textId="77777777" w:rsidR="0018078F" w:rsidRPr="00CD63DC" w:rsidRDefault="00361F29">
            <w:pPr>
              <w:spacing w:before="40" w:after="40"/>
              <w:cnfStyle w:val="000000000000" w:firstRow="0" w:lastRow="0" w:firstColumn="0" w:lastColumn="0" w:oddVBand="0" w:evenVBand="0" w:oddHBand="0" w:evenHBand="0" w:firstRowFirstColumn="0" w:firstRowLastColumn="0" w:lastRowFirstColumn="0" w:lastRowLastColumn="0"/>
            </w:pPr>
            <w:r>
              <w:t>Transfer pricing</w:t>
            </w:r>
          </w:p>
        </w:tc>
      </w:tr>
      <w:tr w:rsidR="0018078F" w:rsidRPr="00CD63DC" w14:paraId="0D57B655" w14:textId="77777777" w:rsidTr="009E7F9D">
        <w:trPr>
          <w:trHeight w:val="1587"/>
        </w:trPr>
        <w:tc>
          <w:tcPr>
            <w:cnfStyle w:val="001000000000" w:firstRow="0" w:lastRow="0" w:firstColumn="1" w:lastColumn="0" w:oddVBand="0" w:evenVBand="0" w:oddHBand="0" w:evenHBand="0" w:firstRowFirstColumn="0" w:firstRowLastColumn="0" w:lastRowFirstColumn="0" w:lastRowLastColumn="0"/>
            <w:tcW w:w="3729" w:type="dxa"/>
            <w:vAlign w:val="center"/>
          </w:tcPr>
          <w:p w14:paraId="4C9BADD0" w14:textId="77777777" w:rsidR="0018078F" w:rsidRPr="00CD63DC" w:rsidRDefault="00361F29">
            <w:pPr>
              <w:spacing w:before="40" w:after="40"/>
              <w:rPr>
                <w:b/>
              </w:rPr>
            </w:pPr>
            <w:r>
              <w:t>TP Method</w:t>
            </w:r>
          </w:p>
        </w:tc>
        <w:tc>
          <w:tcPr>
            <w:tcW w:w="5350" w:type="dxa"/>
            <w:vAlign w:val="center"/>
          </w:tcPr>
          <w:p w14:paraId="0B67E154" w14:textId="77777777" w:rsidR="0018078F" w:rsidRPr="00CD63DC" w:rsidRDefault="00361F29">
            <w:pPr>
              <w:pStyle w:val="TableBullet"/>
              <w:numPr>
                <w:ilvl w:val="0"/>
                <w:numId w:val="0"/>
              </w:numPr>
              <w:cnfStyle w:val="000000000000" w:firstRow="0" w:lastRow="0" w:firstColumn="0" w:lastColumn="0" w:oddVBand="0" w:evenVBand="0" w:oddHBand="0" w:evenHBand="0" w:firstRowFirstColumn="0" w:firstRowLastColumn="0" w:lastRowFirstColumn="0" w:lastRowLastColumn="0"/>
            </w:pPr>
            <w:r>
              <w:t>One of the transfer pricing methods listed below:</w:t>
            </w:r>
          </w:p>
          <w:p w14:paraId="2B3C020C" w14:textId="77777777" w:rsidR="0018078F" w:rsidRPr="00CD63DC" w:rsidRDefault="00361F29">
            <w:pPr>
              <w:pStyle w:val="TableBullet"/>
              <w:numPr>
                <w:ilvl w:val="0"/>
                <w:numId w:val="8"/>
              </w:numPr>
              <w:cnfStyle w:val="000000000000" w:firstRow="0" w:lastRow="0" w:firstColumn="0" w:lastColumn="0" w:oddVBand="0" w:evenVBand="0" w:oddHBand="0" w:evenHBand="0" w:firstRowFirstColumn="0" w:firstRowLastColumn="0" w:lastRowFirstColumn="0" w:lastRowLastColumn="0"/>
            </w:pPr>
            <w:proofErr w:type="gramStart"/>
            <w:proofErr w:type="gramEnd"/>
            <w:r>
              <w:t>Comparable uncontrolled price method (CUP method);</w:t>
            </w:r>
          </w:p>
          <w:p w14:paraId="3827587B" w14:textId="77777777" w:rsidR="0018078F" w:rsidRPr="00CD63DC" w:rsidRDefault="00361F29">
            <w:pPr>
              <w:pStyle w:val="TableBullet"/>
              <w:numPr>
                <w:ilvl w:val="0"/>
                <w:numId w:val="8"/>
              </w:numPr>
              <w:cnfStyle w:val="000000000000" w:firstRow="0" w:lastRow="0" w:firstColumn="0" w:lastColumn="0" w:oddVBand="0" w:evenVBand="0" w:oddHBand="0" w:evenHBand="0" w:firstRowFirstColumn="0" w:firstRowLastColumn="0" w:lastRowFirstColumn="0" w:lastRowLastColumn="0"/>
            </w:pPr>
            <w:proofErr w:type="gramStart"/>
            <w:proofErr w:type="gramEnd"/>
            <w:r>
              <w:t>Resale price method (RPM);</w:t>
            </w:r>
          </w:p>
          <w:p w14:paraId="587A4385" w14:textId="77777777" w:rsidR="0018078F" w:rsidRPr="00CD63DC" w:rsidRDefault="00361F29">
            <w:pPr>
              <w:pStyle w:val="TableBullet"/>
              <w:numPr>
                <w:ilvl w:val="0"/>
                <w:numId w:val="8"/>
              </w:numPr>
              <w:cnfStyle w:val="000000000000" w:firstRow="0" w:lastRow="0" w:firstColumn="0" w:lastColumn="0" w:oddVBand="0" w:evenVBand="0" w:oddHBand="0" w:evenHBand="0" w:firstRowFirstColumn="0" w:firstRowLastColumn="0" w:lastRowFirstColumn="0" w:lastRowLastColumn="0"/>
            </w:pPr>
            <w:proofErr w:type="gramStart"/>
            <w:proofErr w:type="gramEnd"/>
            <w:r>
              <w:t>Cost plus method (CP method);</w:t>
            </w:r>
          </w:p>
          <w:p w14:paraId="657D212D" w14:textId="77777777" w:rsidR="0018078F" w:rsidRPr="00CD63DC" w:rsidRDefault="00361F29">
            <w:pPr>
              <w:pStyle w:val="TableBullet"/>
              <w:numPr>
                <w:ilvl w:val="0"/>
                <w:numId w:val="8"/>
              </w:numPr>
              <w:cnfStyle w:val="000000000000" w:firstRow="0" w:lastRow="0" w:firstColumn="0" w:lastColumn="0" w:oddVBand="0" w:evenVBand="0" w:oddHBand="0" w:evenHBand="0" w:firstRowFirstColumn="0" w:firstRowLastColumn="0" w:lastRowFirstColumn="0" w:lastRowLastColumn="0"/>
            </w:pPr>
            <w:proofErr w:type="gramStart"/>
            <w:proofErr w:type="gramEnd"/>
            <w:r>
              <w:t>Transactional net margin method (TNMM);</w:t>
            </w:r>
          </w:p>
          <w:p w14:paraId="0C6EAFB7" w14:textId="77777777" w:rsidR="0018078F" w:rsidRPr="00CD63DC" w:rsidRDefault="00361F29">
            <w:pPr>
              <w:pStyle w:val="TableBullet"/>
              <w:numPr>
                <w:ilvl w:val="0"/>
                <w:numId w:val="8"/>
              </w:numPr>
              <w:cnfStyle w:val="000000000000" w:firstRow="0" w:lastRow="0" w:firstColumn="0" w:lastColumn="0" w:oddVBand="0" w:evenVBand="0" w:oddHBand="0" w:evenHBand="0" w:firstRowFirstColumn="0" w:firstRowLastColumn="0" w:lastRowFirstColumn="0" w:lastRowLastColumn="0"/>
            </w:pPr>
            <w:r>
              <w:t>Profit split method (PSM).</w:t>
            </w:r>
          </w:p>
        </w:tc>
      </w:tr>
      <w:tr w:rsidR="0018078F" w:rsidRPr="00CD63DC" w14:paraId="2D0C3BA9" w14:textId="77777777" w:rsidTr="009E7F9D">
        <w:trPr>
          <w:trHeight w:val="317"/>
        </w:trPr>
        <w:tc>
          <w:tcPr>
            <w:cnfStyle w:val="001000000000" w:firstRow="0" w:lastRow="0" w:firstColumn="1" w:lastColumn="0" w:oddVBand="0" w:evenVBand="0" w:oddHBand="0" w:evenHBand="0" w:firstRowFirstColumn="0" w:firstRowLastColumn="0" w:lastRowFirstColumn="0" w:lastRowLastColumn="0"/>
            <w:tcW w:w="3729" w:type="dxa"/>
            <w:vAlign w:val="center"/>
          </w:tcPr>
          <w:p w14:paraId="78FA8CDA" w14:textId="77777777" w:rsidR="0018078F" w:rsidRPr="00CD63DC" w:rsidRDefault="00361F29">
            <w:pPr>
              <w:spacing w:before="40" w:after="40"/>
              <w:rPr>
                <w:b/>
              </w:rPr>
            </w:pPr>
            <w:r>
              <w:t>USD</w:t>
            </w:r>
          </w:p>
        </w:tc>
        <w:tc>
          <w:tcPr>
            <w:tcW w:w="5350" w:type="dxa"/>
            <w:vAlign w:val="center"/>
          </w:tcPr>
          <w:p w14:paraId="3EFA8D51" w14:textId="77777777" w:rsidR="0018078F" w:rsidRPr="00CD63DC" w:rsidRDefault="00361F29">
            <w:pPr>
              <w:spacing w:before="40" w:after="40"/>
              <w:cnfStyle w:val="000000000000" w:firstRow="0" w:lastRow="0" w:firstColumn="0" w:lastColumn="0" w:oddVBand="0" w:evenVBand="0" w:oddHBand="0" w:evenHBand="0" w:firstRowFirstColumn="0" w:firstRowLastColumn="0" w:lastRowFirstColumn="0" w:lastRowLastColumn="0"/>
            </w:pPr>
            <w:r>
              <w:t>US Dollars, the lawful currency of the United States of America</w:t>
            </w:r>
          </w:p>
        </w:tc>
      </w:tr>
    </w:tbl>
    <w:p w14:paraId="49599710" w14:textId="77777777" w:rsidR="0018078F" w:rsidRPr="00CD63DC" w:rsidRDefault="00361F29">
      <w:r/>
    </w:p>
    <w:bookmarkEnd w:id="1" w:displacedByCustomXml="next"/>
    <w:bookmarkStart w:id="2" w:name="_Toc203039377" w:displacedByCustomXml="next"/>
    <w:bookmarkStart w:id="3" w:name="_Toc445320049" w:displacedByCustomXml="next"/>
    <w:sdt>
      <w:sdtPr>
        <w:rPr>
          <w:rFonts w:eastAsiaTheme="minorEastAsia" w:cs="Arial"/>
          <w:bCs w:val="0"/>
          <w:color w:val="3F9C35"/>
          <w:sz w:val="20"/>
          <w:szCs w:val="20"/>
          <w14:textFill>
            <w14:solidFill>
              <w14:srgbClr w14:val="3F9C35">
                <w14:lumMod w14:val="50000"/>
                <w14:lumOff w14:val="50000"/>
              </w14:srgbClr>
            </w14:solidFill>
          </w14:textFill>
        </w:rPr>
        <w:id w:val="315222742"/>
        <w:docPartObj>
          <w:docPartGallery w:val="Table of Contents"/>
          <w:docPartUnique/>
        </w:docPartObj>
      </w:sdtPr>
      <w:sdtEndPr>
        <w:rPr>
          <w:b/>
          <w:bCs/>
          <w:color w:val="000000" w:themeColor="text1"/>
          <w14:textFill>
            <w14:solidFill>
              <w14:schemeClr w14:val="tx1">
                <w14:lumMod w14:val="50000"/>
                <w14:lumOff w14:val="50000"/>
                <w14:lumMod w14:val="50000"/>
                <w14:lumOff w14:val="50000"/>
              </w14:schemeClr>
            </w14:solidFill>
          </w14:textFill>
        </w:rPr>
      </w:sdtEndPr>
      <w:sdtContent>
        <w:p w14:paraId="0D052465" w14:textId="77777777" w:rsidR="0018078F" w:rsidRPr="00CD63DC" w:rsidRDefault="00361F29">
          <w:pPr>
            <w:pStyle w:val="Heading1"/>
            <w:pageBreakBefore w:val="0"/>
            <w:widowControl/>
            <w:tabs>
              <w:tab w:val="center" w:pos="4542"/>
            </w:tabs>
            <w:rPr>
              <w:rFonts w:cs="Arial"/>
              <w:color w:val="3F9C35"/>
              <w14:textFill>
                <w14:solidFill>
                  <w14:srgbClr w14:val="3F9C35">
                    <w14:lumMod w14:val="50000"/>
                    <w14:lumOff w14:val="50000"/>
                  </w14:srgbClr>
                </w14:solidFill>
              </w14:textFill>
            </w:rPr>
          </w:pPr>
          <w:r w:rsidRPr="00CD63DC">
            <w:rPr>
              <w:rFonts w:cs="Arial"/>
              <w:color w:val="3F9C35"/>
              <w14:textFill>
                <w14:solidFill>
                  <w14:srgbClr w14:val="3F9C35">
                    <w14:lumMod w14:val="50000"/>
                    <w14:lumOff w14:val="50000"/>
                  </w14:srgbClr>
                </w14:solidFill>
              </w14:textFill>
            </w:rPr>
            <w:t>Table of Contents</w:t>
          </w:r>
          <w:bookmarkEnd w:id="2"/>
          <w:r w:rsidRPr="00CD63DC">
            <w:rPr>
              <w:rFonts w:cs="Arial"/>
              <w:color w:val="3F9C35"/>
              <w14:textFill>
                <w14:solidFill>
                  <w14:srgbClr w14:val="3F9C35">
                    <w14:lumMod w14:val="50000"/>
                    <w14:lumOff w14:val="50000"/>
                  </w14:srgbClr>
                </w14:solidFill>
              </w14:textFill>
            </w:rPr>
            <w:tab/>
          </w:r>
        </w:p>
        <w:p w14:paraId="11DA8CCD" w14:textId="2AF8C782" w:rsidR="00110008" w:rsidRPr="00CD63DC" w:rsidRDefault="00361F29">
          <w:pPr>
            <w:pStyle w:val="TOC1"/>
            <w:rPr>
              <w:rFonts w:asciiTheme="minorHAnsi" w:eastAsiaTheme="minorEastAsia" w:hAnsiTheme="minorHAnsi" w:cstheme="minorBidi"/>
              <w:b w:val="0"/>
              <w:noProof/>
              <w:color w:val="auto"/>
              <w:kern w:val="2"/>
              <w:sz w:val="24"/>
              <w:szCs w:val="24"/>
              <w:lang w:val="en-US"/>
              <w14:ligatures w14:val="standardContextual"/>
            </w:rPr>
          </w:pPr>
          <w:r w:rsidRPr="00CD63DC">
            <w:rPr>
              <w:b w:val="0"/>
            </w:rPr>
            <w:fldChar w:fldCharType="begin"/>
          </w:r>
          <w:r w:rsidRPr="00CD63DC">
            <w:rPr>
              <w:b w:val="0"/>
            </w:rPr>
            <w:instrText xml:space="preserve"> TOC \o "1-2" \h \z \u </w:instrText>
          </w:r>
          <w:r w:rsidRPr="00CD63DC">
            <w:rPr>
              <w:b w:val="0"/>
            </w:rPr>
            <w:fldChar w:fldCharType="separate"/>
          </w:r>
          <w:hyperlink w:anchor="_Toc203039376" w:history="1">
            <w:r w:rsidR="00110008" w:rsidRPr="00CD63DC">
              <w:rPr>
                <w:rStyle w:val="Hyperlink"/>
                <w:noProof/>
              </w:rPr>
              <w:t>Glossary</w:t>
            </w:r>
            <w:r w:rsidR="00110008" w:rsidRPr="00CD63DC">
              <w:rPr>
                <w:noProof/>
                <w:webHidden/>
              </w:rPr>
              <w:tab/>
            </w:r>
            <w:r w:rsidR="00110008" w:rsidRPr="00CD63DC">
              <w:rPr>
                <w:noProof/>
                <w:webHidden/>
              </w:rPr>
              <w:fldChar w:fldCharType="begin"/>
            </w:r>
            <w:r w:rsidR="00110008" w:rsidRPr="00CD63DC">
              <w:rPr>
                <w:noProof/>
                <w:webHidden/>
              </w:rPr>
              <w:instrText xml:space="preserve"> PAGEREF _Toc203039376 \h </w:instrText>
            </w:r>
            <w:r w:rsidR="00110008" w:rsidRPr="00CD63DC">
              <w:rPr>
                <w:noProof/>
                <w:webHidden/>
              </w:rPr>
            </w:r>
            <w:r w:rsidR="00110008" w:rsidRPr="00CD63DC">
              <w:rPr>
                <w:noProof/>
                <w:webHidden/>
              </w:rPr>
              <w:fldChar w:fldCharType="separate"/>
            </w:r>
            <w:r w:rsidR="00110008" w:rsidRPr="00CD63DC">
              <w:rPr>
                <w:noProof/>
                <w:webHidden/>
              </w:rPr>
              <w:t>2</w:t>
            </w:r>
            <w:r w:rsidR="00110008" w:rsidRPr="00CD63DC">
              <w:rPr>
                <w:noProof/>
                <w:webHidden/>
              </w:rPr>
              <w:fldChar w:fldCharType="end"/>
            </w:r>
          </w:hyperlink>
        </w:p>
        <w:p w14:paraId="08585EF5" w14:textId="20E29DEC" w:rsidR="00110008" w:rsidRPr="00CD63DC" w:rsidRDefault="00110008">
          <w:pPr>
            <w:pStyle w:val="TOC1"/>
            <w:rPr>
              <w:rFonts w:asciiTheme="minorHAnsi" w:eastAsiaTheme="minorEastAsia" w:hAnsiTheme="minorHAnsi" w:cstheme="minorBidi"/>
              <w:b w:val="0"/>
              <w:noProof/>
              <w:color w:val="auto"/>
              <w:kern w:val="2"/>
              <w:sz w:val="24"/>
              <w:szCs w:val="24"/>
              <w:lang w:val="en-US"/>
              <w14:ligatures w14:val="standardContextual"/>
            </w:rPr>
          </w:pPr>
          <w:hyperlink w:anchor="_Toc203039377" w:history="1">
            <w:r w:rsidRPr="00CD63DC">
              <w:rPr>
                <w:rStyle w:val="Hyperlink"/>
                <w:noProof/>
              </w:rPr>
              <w:t>Table of Contents</w:t>
            </w:r>
            <w:r w:rsidRPr="00CD63DC">
              <w:rPr>
                <w:noProof/>
                <w:webHidden/>
              </w:rPr>
              <w:tab/>
            </w:r>
            <w:r w:rsidRPr="00CD63DC">
              <w:rPr>
                <w:noProof/>
                <w:webHidden/>
              </w:rPr>
              <w:fldChar w:fldCharType="begin"/>
            </w:r>
            <w:r w:rsidRPr="00CD63DC">
              <w:rPr>
                <w:noProof/>
                <w:webHidden/>
              </w:rPr>
              <w:instrText xml:space="preserve"> PAGEREF _Toc203039377 \h </w:instrText>
            </w:r>
            <w:r w:rsidRPr="00CD63DC">
              <w:rPr>
                <w:noProof/>
                <w:webHidden/>
              </w:rPr>
            </w:r>
            <w:r w:rsidRPr="00CD63DC">
              <w:rPr>
                <w:noProof/>
                <w:webHidden/>
              </w:rPr>
              <w:fldChar w:fldCharType="separate"/>
            </w:r>
            <w:r w:rsidRPr="00CD63DC">
              <w:rPr>
                <w:noProof/>
                <w:webHidden/>
              </w:rPr>
              <w:t>3</w:t>
            </w:r>
            <w:r w:rsidRPr="00CD63DC">
              <w:rPr>
                <w:noProof/>
                <w:webHidden/>
              </w:rPr>
              <w:fldChar w:fldCharType="end"/>
            </w:r>
          </w:hyperlink>
        </w:p>
        <w:p w14:paraId="413F7F3F" w14:textId="6484F1A5" w:rsidR="00110008" w:rsidRPr="00CD63DC" w:rsidRDefault="00110008">
          <w:pPr>
            <w:pStyle w:val="TOC1"/>
            <w:tabs>
              <w:tab w:val="left" w:pos="567"/>
            </w:tabs>
            <w:rPr>
              <w:rFonts w:asciiTheme="minorHAnsi" w:eastAsiaTheme="minorEastAsia" w:hAnsiTheme="minorHAnsi" w:cstheme="minorBidi"/>
              <w:b w:val="0"/>
              <w:noProof/>
              <w:color w:val="auto"/>
              <w:kern w:val="2"/>
              <w:sz w:val="24"/>
              <w:szCs w:val="24"/>
              <w:lang w:val="en-US"/>
              <w14:ligatures w14:val="standardContextual"/>
            </w:rPr>
          </w:pPr>
          <w:hyperlink w:anchor="_Toc203039378" w:history="1">
            <w:r w:rsidRPr="00CD63DC">
              <w:rPr>
                <w:rStyle w:val="Hyperlink"/>
                <w:noProof/>
                <w:lang w:val="en-US"/>
                <w14:scene3d>
                  <w14:camera w14:prst="orthographicFront"/>
                  <w14:lightRig w14:rig="threePt" w14:dir="t">
                    <w14:rot w14:lat="0" w14:lon="0" w14:rev="0"/>
                  </w14:lightRig>
                </w14:scene3d>
              </w:rPr>
              <w:t>1.</w:t>
            </w:r>
            <w:r w:rsidRPr="00CD63DC">
              <w:rPr>
                <w:rFonts w:asciiTheme="minorHAnsi" w:eastAsiaTheme="minorEastAsia" w:hAnsiTheme="minorHAnsi" w:cstheme="minorBidi"/>
                <w:b w:val="0"/>
                <w:noProof/>
                <w:color w:val="auto"/>
                <w:kern w:val="2"/>
                <w:sz w:val="24"/>
                <w:szCs w:val="24"/>
                <w:lang w:val="en-US"/>
                <w14:ligatures w14:val="standardContextual"/>
              </w:rPr>
              <w:tab/>
            </w:r>
            <w:r w:rsidRPr="00CD63DC">
              <w:rPr>
                <w:rStyle w:val="Hyperlink"/>
                <w:noProof/>
                <w:lang w:val="en-US"/>
                <w14:scene3d>
                  <w14:camera w14:prst="orthographicFront"/>
                  <w14:lightRig w14:rig="threePt" w14:dir="t">
                    <w14:rot w14:lat="0" w14:lon="0" w14:rev="0"/>
                  </w14:lightRig>
                </w14:scene3d>
              </w:rPr>
              <w:t>Executive Summary</w:t>
            </w:r>
            <w:r w:rsidRPr="00CD63DC">
              <w:rPr>
                <w:noProof/>
                <w:webHidden/>
              </w:rPr>
              <w:tab/>
            </w:r>
            <w:r w:rsidRPr="00CD63DC">
              <w:rPr>
                <w:noProof/>
                <w:webHidden/>
              </w:rPr>
              <w:fldChar w:fldCharType="begin"/>
            </w:r>
            <w:r w:rsidRPr="00CD63DC">
              <w:rPr>
                <w:noProof/>
                <w:webHidden/>
              </w:rPr>
              <w:instrText xml:space="preserve"> PAGEREF _Toc203039378 \h </w:instrText>
            </w:r>
            <w:r w:rsidRPr="00CD63DC">
              <w:rPr>
                <w:noProof/>
                <w:webHidden/>
              </w:rPr>
            </w:r>
            <w:r w:rsidRPr="00CD63DC">
              <w:rPr>
                <w:noProof/>
                <w:webHidden/>
              </w:rPr>
              <w:fldChar w:fldCharType="separate"/>
            </w:r>
            <w:r w:rsidRPr="00CD63DC">
              <w:rPr>
                <w:noProof/>
                <w:webHidden/>
              </w:rPr>
              <w:t>5</w:t>
            </w:r>
            <w:r w:rsidRPr="00CD63DC">
              <w:rPr>
                <w:noProof/>
                <w:webHidden/>
              </w:rPr>
              <w:fldChar w:fldCharType="end"/>
            </w:r>
          </w:hyperlink>
        </w:p>
        <w:p w14:paraId="3C016E1A" w14:textId="6F3BCFF1"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379" w:history="1">
            <w:r w:rsidRPr="00CD63DC">
              <w:rPr>
                <w:rStyle w:val="Hyperlink"/>
                <w:noProof/>
                <w14:scene3d>
                  <w14:camera w14:prst="orthographicFront"/>
                  <w14:lightRig w14:rig="threePt" w14:dir="t">
                    <w14:rot w14:lat="0" w14:lon="0" w14:rev="0"/>
                  </w14:lightRig>
                </w14:scene3d>
              </w:rPr>
              <w:t>1.1.</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Introduction</w:t>
            </w:r>
            <w:r w:rsidRPr="00CD63DC">
              <w:rPr>
                <w:noProof/>
                <w:webHidden/>
              </w:rPr>
              <w:tab/>
            </w:r>
            <w:r w:rsidRPr="00CD63DC">
              <w:rPr>
                <w:noProof/>
                <w:webHidden/>
              </w:rPr>
              <w:fldChar w:fldCharType="begin"/>
            </w:r>
            <w:r w:rsidRPr="00CD63DC">
              <w:rPr>
                <w:noProof/>
                <w:webHidden/>
              </w:rPr>
              <w:instrText xml:space="preserve"> PAGEREF _Toc203039379 \h </w:instrText>
            </w:r>
            <w:r w:rsidRPr="00CD63DC">
              <w:rPr>
                <w:noProof/>
                <w:webHidden/>
              </w:rPr>
            </w:r>
            <w:r w:rsidRPr="00CD63DC">
              <w:rPr>
                <w:noProof/>
                <w:webHidden/>
              </w:rPr>
              <w:fldChar w:fldCharType="separate"/>
            </w:r>
            <w:r w:rsidRPr="00CD63DC">
              <w:rPr>
                <w:noProof/>
                <w:webHidden/>
              </w:rPr>
              <w:t>5</w:t>
            </w:r>
            <w:r w:rsidRPr="00CD63DC">
              <w:rPr>
                <w:noProof/>
                <w:webHidden/>
              </w:rPr>
              <w:fldChar w:fldCharType="end"/>
            </w:r>
          </w:hyperlink>
        </w:p>
        <w:p w14:paraId="1DE9A999" w14:textId="358508F2"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380" w:history="1">
            <w:r w:rsidRPr="00CD63DC">
              <w:rPr>
                <w:rStyle w:val="Hyperlink"/>
                <w:noProof/>
                <w14:scene3d>
                  <w14:camera w14:prst="orthographicFront"/>
                  <w14:lightRig w14:rig="threePt" w14:dir="t">
                    <w14:rot w14:lat="0" w14:lon="0" w14:rev="0"/>
                  </w14:lightRig>
                </w14:scene3d>
              </w:rPr>
              <w:t>1.2.</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Conclusions</w:t>
            </w:r>
            <w:r w:rsidRPr="00CD63DC">
              <w:rPr>
                <w:noProof/>
                <w:webHidden/>
              </w:rPr>
              <w:tab/>
            </w:r>
            <w:r w:rsidRPr="00CD63DC">
              <w:rPr>
                <w:noProof/>
                <w:webHidden/>
              </w:rPr>
              <w:fldChar w:fldCharType="begin"/>
            </w:r>
            <w:r w:rsidRPr="00CD63DC">
              <w:rPr>
                <w:noProof/>
                <w:webHidden/>
              </w:rPr>
              <w:instrText xml:space="preserve"> PAGEREF _Toc203039380 \h </w:instrText>
            </w:r>
            <w:r w:rsidRPr="00CD63DC">
              <w:rPr>
                <w:noProof/>
                <w:webHidden/>
              </w:rPr>
            </w:r>
            <w:r w:rsidRPr="00CD63DC">
              <w:rPr>
                <w:noProof/>
                <w:webHidden/>
              </w:rPr>
              <w:fldChar w:fldCharType="separate"/>
            </w:r>
            <w:r w:rsidRPr="00CD63DC">
              <w:rPr>
                <w:noProof/>
                <w:webHidden/>
              </w:rPr>
              <w:t>5</w:t>
            </w:r>
            <w:r w:rsidRPr="00CD63DC">
              <w:rPr>
                <w:noProof/>
                <w:webHidden/>
              </w:rPr>
              <w:fldChar w:fldCharType="end"/>
            </w:r>
          </w:hyperlink>
        </w:p>
        <w:p w14:paraId="281C175E" w14:textId="7B2BE8F6" w:rsidR="00110008" w:rsidRPr="00CD63DC" w:rsidRDefault="00110008">
          <w:pPr>
            <w:pStyle w:val="TOC1"/>
            <w:tabs>
              <w:tab w:val="left" w:pos="567"/>
            </w:tabs>
            <w:rPr>
              <w:rFonts w:asciiTheme="minorHAnsi" w:eastAsiaTheme="minorEastAsia" w:hAnsiTheme="minorHAnsi" w:cstheme="minorBidi"/>
              <w:b w:val="0"/>
              <w:noProof/>
              <w:color w:val="auto"/>
              <w:kern w:val="2"/>
              <w:sz w:val="24"/>
              <w:szCs w:val="24"/>
              <w:lang w:val="en-US"/>
              <w14:ligatures w14:val="standardContextual"/>
            </w:rPr>
          </w:pPr>
          <w:hyperlink w:anchor="_Toc203039381" w:history="1">
            <w:r w:rsidRPr="00CD63DC">
              <w:rPr>
                <w:rStyle w:val="Hyperlink"/>
                <w:noProof/>
                <w:lang w:val="en-US"/>
                <w14:scene3d>
                  <w14:camera w14:prst="orthographicFront"/>
                  <w14:lightRig w14:rig="threePt" w14:dir="t">
                    <w14:rot w14:lat="0" w14:lon="0" w14:rev="0"/>
                  </w14:lightRig>
                </w14:scene3d>
              </w:rPr>
              <w:t>2.</w:t>
            </w:r>
            <w:r w:rsidRPr="00CD63DC">
              <w:rPr>
                <w:rFonts w:asciiTheme="minorHAnsi" w:eastAsiaTheme="minorEastAsia" w:hAnsiTheme="minorHAnsi" w:cstheme="minorBidi"/>
                <w:b w:val="0"/>
                <w:noProof/>
                <w:color w:val="auto"/>
                <w:kern w:val="2"/>
                <w:sz w:val="24"/>
                <w:szCs w:val="24"/>
                <w:lang w:val="en-US"/>
                <w14:ligatures w14:val="standardContextual"/>
              </w:rPr>
              <w:tab/>
            </w:r>
            <w:r w:rsidRPr="00CD63DC">
              <w:rPr>
                <w:rStyle w:val="Hyperlink"/>
                <w:noProof/>
                <w:lang w:val="en-US"/>
                <w14:scene3d>
                  <w14:camera w14:prst="orthographicFront"/>
                  <w14:lightRig w14:rig="threePt" w14:dir="t">
                    <w14:rot w14:lat="0" w14:lon="0" w14:rev="0"/>
                  </w14:lightRig>
                </w14:scene3d>
              </w:rPr>
              <w:t>Introduction</w:t>
            </w:r>
            <w:r w:rsidRPr="00CD63DC">
              <w:rPr>
                <w:noProof/>
                <w:webHidden/>
              </w:rPr>
              <w:tab/>
            </w:r>
            <w:r w:rsidRPr="00CD63DC">
              <w:rPr>
                <w:noProof/>
                <w:webHidden/>
              </w:rPr>
              <w:fldChar w:fldCharType="begin"/>
            </w:r>
            <w:r w:rsidRPr="00CD63DC">
              <w:rPr>
                <w:noProof/>
                <w:webHidden/>
              </w:rPr>
              <w:instrText xml:space="preserve"> PAGEREF _Toc203039381 \h </w:instrText>
            </w:r>
            <w:r w:rsidRPr="00CD63DC">
              <w:rPr>
                <w:noProof/>
                <w:webHidden/>
              </w:rPr>
            </w:r>
            <w:r w:rsidRPr="00CD63DC">
              <w:rPr>
                <w:noProof/>
                <w:webHidden/>
              </w:rPr>
              <w:fldChar w:fldCharType="separate"/>
            </w:r>
            <w:r w:rsidRPr="00CD63DC">
              <w:rPr>
                <w:noProof/>
                <w:webHidden/>
              </w:rPr>
              <w:t>7</w:t>
            </w:r>
            <w:r w:rsidRPr="00CD63DC">
              <w:rPr>
                <w:noProof/>
                <w:webHidden/>
              </w:rPr>
              <w:fldChar w:fldCharType="end"/>
            </w:r>
          </w:hyperlink>
        </w:p>
        <w:p w14:paraId="58B9413F" w14:textId="1BB239A6"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382" w:history="1">
            <w:r w:rsidRPr="00CD63DC">
              <w:rPr>
                <w:rStyle w:val="Hyperlink"/>
                <w:noProof/>
                <w14:scene3d>
                  <w14:camera w14:prst="orthographicFront"/>
                  <w14:lightRig w14:rig="threePt" w14:dir="t">
                    <w14:rot w14:lat="0" w14:lon="0" w14:rev="0"/>
                  </w14:lightRig>
                </w14:scene3d>
              </w:rPr>
              <w:t>2.1.</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TP Documentation requirements</w:t>
            </w:r>
            <w:r w:rsidRPr="00CD63DC">
              <w:rPr>
                <w:noProof/>
                <w:webHidden/>
              </w:rPr>
              <w:tab/>
            </w:r>
            <w:r w:rsidRPr="00CD63DC">
              <w:rPr>
                <w:noProof/>
                <w:webHidden/>
              </w:rPr>
              <w:fldChar w:fldCharType="begin"/>
            </w:r>
            <w:r w:rsidRPr="00CD63DC">
              <w:rPr>
                <w:noProof/>
                <w:webHidden/>
              </w:rPr>
              <w:instrText xml:space="preserve"> PAGEREF _Toc203039382 \h </w:instrText>
            </w:r>
            <w:r w:rsidRPr="00CD63DC">
              <w:rPr>
                <w:noProof/>
                <w:webHidden/>
              </w:rPr>
            </w:r>
            <w:r w:rsidRPr="00CD63DC">
              <w:rPr>
                <w:noProof/>
                <w:webHidden/>
              </w:rPr>
              <w:fldChar w:fldCharType="separate"/>
            </w:r>
            <w:r w:rsidRPr="00CD63DC">
              <w:rPr>
                <w:noProof/>
                <w:webHidden/>
              </w:rPr>
              <w:t>7</w:t>
            </w:r>
            <w:r w:rsidRPr="00CD63DC">
              <w:rPr>
                <w:noProof/>
                <w:webHidden/>
              </w:rPr>
              <w:fldChar w:fldCharType="end"/>
            </w:r>
          </w:hyperlink>
        </w:p>
        <w:p w14:paraId="5608EE65" w14:textId="64E09B40"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383" w:history="1">
            <w:r w:rsidRPr="00CD63DC">
              <w:rPr>
                <w:rStyle w:val="Hyperlink"/>
                <w:noProof/>
                <w14:scene3d>
                  <w14:camera w14:prst="orthographicFront"/>
                  <w14:lightRig w14:rig="threePt" w14:dir="t">
                    <w14:rot w14:lat="0" w14:lon="0" w14:rev="0"/>
                  </w14:lightRig>
                </w14:scene3d>
              </w:rPr>
              <w:t>2.2.</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Purpose of this Local File</w:t>
            </w:r>
            <w:r w:rsidRPr="00CD63DC">
              <w:rPr>
                <w:noProof/>
                <w:webHidden/>
              </w:rPr>
              <w:tab/>
            </w:r>
            <w:r w:rsidRPr="00CD63DC">
              <w:rPr>
                <w:noProof/>
                <w:webHidden/>
              </w:rPr>
              <w:fldChar w:fldCharType="begin"/>
            </w:r>
            <w:r w:rsidRPr="00CD63DC">
              <w:rPr>
                <w:noProof/>
                <w:webHidden/>
              </w:rPr>
              <w:instrText xml:space="preserve"> PAGEREF _Toc203039383 \h </w:instrText>
            </w:r>
            <w:r w:rsidRPr="00CD63DC">
              <w:rPr>
                <w:noProof/>
                <w:webHidden/>
              </w:rPr>
            </w:r>
            <w:r w:rsidRPr="00CD63DC">
              <w:rPr>
                <w:noProof/>
                <w:webHidden/>
              </w:rPr>
              <w:fldChar w:fldCharType="separate"/>
            </w:r>
            <w:r w:rsidRPr="00CD63DC">
              <w:rPr>
                <w:noProof/>
                <w:webHidden/>
              </w:rPr>
              <w:t>7</w:t>
            </w:r>
            <w:r w:rsidRPr="00CD63DC">
              <w:rPr>
                <w:noProof/>
                <w:webHidden/>
              </w:rPr>
              <w:fldChar w:fldCharType="end"/>
            </w:r>
          </w:hyperlink>
        </w:p>
        <w:p w14:paraId="2FAE70BC" w14:textId="75134983"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384" w:history="1">
            <w:r w:rsidRPr="00CD63DC">
              <w:rPr>
                <w:rStyle w:val="Hyperlink"/>
                <w:noProof/>
                <w14:scene3d>
                  <w14:camera w14:prst="orthographicFront"/>
                  <w14:lightRig w14:rig="threePt" w14:dir="t">
                    <w14:rot w14:lat="0" w14:lon="0" w14:rev="0"/>
                  </w14:lightRig>
                </w14:scene3d>
              </w:rPr>
              <w:t>2.3.</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Limitations</w:t>
            </w:r>
            <w:r w:rsidRPr="00CD63DC">
              <w:rPr>
                <w:noProof/>
                <w:webHidden/>
              </w:rPr>
              <w:tab/>
            </w:r>
            <w:r w:rsidRPr="00CD63DC">
              <w:rPr>
                <w:noProof/>
                <w:webHidden/>
              </w:rPr>
              <w:fldChar w:fldCharType="begin"/>
            </w:r>
            <w:r w:rsidRPr="00CD63DC">
              <w:rPr>
                <w:noProof/>
                <w:webHidden/>
              </w:rPr>
              <w:instrText xml:space="preserve"> PAGEREF _Toc203039384 \h </w:instrText>
            </w:r>
            <w:r w:rsidRPr="00CD63DC">
              <w:rPr>
                <w:noProof/>
                <w:webHidden/>
              </w:rPr>
            </w:r>
            <w:r w:rsidRPr="00CD63DC">
              <w:rPr>
                <w:noProof/>
                <w:webHidden/>
              </w:rPr>
              <w:fldChar w:fldCharType="separate"/>
            </w:r>
            <w:r w:rsidRPr="00CD63DC">
              <w:rPr>
                <w:noProof/>
                <w:webHidden/>
              </w:rPr>
              <w:t>7</w:t>
            </w:r>
            <w:r w:rsidRPr="00CD63DC">
              <w:rPr>
                <w:noProof/>
                <w:webHidden/>
              </w:rPr>
              <w:fldChar w:fldCharType="end"/>
            </w:r>
          </w:hyperlink>
        </w:p>
        <w:p w14:paraId="5227A02E" w14:textId="6DC42DC4" w:rsidR="00110008" w:rsidRPr="00CD63DC" w:rsidRDefault="00110008">
          <w:pPr>
            <w:pStyle w:val="TOC1"/>
            <w:tabs>
              <w:tab w:val="left" w:pos="567"/>
            </w:tabs>
            <w:rPr>
              <w:rFonts w:asciiTheme="minorHAnsi" w:eastAsiaTheme="minorEastAsia" w:hAnsiTheme="minorHAnsi" w:cstheme="minorBidi"/>
              <w:b w:val="0"/>
              <w:noProof/>
              <w:color w:val="auto"/>
              <w:kern w:val="2"/>
              <w:sz w:val="24"/>
              <w:szCs w:val="24"/>
              <w:lang w:val="en-US"/>
              <w14:ligatures w14:val="standardContextual"/>
            </w:rPr>
          </w:pPr>
          <w:hyperlink w:anchor="_Toc203039385" w:history="1">
            <w:r w:rsidRPr="00CD63DC">
              <w:rPr>
                <w:rStyle w:val="Hyperlink"/>
                <w:noProof/>
                <w:lang w:val="en-US"/>
                <w14:scene3d>
                  <w14:camera w14:prst="orthographicFront"/>
                  <w14:lightRig w14:rig="threePt" w14:dir="t">
                    <w14:rot w14:lat="0" w14:lon="0" w14:rev="0"/>
                  </w14:lightRig>
                </w14:scene3d>
              </w:rPr>
              <w:t>3.</w:t>
            </w:r>
            <w:r w:rsidRPr="00CD63DC">
              <w:rPr>
                <w:rFonts w:asciiTheme="minorHAnsi" w:eastAsiaTheme="minorEastAsia" w:hAnsiTheme="minorHAnsi" w:cstheme="minorBidi"/>
                <w:b w:val="0"/>
                <w:noProof/>
                <w:color w:val="auto"/>
                <w:kern w:val="2"/>
                <w:sz w:val="24"/>
                <w:szCs w:val="24"/>
                <w:lang w:val="en-US"/>
                <w14:ligatures w14:val="standardContextual"/>
              </w:rPr>
              <w:tab/>
            </w:r>
            <w:r w:rsidRPr="00CD63DC">
              <w:rPr>
                <w:rStyle w:val="Hyperlink"/>
                <w:noProof/>
                <w:lang w:val="en-US"/>
                <w14:scene3d>
                  <w14:camera w14:prst="orthographicFront"/>
                  <w14:lightRig w14:rig="threePt" w14:dir="t">
                    <w14:rot w14:lat="0" w14:lon="0" w14:rev="0"/>
                  </w14:lightRig>
                </w14:scene3d>
              </w:rPr>
              <w:t>Description of COMPANY 1 –</w:t>
            </w:r>
            <w:r w:rsidRPr="00CD63DC">
              <w:rPr>
                <w:noProof/>
                <w:webHidden/>
              </w:rPr>
              <w:tab/>
            </w:r>
            <w:r w:rsidRPr="00CD63DC">
              <w:rPr>
                <w:noProof/>
                <w:webHidden/>
              </w:rPr>
              <w:fldChar w:fldCharType="begin"/>
            </w:r>
            <w:r w:rsidRPr="00CD63DC">
              <w:rPr>
                <w:noProof/>
                <w:webHidden/>
              </w:rPr>
              <w:instrText xml:space="preserve"> PAGEREF _Toc203039385 \h </w:instrText>
            </w:r>
            <w:r w:rsidRPr="00CD63DC">
              <w:rPr>
                <w:noProof/>
                <w:webHidden/>
              </w:rPr>
            </w:r>
            <w:r w:rsidRPr="00CD63DC">
              <w:rPr>
                <w:noProof/>
                <w:webHidden/>
              </w:rPr>
              <w:fldChar w:fldCharType="separate"/>
            </w:r>
            <w:r w:rsidRPr="00CD63DC">
              <w:rPr>
                <w:noProof/>
                <w:webHidden/>
              </w:rPr>
              <w:t>9</w:t>
            </w:r>
            <w:r w:rsidRPr="00CD63DC">
              <w:rPr>
                <w:noProof/>
                <w:webHidden/>
              </w:rPr>
              <w:fldChar w:fldCharType="end"/>
            </w:r>
          </w:hyperlink>
        </w:p>
        <w:p w14:paraId="5538F447" w14:textId="5623F5D8"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386" w:history="1">
            <w:r w:rsidRPr="00CD63DC">
              <w:rPr>
                <w:rStyle w:val="Hyperlink"/>
                <w:noProof/>
                <w14:scene3d>
                  <w14:camera w14:prst="orthographicFront"/>
                  <w14:lightRig w14:rig="threePt" w14:dir="t">
                    <w14:rot w14:lat="0" w14:lon="0" w14:rev="0"/>
                  </w14:lightRig>
                </w14:scene3d>
              </w:rPr>
              <w:t>3.1.</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Introduction</w:t>
            </w:r>
            <w:r w:rsidRPr="00CD63DC">
              <w:rPr>
                <w:noProof/>
                <w:webHidden/>
              </w:rPr>
              <w:tab/>
            </w:r>
            <w:r w:rsidRPr="00CD63DC">
              <w:rPr>
                <w:noProof/>
                <w:webHidden/>
              </w:rPr>
              <w:fldChar w:fldCharType="begin"/>
            </w:r>
            <w:r w:rsidRPr="00CD63DC">
              <w:rPr>
                <w:noProof/>
                <w:webHidden/>
              </w:rPr>
              <w:instrText xml:space="preserve"> PAGEREF _Toc203039386 \h </w:instrText>
            </w:r>
            <w:r w:rsidRPr="00CD63DC">
              <w:rPr>
                <w:noProof/>
                <w:webHidden/>
              </w:rPr>
            </w:r>
            <w:r w:rsidRPr="00CD63DC">
              <w:rPr>
                <w:noProof/>
                <w:webHidden/>
              </w:rPr>
              <w:fldChar w:fldCharType="separate"/>
            </w:r>
            <w:r w:rsidRPr="00CD63DC">
              <w:rPr>
                <w:noProof/>
                <w:webHidden/>
              </w:rPr>
              <w:t>9</w:t>
            </w:r>
            <w:r w:rsidRPr="00CD63DC">
              <w:rPr>
                <w:noProof/>
                <w:webHidden/>
              </w:rPr>
              <w:fldChar w:fldCharType="end"/>
            </w:r>
          </w:hyperlink>
        </w:p>
        <w:p w14:paraId="05003365" w14:textId="2B98EA5D"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387" w:history="1">
            <w:r w:rsidRPr="00CD63DC">
              <w:rPr>
                <w:rStyle w:val="Hyperlink"/>
                <w:noProof/>
                <w14:scene3d>
                  <w14:camera w14:prst="orthographicFront"/>
                  <w14:lightRig w14:rig="threePt" w14:dir="t">
                    <w14:rot w14:lat="0" w14:lon="0" w14:rev="0"/>
                  </w14:lightRig>
                </w14:scene3d>
              </w:rPr>
              <w:t>3.2.</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Legal structure</w:t>
            </w:r>
            <w:r w:rsidRPr="00CD63DC">
              <w:rPr>
                <w:noProof/>
                <w:webHidden/>
              </w:rPr>
              <w:tab/>
            </w:r>
            <w:r w:rsidRPr="00CD63DC">
              <w:rPr>
                <w:noProof/>
                <w:webHidden/>
              </w:rPr>
              <w:fldChar w:fldCharType="begin"/>
            </w:r>
            <w:r w:rsidRPr="00CD63DC">
              <w:rPr>
                <w:noProof/>
                <w:webHidden/>
              </w:rPr>
              <w:instrText xml:space="preserve"> PAGEREF _Toc203039387 \h </w:instrText>
            </w:r>
            <w:r w:rsidRPr="00CD63DC">
              <w:rPr>
                <w:noProof/>
                <w:webHidden/>
              </w:rPr>
            </w:r>
            <w:r w:rsidRPr="00CD63DC">
              <w:rPr>
                <w:noProof/>
                <w:webHidden/>
              </w:rPr>
              <w:fldChar w:fldCharType="separate"/>
            </w:r>
            <w:r w:rsidRPr="00CD63DC">
              <w:rPr>
                <w:noProof/>
                <w:webHidden/>
              </w:rPr>
              <w:t>9</w:t>
            </w:r>
            <w:r w:rsidRPr="00CD63DC">
              <w:rPr>
                <w:noProof/>
                <w:webHidden/>
              </w:rPr>
              <w:fldChar w:fldCharType="end"/>
            </w:r>
          </w:hyperlink>
        </w:p>
        <w:p w14:paraId="73C056DF" w14:textId="1EEA1FF4"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388" w:history="1">
            <w:r w:rsidRPr="00CD63DC">
              <w:rPr>
                <w:rStyle w:val="Hyperlink"/>
                <w:noProof/>
                <w14:scene3d>
                  <w14:camera w14:prst="orthographicFront"/>
                  <w14:lightRig w14:rig="threePt" w14:dir="t">
                    <w14:rot w14:lat="0" w14:lon="0" w14:rev="0"/>
                  </w14:lightRig>
                </w14:scene3d>
              </w:rPr>
              <w:t>3.3.</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Management structure</w:t>
            </w:r>
            <w:r w:rsidRPr="00CD63DC">
              <w:rPr>
                <w:noProof/>
                <w:webHidden/>
              </w:rPr>
              <w:tab/>
            </w:r>
            <w:r w:rsidRPr="00CD63DC">
              <w:rPr>
                <w:noProof/>
                <w:webHidden/>
              </w:rPr>
              <w:fldChar w:fldCharType="begin"/>
            </w:r>
            <w:r w:rsidRPr="00CD63DC">
              <w:rPr>
                <w:noProof/>
                <w:webHidden/>
              </w:rPr>
              <w:instrText xml:space="preserve"> PAGEREF _Toc203039388 \h </w:instrText>
            </w:r>
            <w:r w:rsidRPr="00CD63DC">
              <w:rPr>
                <w:noProof/>
                <w:webHidden/>
              </w:rPr>
            </w:r>
            <w:r w:rsidRPr="00CD63DC">
              <w:rPr>
                <w:noProof/>
                <w:webHidden/>
              </w:rPr>
              <w:fldChar w:fldCharType="separate"/>
            </w:r>
            <w:r w:rsidRPr="00CD63DC">
              <w:rPr>
                <w:noProof/>
                <w:webHidden/>
              </w:rPr>
              <w:t>9</w:t>
            </w:r>
            <w:r w:rsidRPr="00CD63DC">
              <w:rPr>
                <w:noProof/>
                <w:webHidden/>
              </w:rPr>
              <w:fldChar w:fldCharType="end"/>
            </w:r>
          </w:hyperlink>
        </w:p>
        <w:p w14:paraId="34D19728" w14:textId="0C907264"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389" w:history="1">
            <w:r w:rsidRPr="00CD63DC">
              <w:rPr>
                <w:rStyle w:val="Hyperlink"/>
                <w:noProof/>
                <w14:scene3d>
                  <w14:camera w14:prst="orthographicFront"/>
                  <w14:lightRig w14:rig="threePt" w14:dir="t">
                    <w14:rot w14:lat="0" w14:lon="0" w14:rev="0"/>
                  </w14:lightRig>
                </w14:scene3d>
              </w:rPr>
              <w:t>3.4.</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Group overview</w:t>
            </w:r>
            <w:r w:rsidRPr="00CD63DC">
              <w:rPr>
                <w:noProof/>
                <w:webHidden/>
              </w:rPr>
              <w:tab/>
            </w:r>
            <w:r w:rsidRPr="00CD63DC">
              <w:rPr>
                <w:noProof/>
                <w:webHidden/>
              </w:rPr>
              <w:fldChar w:fldCharType="begin"/>
            </w:r>
            <w:r w:rsidRPr="00CD63DC">
              <w:rPr>
                <w:noProof/>
                <w:webHidden/>
              </w:rPr>
              <w:instrText xml:space="preserve"> PAGEREF _Toc203039389 \h </w:instrText>
            </w:r>
            <w:r w:rsidRPr="00CD63DC">
              <w:rPr>
                <w:noProof/>
                <w:webHidden/>
              </w:rPr>
            </w:r>
            <w:r w:rsidRPr="00CD63DC">
              <w:rPr>
                <w:noProof/>
                <w:webHidden/>
              </w:rPr>
              <w:fldChar w:fldCharType="separate"/>
            </w:r>
            <w:r w:rsidRPr="00CD63DC">
              <w:rPr>
                <w:noProof/>
                <w:webHidden/>
              </w:rPr>
              <w:t>9</w:t>
            </w:r>
            <w:r w:rsidRPr="00CD63DC">
              <w:rPr>
                <w:noProof/>
                <w:webHidden/>
              </w:rPr>
              <w:fldChar w:fldCharType="end"/>
            </w:r>
          </w:hyperlink>
        </w:p>
        <w:p w14:paraId="67A0B3F8" w14:textId="21DB8D96"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390" w:history="1">
            <w:r w:rsidRPr="00CD63DC">
              <w:rPr>
                <w:rStyle w:val="Hyperlink"/>
                <w:noProof/>
                <w14:scene3d>
                  <w14:camera w14:prst="orthographicFront"/>
                  <w14:lightRig w14:rig="threePt" w14:dir="t">
                    <w14:rot w14:lat="0" w14:lon="0" w14:rev="0"/>
                  </w14:lightRig>
                </w14:scene3d>
              </w:rPr>
              <w:t>3.5.</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Business overview</w:t>
            </w:r>
            <w:r w:rsidRPr="00CD63DC">
              <w:rPr>
                <w:noProof/>
                <w:webHidden/>
              </w:rPr>
              <w:tab/>
            </w:r>
            <w:r w:rsidRPr="00CD63DC">
              <w:rPr>
                <w:noProof/>
                <w:webHidden/>
              </w:rPr>
              <w:fldChar w:fldCharType="begin"/>
            </w:r>
            <w:r w:rsidRPr="00CD63DC">
              <w:rPr>
                <w:noProof/>
                <w:webHidden/>
              </w:rPr>
              <w:instrText xml:space="preserve"> PAGEREF _Toc203039390 \h </w:instrText>
            </w:r>
            <w:r w:rsidRPr="00CD63DC">
              <w:rPr>
                <w:noProof/>
                <w:webHidden/>
              </w:rPr>
            </w:r>
            <w:r w:rsidRPr="00CD63DC">
              <w:rPr>
                <w:noProof/>
                <w:webHidden/>
              </w:rPr>
              <w:fldChar w:fldCharType="separate"/>
            </w:r>
            <w:r w:rsidRPr="00CD63DC">
              <w:rPr>
                <w:noProof/>
                <w:webHidden/>
              </w:rPr>
              <w:t>10</w:t>
            </w:r>
            <w:r w:rsidRPr="00CD63DC">
              <w:rPr>
                <w:noProof/>
                <w:webHidden/>
              </w:rPr>
              <w:fldChar w:fldCharType="end"/>
            </w:r>
          </w:hyperlink>
        </w:p>
        <w:p w14:paraId="1B251427" w14:textId="0FCBA223"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391" w:history="1">
            <w:r w:rsidRPr="00CD63DC">
              <w:rPr>
                <w:rStyle w:val="Hyperlink"/>
                <w:noProof/>
                <w14:scene3d>
                  <w14:camera w14:prst="orthographicFront"/>
                  <w14:lightRig w14:rig="threePt" w14:dir="t">
                    <w14:rot w14:lat="0" w14:lon="0" w14:rev="0"/>
                  </w14:lightRig>
                </w14:scene3d>
              </w:rPr>
              <w:t>3.6.</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Industry Analysis</w:t>
            </w:r>
            <w:r w:rsidRPr="00CD63DC">
              <w:rPr>
                <w:noProof/>
                <w:webHidden/>
              </w:rPr>
              <w:tab/>
            </w:r>
            <w:r w:rsidRPr="00CD63DC">
              <w:rPr>
                <w:noProof/>
                <w:webHidden/>
              </w:rPr>
              <w:fldChar w:fldCharType="begin"/>
            </w:r>
            <w:r w:rsidRPr="00CD63DC">
              <w:rPr>
                <w:noProof/>
                <w:webHidden/>
              </w:rPr>
              <w:instrText xml:space="preserve"> PAGEREF _Toc203039391 \h </w:instrText>
            </w:r>
            <w:r w:rsidRPr="00CD63DC">
              <w:rPr>
                <w:noProof/>
                <w:webHidden/>
              </w:rPr>
            </w:r>
            <w:r w:rsidRPr="00CD63DC">
              <w:rPr>
                <w:noProof/>
                <w:webHidden/>
              </w:rPr>
              <w:fldChar w:fldCharType="separate"/>
            </w:r>
            <w:r w:rsidRPr="00CD63DC">
              <w:rPr>
                <w:noProof/>
                <w:webHidden/>
              </w:rPr>
              <w:t>10</w:t>
            </w:r>
            <w:r w:rsidRPr="00CD63DC">
              <w:rPr>
                <w:noProof/>
                <w:webHidden/>
              </w:rPr>
              <w:fldChar w:fldCharType="end"/>
            </w:r>
          </w:hyperlink>
        </w:p>
        <w:p w14:paraId="7882D496" w14:textId="39C15A47"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392" w:history="1">
            <w:r w:rsidRPr="00CD63DC">
              <w:rPr>
                <w:rStyle w:val="Hyperlink"/>
                <w:noProof/>
                <w14:scene3d>
                  <w14:camera w14:prst="orthographicFront"/>
                  <w14:lightRig w14:rig="threePt" w14:dir="t">
                    <w14:rot w14:lat="0" w14:lon="0" w14:rev="0"/>
                  </w14:lightRig>
                </w14:scene3d>
              </w:rPr>
              <w:t>3.7.</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Business strategy</w:t>
            </w:r>
            <w:r w:rsidRPr="00CD63DC">
              <w:rPr>
                <w:noProof/>
                <w:webHidden/>
              </w:rPr>
              <w:tab/>
            </w:r>
            <w:r w:rsidRPr="00CD63DC">
              <w:rPr>
                <w:noProof/>
                <w:webHidden/>
              </w:rPr>
              <w:fldChar w:fldCharType="begin"/>
            </w:r>
            <w:r w:rsidRPr="00CD63DC">
              <w:rPr>
                <w:noProof/>
                <w:webHidden/>
              </w:rPr>
              <w:instrText xml:space="preserve"> PAGEREF _Toc203039392 \h </w:instrText>
            </w:r>
            <w:r w:rsidRPr="00CD63DC">
              <w:rPr>
                <w:noProof/>
                <w:webHidden/>
              </w:rPr>
            </w:r>
            <w:r w:rsidRPr="00CD63DC">
              <w:rPr>
                <w:noProof/>
                <w:webHidden/>
              </w:rPr>
              <w:fldChar w:fldCharType="separate"/>
            </w:r>
            <w:r w:rsidRPr="00CD63DC">
              <w:rPr>
                <w:noProof/>
                <w:webHidden/>
              </w:rPr>
              <w:t>11</w:t>
            </w:r>
            <w:r w:rsidRPr="00CD63DC">
              <w:rPr>
                <w:noProof/>
                <w:webHidden/>
              </w:rPr>
              <w:fldChar w:fldCharType="end"/>
            </w:r>
          </w:hyperlink>
        </w:p>
        <w:p w14:paraId="4E227614" w14:textId="2E1E2448"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393" w:history="1">
            <w:r w:rsidRPr="00CD63DC">
              <w:rPr>
                <w:rStyle w:val="Hyperlink"/>
                <w:noProof/>
                <w14:scene3d>
                  <w14:camera w14:prst="orthographicFront"/>
                  <w14:lightRig w14:rig="threePt" w14:dir="t">
                    <w14:rot w14:lat="0" w14:lon="0" w14:rev="0"/>
                  </w14:lightRig>
                </w14:scene3d>
              </w:rPr>
              <w:t>3.8.</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Business restructurings and / or intangibles transfers</w:t>
            </w:r>
            <w:r w:rsidRPr="00CD63DC">
              <w:rPr>
                <w:noProof/>
                <w:webHidden/>
              </w:rPr>
              <w:tab/>
            </w:r>
            <w:r w:rsidRPr="00CD63DC">
              <w:rPr>
                <w:noProof/>
                <w:webHidden/>
              </w:rPr>
              <w:fldChar w:fldCharType="begin"/>
            </w:r>
            <w:r w:rsidRPr="00CD63DC">
              <w:rPr>
                <w:noProof/>
                <w:webHidden/>
              </w:rPr>
              <w:instrText xml:space="preserve"> PAGEREF _Toc203039393 \h </w:instrText>
            </w:r>
            <w:r w:rsidRPr="00CD63DC">
              <w:rPr>
                <w:noProof/>
                <w:webHidden/>
              </w:rPr>
            </w:r>
            <w:r w:rsidRPr="00CD63DC">
              <w:rPr>
                <w:noProof/>
                <w:webHidden/>
              </w:rPr>
              <w:fldChar w:fldCharType="separate"/>
            </w:r>
            <w:r w:rsidRPr="00CD63DC">
              <w:rPr>
                <w:noProof/>
                <w:webHidden/>
              </w:rPr>
              <w:t>12</w:t>
            </w:r>
            <w:r w:rsidRPr="00CD63DC">
              <w:rPr>
                <w:noProof/>
                <w:webHidden/>
              </w:rPr>
              <w:fldChar w:fldCharType="end"/>
            </w:r>
          </w:hyperlink>
        </w:p>
        <w:p w14:paraId="1B18B336" w14:textId="4711451E"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394" w:history="1">
            <w:r w:rsidRPr="00CD63DC">
              <w:rPr>
                <w:rStyle w:val="Hyperlink"/>
                <w:noProof/>
                <w14:scene3d>
                  <w14:camera w14:prst="orthographicFront"/>
                  <w14:lightRig w14:rig="threePt" w14:dir="t">
                    <w14:rot w14:lat="0" w14:lon="0" w14:rev="0"/>
                  </w14:lightRig>
                </w14:scene3d>
              </w:rPr>
              <w:t>3.9.</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Key competitors</w:t>
            </w:r>
            <w:r w:rsidRPr="00CD63DC">
              <w:rPr>
                <w:noProof/>
                <w:webHidden/>
              </w:rPr>
              <w:tab/>
            </w:r>
            <w:r w:rsidRPr="00CD63DC">
              <w:rPr>
                <w:noProof/>
                <w:webHidden/>
              </w:rPr>
              <w:fldChar w:fldCharType="begin"/>
            </w:r>
            <w:r w:rsidRPr="00CD63DC">
              <w:rPr>
                <w:noProof/>
                <w:webHidden/>
              </w:rPr>
              <w:instrText xml:space="preserve"> PAGEREF _Toc203039394 \h </w:instrText>
            </w:r>
            <w:r w:rsidRPr="00CD63DC">
              <w:rPr>
                <w:noProof/>
                <w:webHidden/>
              </w:rPr>
            </w:r>
            <w:r w:rsidRPr="00CD63DC">
              <w:rPr>
                <w:noProof/>
                <w:webHidden/>
              </w:rPr>
              <w:fldChar w:fldCharType="separate"/>
            </w:r>
            <w:r w:rsidRPr="00CD63DC">
              <w:rPr>
                <w:noProof/>
                <w:webHidden/>
              </w:rPr>
              <w:t>12</w:t>
            </w:r>
            <w:r w:rsidRPr="00CD63DC">
              <w:rPr>
                <w:noProof/>
                <w:webHidden/>
              </w:rPr>
              <w:fldChar w:fldCharType="end"/>
            </w:r>
          </w:hyperlink>
        </w:p>
        <w:p w14:paraId="1D9FDF35" w14:textId="0DDAA8BF" w:rsidR="00110008" w:rsidRPr="00CD63DC" w:rsidRDefault="00110008">
          <w:pPr>
            <w:pStyle w:val="TOC1"/>
            <w:tabs>
              <w:tab w:val="left" w:pos="567"/>
            </w:tabs>
            <w:rPr>
              <w:rFonts w:asciiTheme="minorHAnsi" w:eastAsiaTheme="minorEastAsia" w:hAnsiTheme="minorHAnsi" w:cstheme="minorBidi"/>
              <w:b w:val="0"/>
              <w:noProof/>
              <w:color w:val="auto"/>
              <w:kern w:val="2"/>
              <w:sz w:val="24"/>
              <w:szCs w:val="24"/>
              <w:lang w:val="en-US"/>
              <w14:ligatures w14:val="standardContextual"/>
            </w:rPr>
          </w:pPr>
          <w:hyperlink w:anchor="_Toc203039395" w:history="1">
            <w:r w:rsidRPr="00CD63DC">
              <w:rPr>
                <w:rStyle w:val="Hyperlink"/>
                <w:noProof/>
                <w:lang w:val="en-US"/>
                <w14:scene3d>
                  <w14:camera w14:prst="orthographicFront"/>
                  <w14:lightRig w14:rig="threePt" w14:dir="t">
                    <w14:rot w14:lat="0" w14:lon="0" w14:rev="0"/>
                  </w14:lightRig>
                </w14:scene3d>
              </w:rPr>
              <w:t>4.</w:t>
            </w:r>
            <w:r w:rsidRPr="00CD63DC">
              <w:rPr>
                <w:rFonts w:asciiTheme="minorHAnsi" w:eastAsiaTheme="minorEastAsia" w:hAnsiTheme="minorHAnsi" w:cstheme="minorBidi"/>
                <w:b w:val="0"/>
                <w:noProof/>
                <w:color w:val="auto"/>
                <w:kern w:val="2"/>
                <w:sz w:val="24"/>
                <w:szCs w:val="24"/>
                <w:lang w:val="en-US"/>
                <w14:ligatures w14:val="standardContextual"/>
              </w:rPr>
              <w:tab/>
            </w:r>
            <w:r w:rsidRPr="00CD63DC">
              <w:rPr>
                <w:rStyle w:val="Hyperlink"/>
                <w:noProof/>
                <w:lang w:val="en-US"/>
                <w14:scene3d>
                  <w14:camera w14:prst="orthographicFront"/>
                  <w14:lightRig w14:rig="threePt" w14:dir="t">
                    <w14:rot w14:lat="0" w14:lon="0" w14:rev="0"/>
                  </w14:lightRig>
                </w14:scene3d>
              </w:rPr>
              <w:t>Controlled transactions –</w:t>
            </w:r>
            <w:r w:rsidRPr="00CD63DC">
              <w:rPr>
                <w:noProof/>
                <w:webHidden/>
              </w:rPr>
              <w:tab/>
            </w:r>
            <w:r w:rsidRPr="00CD63DC">
              <w:rPr>
                <w:noProof/>
                <w:webHidden/>
              </w:rPr>
              <w:fldChar w:fldCharType="begin"/>
            </w:r>
            <w:r w:rsidRPr="00CD63DC">
              <w:rPr>
                <w:noProof/>
                <w:webHidden/>
              </w:rPr>
              <w:instrText xml:space="preserve"> PAGEREF _Toc203039395 \h </w:instrText>
            </w:r>
            <w:r w:rsidRPr="00CD63DC">
              <w:rPr>
                <w:noProof/>
                <w:webHidden/>
              </w:rPr>
            </w:r>
            <w:r w:rsidRPr="00CD63DC">
              <w:rPr>
                <w:noProof/>
                <w:webHidden/>
              </w:rPr>
              <w:fldChar w:fldCharType="separate"/>
            </w:r>
            <w:r w:rsidRPr="00CD63DC">
              <w:rPr>
                <w:noProof/>
                <w:webHidden/>
              </w:rPr>
              <w:t>13</w:t>
            </w:r>
            <w:r w:rsidRPr="00CD63DC">
              <w:rPr>
                <w:noProof/>
                <w:webHidden/>
              </w:rPr>
              <w:fldChar w:fldCharType="end"/>
            </w:r>
          </w:hyperlink>
        </w:p>
        <w:p w14:paraId="1942BDC3" w14:textId="419FA721"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396" w:history="1">
            <w:r w:rsidRPr="00CD63DC">
              <w:rPr>
                <w:rStyle w:val="Hyperlink"/>
                <w:noProof/>
                <w14:scene3d>
                  <w14:camera w14:prst="orthographicFront"/>
                  <w14:lightRig w14:rig="threePt" w14:dir="t">
                    <w14:rot w14:lat="0" w14:lon="0" w14:rev="0"/>
                  </w14:lightRig>
                </w14:scene3d>
              </w:rPr>
              <w:t>4.1.</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General overview and amounts</w:t>
            </w:r>
            <w:r w:rsidRPr="00CD63DC">
              <w:rPr>
                <w:noProof/>
                <w:webHidden/>
              </w:rPr>
              <w:tab/>
            </w:r>
            <w:r w:rsidRPr="00CD63DC">
              <w:rPr>
                <w:noProof/>
                <w:webHidden/>
              </w:rPr>
              <w:fldChar w:fldCharType="begin"/>
            </w:r>
            <w:r w:rsidRPr="00CD63DC">
              <w:rPr>
                <w:noProof/>
                <w:webHidden/>
              </w:rPr>
              <w:instrText xml:space="preserve"> PAGEREF _Toc203039396 \h </w:instrText>
            </w:r>
            <w:r w:rsidRPr="00CD63DC">
              <w:rPr>
                <w:noProof/>
                <w:webHidden/>
              </w:rPr>
            </w:r>
            <w:r w:rsidRPr="00CD63DC">
              <w:rPr>
                <w:noProof/>
                <w:webHidden/>
              </w:rPr>
              <w:fldChar w:fldCharType="separate"/>
            </w:r>
            <w:r w:rsidRPr="00CD63DC">
              <w:rPr>
                <w:noProof/>
                <w:webHidden/>
              </w:rPr>
              <w:t>13</w:t>
            </w:r>
            <w:r w:rsidRPr="00CD63DC">
              <w:rPr>
                <w:noProof/>
                <w:webHidden/>
              </w:rPr>
              <w:fldChar w:fldCharType="end"/>
            </w:r>
          </w:hyperlink>
        </w:p>
        <w:p w14:paraId="30769C96" w14:textId="140E21CF"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397" w:history="1">
            <w:r w:rsidRPr="00CD63DC">
              <w:rPr>
                <w:rStyle w:val="Hyperlink"/>
                <w:noProof/>
                <w14:scene3d>
                  <w14:camera w14:prst="orthographicFront"/>
                  <w14:lightRig w14:rig="threePt" w14:dir="t">
                    <w14:rot w14:lat="0" w14:lon="0" w14:rev="0"/>
                  </w14:lightRig>
                </w14:scene3d>
              </w:rPr>
              <w:t>4.2.</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Description of the controlled transactions</w:t>
            </w:r>
            <w:r w:rsidRPr="00CD63DC">
              <w:rPr>
                <w:noProof/>
                <w:webHidden/>
              </w:rPr>
              <w:tab/>
            </w:r>
            <w:r w:rsidRPr="00CD63DC">
              <w:rPr>
                <w:noProof/>
                <w:webHidden/>
              </w:rPr>
              <w:fldChar w:fldCharType="begin"/>
            </w:r>
            <w:r w:rsidRPr="00CD63DC">
              <w:rPr>
                <w:noProof/>
                <w:webHidden/>
              </w:rPr>
              <w:instrText xml:space="preserve"> PAGEREF _Toc203039397 \h </w:instrText>
            </w:r>
            <w:r w:rsidRPr="00CD63DC">
              <w:rPr>
                <w:noProof/>
                <w:webHidden/>
              </w:rPr>
            </w:r>
            <w:r w:rsidRPr="00CD63DC">
              <w:rPr>
                <w:noProof/>
                <w:webHidden/>
              </w:rPr>
              <w:fldChar w:fldCharType="separate"/>
            </w:r>
            <w:r w:rsidRPr="00CD63DC">
              <w:rPr>
                <w:noProof/>
                <w:webHidden/>
              </w:rPr>
              <w:t>14</w:t>
            </w:r>
            <w:r w:rsidRPr="00CD63DC">
              <w:rPr>
                <w:noProof/>
                <w:webHidden/>
              </w:rPr>
              <w:fldChar w:fldCharType="end"/>
            </w:r>
          </w:hyperlink>
        </w:p>
        <w:p w14:paraId="5161E98D" w14:textId="458DEB58"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398" w:history="1">
            <w:r w:rsidRPr="00CD63DC">
              <w:rPr>
                <w:rStyle w:val="Hyperlink"/>
                <w:noProof/>
                <w14:scene3d>
                  <w14:camera w14:prst="orthographicFront"/>
                  <w14:lightRig w14:rig="threePt" w14:dir="t">
                    <w14:rot w14:lat="0" w14:lon="0" w14:rev="0"/>
                  </w14:lightRig>
                </w14:scene3d>
              </w:rPr>
              <w:t>4.3.</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Intercompany agreements</w:t>
            </w:r>
            <w:r w:rsidRPr="00CD63DC">
              <w:rPr>
                <w:noProof/>
                <w:webHidden/>
              </w:rPr>
              <w:tab/>
            </w:r>
            <w:r w:rsidRPr="00CD63DC">
              <w:rPr>
                <w:noProof/>
                <w:webHidden/>
              </w:rPr>
              <w:fldChar w:fldCharType="begin"/>
            </w:r>
            <w:r w:rsidRPr="00CD63DC">
              <w:rPr>
                <w:noProof/>
                <w:webHidden/>
              </w:rPr>
              <w:instrText xml:space="preserve"> PAGEREF _Toc203039398 \h </w:instrText>
            </w:r>
            <w:r w:rsidRPr="00CD63DC">
              <w:rPr>
                <w:noProof/>
                <w:webHidden/>
              </w:rPr>
            </w:r>
            <w:r w:rsidRPr="00CD63DC">
              <w:rPr>
                <w:noProof/>
                <w:webHidden/>
              </w:rPr>
              <w:fldChar w:fldCharType="separate"/>
            </w:r>
            <w:r w:rsidRPr="00CD63DC">
              <w:rPr>
                <w:noProof/>
                <w:webHidden/>
              </w:rPr>
              <w:t>15</w:t>
            </w:r>
            <w:r w:rsidRPr="00CD63DC">
              <w:rPr>
                <w:noProof/>
                <w:webHidden/>
              </w:rPr>
              <w:fldChar w:fldCharType="end"/>
            </w:r>
          </w:hyperlink>
        </w:p>
        <w:p w14:paraId="3449B5DE" w14:textId="0A3C8F5B" w:rsidR="00110008" w:rsidRPr="00CD63DC" w:rsidRDefault="00110008">
          <w:pPr>
            <w:pStyle w:val="TOC1"/>
            <w:tabs>
              <w:tab w:val="left" w:pos="567"/>
            </w:tabs>
            <w:rPr>
              <w:rFonts w:asciiTheme="minorHAnsi" w:eastAsiaTheme="minorEastAsia" w:hAnsiTheme="minorHAnsi" w:cstheme="minorBidi"/>
              <w:b w:val="0"/>
              <w:noProof/>
              <w:color w:val="auto"/>
              <w:kern w:val="2"/>
              <w:sz w:val="24"/>
              <w:szCs w:val="24"/>
              <w:lang w:val="en-US"/>
              <w14:ligatures w14:val="standardContextual"/>
            </w:rPr>
          </w:pPr>
          <w:hyperlink w:anchor="_Toc203039399" w:history="1">
            <w:r w:rsidRPr="00CD63DC">
              <w:rPr>
                <w:rStyle w:val="Hyperlink"/>
                <w:noProof/>
                <w:lang w:val="en-US"/>
                <w14:scene3d>
                  <w14:camera w14:prst="orthographicFront"/>
                  <w14:lightRig w14:rig="threePt" w14:dir="t">
                    <w14:rot w14:lat="0" w14:lon="0" w14:rev="0"/>
                  </w14:lightRig>
                </w14:scene3d>
              </w:rPr>
              <w:t>5.</w:t>
            </w:r>
            <w:r w:rsidRPr="00CD63DC">
              <w:rPr>
                <w:rFonts w:asciiTheme="minorHAnsi" w:eastAsiaTheme="minorEastAsia" w:hAnsiTheme="minorHAnsi" w:cstheme="minorBidi"/>
                <w:b w:val="0"/>
                <w:noProof/>
                <w:color w:val="auto"/>
                <w:kern w:val="2"/>
                <w:sz w:val="24"/>
                <w:szCs w:val="24"/>
                <w:lang w:val="en-US"/>
                <w14:ligatures w14:val="standardContextual"/>
              </w:rPr>
              <w:tab/>
            </w:r>
            <w:r w:rsidRPr="00CD63DC">
              <w:rPr>
                <w:rStyle w:val="Hyperlink"/>
                <w:noProof/>
                <w:lang w:val="en-US"/>
                <w14:scene3d>
                  <w14:camera w14:prst="orthographicFront"/>
                  <w14:lightRig w14:rig="threePt" w14:dir="t">
                    <w14:rot w14:lat="0" w14:lon="0" w14:rev="0"/>
                  </w14:lightRig>
                </w14:scene3d>
              </w:rPr>
              <w:t>Specific financial and tax information</w:t>
            </w:r>
            <w:r w:rsidRPr="00CD63DC">
              <w:rPr>
                <w:noProof/>
                <w:webHidden/>
              </w:rPr>
              <w:tab/>
            </w:r>
            <w:r w:rsidRPr="00CD63DC">
              <w:rPr>
                <w:noProof/>
                <w:webHidden/>
              </w:rPr>
              <w:fldChar w:fldCharType="begin"/>
            </w:r>
            <w:r w:rsidRPr="00CD63DC">
              <w:rPr>
                <w:noProof/>
                <w:webHidden/>
              </w:rPr>
              <w:instrText xml:space="preserve"> PAGEREF _Toc203039399 \h </w:instrText>
            </w:r>
            <w:r w:rsidRPr="00CD63DC">
              <w:rPr>
                <w:noProof/>
                <w:webHidden/>
              </w:rPr>
            </w:r>
            <w:r w:rsidRPr="00CD63DC">
              <w:rPr>
                <w:noProof/>
                <w:webHidden/>
              </w:rPr>
              <w:fldChar w:fldCharType="separate"/>
            </w:r>
            <w:r w:rsidRPr="00CD63DC">
              <w:rPr>
                <w:noProof/>
                <w:webHidden/>
              </w:rPr>
              <w:t>16</w:t>
            </w:r>
            <w:r w:rsidRPr="00CD63DC">
              <w:rPr>
                <w:noProof/>
                <w:webHidden/>
              </w:rPr>
              <w:fldChar w:fldCharType="end"/>
            </w:r>
          </w:hyperlink>
        </w:p>
        <w:p w14:paraId="0AD2D1DB" w14:textId="4D2B57B7"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400" w:history="1">
            <w:r w:rsidRPr="00CD63DC">
              <w:rPr>
                <w:rStyle w:val="Hyperlink"/>
                <w:noProof/>
                <w14:scene3d>
                  <w14:camera w14:prst="orthographicFront"/>
                  <w14:lightRig w14:rig="threePt" w14:dir="t">
                    <w14:rot w14:lat="0" w14:lon="0" w14:rev="0"/>
                  </w14:lightRig>
                </w14:scene3d>
              </w:rPr>
              <w:t>5.1.</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Introduction</w:t>
            </w:r>
            <w:r w:rsidRPr="00CD63DC">
              <w:rPr>
                <w:noProof/>
                <w:webHidden/>
              </w:rPr>
              <w:tab/>
            </w:r>
            <w:r w:rsidRPr="00CD63DC">
              <w:rPr>
                <w:noProof/>
                <w:webHidden/>
              </w:rPr>
              <w:fldChar w:fldCharType="begin"/>
            </w:r>
            <w:r w:rsidRPr="00CD63DC">
              <w:rPr>
                <w:noProof/>
                <w:webHidden/>
              </w:rPr>
              <w:instrText xml:space="preserve"> PAGEREF _Toc203039400 \h </w:instrText>
            </w:r>
            <w:r w:rsidRPr="00CD63DC">
              <w:rPr>
                <w:noProof/>
                <w:webHidden/>
              </w:rPr>
            </w:r>
            <w:r w:rsidRPr="00CD63DC">
              <w:rPr>
                <w:noProof/>
                <w:webHidden/>
              </w:rPr>
              <w:fldChar w:fldCharType="separate"/>
            </w:r>
            <w:r w:rsidRPr="00CD63DC">
              <w:rPr>
                <w:noProof/>
                <w:webHidden/>
              </w:rPr>
              <w:t>16</w:t>
            </w:r>
            <w:r w:rsidRPr="00CD63DC">
              <w:rPr>
                <w:noProof/>
                <w:webHidden/>
              </w:rPr>
              <w:fldChar w:fldCharType="end"/>
            </w:r>
          </w:hyperlink>
        </w:p>
        <w:p w14:paraId="54C9679E" w14:textId="74B0FDD1"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401" w:history="1">
            <w:r w:rsidRPr="00CD63DC">
              <w:rPr>
                <w:rStyle w:val="Hyperlink"/>
                <w:noProof/>
                <w14:scene3d>
                  <w14:camera w14:prst="orthographicFront"/>
                  <w14:lightRig w14:rig="threePt" w14:dir="t">
                    <w14:rot w14:lat="0" w14:lon="0" w14:rev="0"/>
                  </w14:lightRig>
                </w14:scene3d>
              </w:rPr>
              <w:t>5.2.</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Annual report</w:t>
            </w:r>
            <w:r w:rsidRPr="00CD63DC">
              <w:rPr>
                <w:noProof/>
                <w:webHidden/>
              </w:rPr>
              <w:tab/>
            </w:r>
            <w:r w:rsidRPr="00CD63DC">
              <w:rPr>
                <w:noProof/>
                <w:webHidden/>
              </w:rPr>
              <w:fldChar w:fldCharType="begin"/>
            </w:r>
            <w:r w:rsidRPr="00CD63DC">
              <w:rPr>
                <w:noProof/>
                <w:webHidden/>
              </w:rPr>
              <w:instrText xml:space="preserve"> PAGEREF _Toc203039401 \h </w:instrText>
            </w:r>
            <w:r w:rsidRPr="00CD63DC">
              <w:rPr>
                <w:noProof/>
                <w:webHidden/>
              </w:rPr>
            </w:r>
            <w:r w:rsidRPr="00CD63DC">
              <w:rPr>
                <w:noProof/>
                <w:webHidden/>
              </w:rPr>
              <w:fldChar w:fldCharType="separate"/>
            </w:r>
            <w:r w:rsidRPr="00CD63DC">
              <w:rPr>
                <w:noProof/>
                <w:webHidden/>
              </w:rPr>
              <w:t>16</w:t>
            </w:r>
            <w:r w:rsidRPr="00CD63DC">
              <w:rPr>
                <w:noProof/>
                <w:webHidden/>
              </w:rPr>
              <w:fldChar w:fldCharType="end"/>
            </w:r>
          </w:hyperlink>
        </w:p>
        <w:p w14:paraId="4D9906EB" w14:textId="1A483C0D"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402" w:history="1">
            <w:r w:rsidRPr="00CD63DC">
              <w:rPr>
                <w:rStyle w:val="Hyperlink"/>
                <w:noProof/>
                <w14:scene3d>
                  <w14:camera w14:prst="orthographicFront"/>
                  <w14:lightRig w14:rig="threePt" w14:dir="t">
                    <w14:rot w14:lat="0" w14:lon="0" w14:rev="0"/>
                  </w14:lightRig>
                </w14:scene3d>
              </w:rPr>
              <w:t>5.3.</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Tax arrangements</w:t>
            </w:r>
            <w:r w:rsidRPr="00CD63DC">
              <w:rPr>
                <w:noProof/>
                <w:webHidden/>
              </w:rPr>
              <w:tab/>
            </w:r>
            <w:r w:rsidRPr="00CD63DC">
              <w:rPr>
                <w:noProof/>
                <w:webHidden/>
              </w:rPr>
              <w:fldChar w:fldCharType="begin"/>
            </w:r>
            <w:r w:rsidRPr="00CD63DC">
              <w:rPr>
                <w:noProof/>
                <w:webHidden/>
              </w:rPr>
              <w:instrText xml:space="preserve"> PAGEREF _Toc203039402 \h </w:instrText>
            </w:r>
            <w:r w:rsidRPr="00CD63DC">
              <w:rPr>
                <w:noProof/>
                <w:webHidden/>
              </w:rPr>
            </w:r>
            <w:r w:rsidRPr="00CD63DC">
              <w:rPr>
                <w:noProof/>
                <w:webHidden/>
              </w:rPr>
              <w:fldChar w:fldCharType="separate"/>
            </w:r>
            <w:r w:rsidRPr="00CD63DC">
              <w:rPr>
                <w:noProof/>
                <w:webHidden/>
              </w:rPr>
              <w:t>16</w:t>
            </w:r>
            <w:r w:rsidRPr="00CD63DC">
              <w:rPr>
                <w:noProof/>
                <w:webHidden/>
              </w:rPr>
              <w:fldChar w:fldCharType="end"/>
            </w:r>
          </w:hyperlink>
        </w:p>
        <w:p w14:paraId="02AB3C24" w14:textId="56810689" w:rsidR="00110008" w:rsidRPr="00CD63DC" w:rsidRDefault="00110008">
          <w:pPr>
            <w:pStyle w:val="TOC1"/>
            <w:tabs>
              <w:tab w:val="left" w:pos="567"/>
            </w:tabs>
            <w:rPr>
              <w:rFonts w:asciiTheme="minorHAnsi" w:eastAsiaTheme="minorEastAsia" w:hAnsiTheme="minorHAnsi" w:cstheme="minorBidi"/>
              <w:b w:val="0"/>
              <w:noProof/>
              <w:color w:val="auto"/>
              <w:kern w:val="2"/>
              <w:sz w:val="24"/>
              <w:szCs w:val="24"/>
              <w:lang w:val="en-US"/>
              <w14:ligatures w14:val="standardContextual"/>
            </w:rPr>
          </w:pPr>
          <w:hyperlink w:anchor="_Toc203039403" w:history="1">
            <w:r w:rsidRPr="00CD63DC">
              <w:rPr>
                <w:rStyle w:val="Hyperlink"/>
                <w:noProof/>
                <w:lang w:val="en-US"/>
                <w14:scene3d>
                  <w14:camera w14:prst="orthographicFront"/>
                  <w14:lightRig w14:rig="threePt" w14:dir="t">
                    <w14:rot w14:lat="0" w14:lon="0" w14:rev="0"/>
                  </w14:lightRig>
                </w14:scene3d>
              </w:rPr>
              <w:t>6.</w:t>
            </w:r>
            <w:r w:rsidRPr="00CD63DC">
              <w:rPr>
                <w:rFonts w:asciiTheme="minorHAnsi" w:eastAsiaTheme="minorEastAsia" w:hAnsiTheme="minorHAnsi" w:cstheme="minorBidi"/>
                <w:b w:val="0"/>
                <w:noProof/>
                <w:color w:val="auto"/>
                <w:kern w:val="2"/>
                <w:sz w:val="24"/>
                <w:szCs w:val="24"/>
                <w:lang w:val="en-US"/>
                <w14:ligatures w14:val="standardContextual"/>
              </w:rPr>
              <w:tab/>
            </w:r>
            <w:r w:rsidRPr="00CD63DC">
              <w:rPr>
                <w:rStyle w:val="Hyperlink"/>
                <w:noProof/>
                <w:lang w:val="en-US"/>
                <w14:scene3d>
                  <w14:camera w14:prst="orthographicFront"/>
                  <w14:lightRig w14:rig="threePt" w14:dir="t">
                    <w14:rot w14:lat="0" w14:lon="0" w14:rev="0"/>
                  </w14:lightRig>
                </w14:scene3d>
              </w:rPr>
              <w:t>Transfer pricing analysis for Transaction 1 –</w:t>
            </w:r>
            <w:r w:rsidRPr="00CD63DC">
              <w:rPr>
                <w:rStyle w:val="Hyperlink"/>
                <w:noProof/>
              </w:rPr>
              <w:t xml:space="preserve"> </w:t>
            </w:r>
            <w:r w:rsidRPr="00CD63DC">
              <w:rPr>
                <w:rStyle w:val="Hyperlink"/>
                <w:noProof/>
                <w:lang w:val="en-US"/>
                <w14:scene3d>
                  <w14:camera w14:prst="orthographicFront"/>
                  <w14:lightRig w14:rig="threePt" w14:dir="t">
                    <w14:rot w14:lat="0" w14:lon="0" w14:rev="0"/>
                  </w14:lightRig>
                </w14:scene3d>
              </w:rPr>
              <w:t>Provision of re-invoicing services in relation to the Purchase of goods by COMPANY 1 from COMPANY 6 and COMPANY 4</w:t>
            </w:r>
            <w:r w:rsidRPr="00CD63DC">
              <w:rPr>
                <w:noProof/>
                <w:webHidden/>
              </w:rPr>
              <w:tab/>
            </w:r>
            <w:r w:rsidRPr="00CD63DC">
              <w:rPr>
                <w:noProof/>
                <w:webHidden/>
              </w:rPr>
              <w:fldChar w:fldCharType="begin"/>
            </w:r>
            <w:r w:rsidRPr="00CD63DC">
              <w:rPr>
                <w:noProof/>
                <w:webHidden/>
              </w:rPr>
              <w:instrText xml:space="preserve"> PAGEREF _Toc203039403 \h </w:instrText>
            </w:r>
            <w:r w:rsidRPr="00CD63DC">
              <w:rPr>
                <w:noProof/>
                <w:webHidden/>
              </w:rPr>
            </w:r>
            <w:r w:rsidRPr="00CD63DC">
              <w:rPr>
                <w:noProof/>
                <w:webHidden/>
              </w:rPr>
              <w:fldChar w:fldCharType="separate"/>
            </w:r>
            <w:r w:rsidRPr="00CD63DC">
              <w:rPr>
                <w:noProof/>
                <w:webHidden/>
              </w:rPr>
              <w:t>17</w:t>
            </w:r>
            <w:r w:rsidRPr="00CD63DC">
              <w:rPr>
                <w:noProof/>
                <w:webHidden/>
              </w:rPr>
              <w:fldChar w:fldCharType="end"/>
            </w:r>
          </w:hyperlink>
        </w:p>
        <w:p w14:paraId="7E2EF197" w14:textId="12D8F4AA"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404" w:history="1">
            <w:r w:rsidRPr="00CD63DC">
              <w:rPr>
                <w:rStyle w:val="Hyperlink"/>
                <w:noProof/>
                <w14:scene3d>
                  <w14:camera w14:prst="orthographicFront"/>
                  <w14:lightRig w14:rig="threePt" w14:dir="t">
                    <w14:rot w14:lat="0" w14:lon="0" w14:rev="0"/>
                  </w14:lightRig>
                </w14:scene3d>
              </w:rPr>
              <w:t>6.1.</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Functional analysis</w:t>
            </w:r>
            <w:r w:rsidRPr="00CD63DC">
              <w:rPr>
                <w:noProof/>
                <w:webHidden/>
              </w:rPr>
              <w:tab/>
            </w:r>
            <w:r w:rsidRPr="00CD63DC">
              <w:rPr>
                <w:noProof/>
                <w:webHidden/>
              </w:rPr>
              <w:fldChar w:fldCharType="begin"/>
            </w:r>
            <w:r w:rsidRPr="00CD63DC">
              <w:rPr>
                <w:noProof/>
                <w:webHidden/>
              </w:rPr>
              <w:instrText xml:space="preserve"> PAGEREF _Toc203039404 \h </w:instrText>
            </w:r>
            <w:r w:rsidRPr="00CD63DC">
              <w:rPr>
                <w:noProof/>
                <w:webHidden/>
              </w:rPr>
            </w:r>
            <w:r w:rsidRPr="00CD63DC">
              <w:rPr>
                <w:noProof/>
                <w:webHidden/>
              </w:rPr>
              <w:fldChar w:fldCharType="separate"/>
            </w:r>
            <w:r w:rsidRPr="00CD63DC">
              <w:rPr>
                <w:noProof/>
                <w:webHidden/>
              </w:rPr>
              <w:t>17</w:t>
            </w:r>
            <w:r w:rsidRPr="00CD63DC">
              <w:rPr>
                <w:noProof/>
                <w:webHidden/>
              </w:rPr>
              <w:fldChar w:fldCharType="end"/>
            </w:r>
          </w:hyperlink>
        </w:p>
        <w:p w14:paraId="69F716C1" w14:textId="27DE53CE"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405" w:history="1">
            <w:r w:rsidRPr="00CD63DC">
              <w:rPr>
                <w:rStyle w:val="Hyperlink"/>
                <w:noProof/>
                <w14:scene3d>
                  <w14:camera w14:prst="orthographicFront"/>
                  <w14:lightRig w14:rig="threePt" w14:dir="t">
                    <w14:rot w14:lat="0" w14:lon="0" w14:rev="0"/>
                  </w14:lightRig>
                </w14:scene3d>
              </w:rPr>
              <w:t>6.2.</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Selection of TP methods</w:t>
            </w:r>
            <w:r w:rsidRPr="00CD63DC">
              <w:rPr>
                <w:noProof/>
                <w:webHidden/>
              </w:rPr>
              <w:tab/>
            </w:r>
            <w:r w:rsidRPr="00CD63DC">
              <w:rPr>
                <w:noProof/>
                <w:webHidden/>
              </w:rPr>
              <w:fldChar w:fldCharType="begin"/>
            </w:r>
            <w:r w:rsidRPr="00CD63DC">
              <w:rPr>
                <w:noProof/>
                <w:webHidden/>
              </w:rPr>
              <w:instrText xml:space="preserve"> PAGEREF _Toc203039405 \h </w:instrText>
            </w:r>
            <w:r w:rsidRPr="00CD63DC">
              <w:rPr>
                <w:noProof/>
                <w:webHidden/>
              </w:rPr>
            </w:r>
            <w:r w:rsidRPr="00CD63DC">
              <w:rPr>
                <w:noProof/>
                <w:webHidden/>
              </w:rPr>
              <w:fldChar w:fldCharType="separate"/>
            </w:r>
            <w:r w:rsidRPr="00CD63DC">
              <w:rPr>
                <w:noProof/>
                <w:webHidden/>
              </w:rPr>
              <w:t>19</w:t>
            </w:r>
            <w:r w:rsidRPr="00CD63DC">
              <w:rPr>
                <w:noProof/>
                <w:webHidden/>
              </w:rPr>
              <w:fldChar w:fldCharType="end"/>
            </w:r>
          </w:hyperlink>
        </w:p>
        <w:p w14:paraId="4730E66B" w14:textId="53FB2F5B"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406" w:history="1">
            <w:r w:rsidRPr="00CD63DC">
              <w:rPr>
                <w:rStyle w:val="Hyperlink"/>
                <w:noProof/>
                <w14:scene3d>
                  <w14:camera w14:prst="orthographicFront"/>
                  <w14:lightRig w14:rig="threePt" w14:dir="t">
                    <w14:rot w14:lat="0" w14:lon="0" w14:rev="0"/>
                  </w14:lightRig>
                </w14:scene3d>
              </w:rPr>
              <w:t>6.3.</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Application of TP methods</w:t>
            </w:r>
            <w:r w:rsidRPr="00CD63DC">
              <w:rPr>
                <w:noProof/>
                <w:webHidden/>
              </w:rPr>
              <w:tab/>
            </w:r>
            <w:r w:rsidRPr="00CD63DC">
              <w:rPr>
                <w:noProof/>
                <w:webHidden/>
              </w:rPr>
              <w:fldChar w:fldCharType="begin"/>
            </w:r>
            <w:r w:rsidRPr="00CD63DC">
              <w:rPr>
                <w:noProof/>
                <w:webHidden/>
              </w:rPr>
              <w:instrText xml:space="preserve"> PAGEREF _Toc203039406 \h </w:instrText>
            </w:r>
            <w:r w:rsidRPr="00CD63DC">
              <w:rPr>
                <w:noProof/>
                <w:webHidden/>
              </w:rPr>
            </w:r>
            <w:r w:rsidRPr="00CD63DC">
              <w:rPr>
                <w:noProof/>
                <w:webHidden/>
              </w:rPr>
              <w:fldChar w:fldCharType="separate"/>
            </w:r>
            <w:r w:rsidRPr="00CD63DC">
              <w:rPr>
                <w:noProof/>
                <w:webHidden/>
              </w:rPr>
              <w:t>22</w:t>
            </w:r>
            <w:r w:rsidRPr="00CD63DC">
              <w:rPr>
                <w:noProof/>
                <w:webHidden/>
              </w:rPr>
              <w:fldChar w:fldCharType="end"/>
            </w:r>
          </w:hyperlink>
        </w:p>
        <w:p w14:paraId="3A047DD3" w14:textId="57E73C48" w:rsidR="00110008" w:rsidRPr="00CD63DC" w:rsidRDefault="00110008">
          <w:pPr>
            <w:pStyle w:val="TOC2"/>
            <w:rPr>
              <w:rFonts w:asciiTheme="minorHAnsi" w:eastAsiaTheme="minorEastAsia" w:hAnsiTheme="minorHAnsi" w:cstheme="minorBidi"/>
              <w:noProof/>
              <w:color w:val="auto"/>
              <w:kern w:val="2"/>
              <w:sz w:val="24"/>
              <w:szCs w:val="24"/>
              <w:lang w:val="en-US"/>
              <w14:ligatures w14:val="standardContextual"/>
            </w:rPr>
          </w:pPr>
          <w:hyperlink w:anchor="_Toc203039407" w:history="1">
            <w:r w:rsidRPr="00CD63DC">
              <w:rPr>
                <w:rStyle w:val="Hyperlink"/>
                <w:noProof/>
                <w14:scene3d>
                  <w14:camera w14:prst="orthographicFront"/>
                  <w14:lightRig w14:rig="threePt" w14:dir="t">
                    <w14:rot w14:lat="0" w14:lon="0" w14:rev="0"/>
                  </w14:lightRig>
                </w14:scene3d>
              </w:rPr>
              <w:t>6.4.</w:t>
            </w:r>
            <w:r w:rsidRPr="00CD63DC">
              <w:rPr>
                <w:rFonts w:asciiTheme="minorHAnsi" w:eastAsiaTheme="minorEastAsia" w:hAnsiTheme="minorHAnsi" w:cstheme="minorBidi"/>
                <w:noProof/>
                <w:color w:val="auto"/>
                <w:kern w:val="2"/>
                <w:sz w:val="24"/>
                <w:szCs w:val="24"/>
                <w:lang w:val="en-US"/>
                <w14:ligatures w14:val="standardContextual"/>
              </w:rPr>
              <w:tab/>
            </w:r>
            <w:r w:rsidRPr="00CD63DC">
              <w:rPr>
                <w:rStyle w:val="Hyperlink"/>
                <w:noProof/>
              </w:rPr>
              <w:t>Financial analysis</w:t>
            </w:r>
            <w:r w:rsidRPr="00CD63DC">
              <w:rPr>
                <w:noProof/>
                <w:webHidden/>
              </w:rPr>
              <w:tab/>
            </w:r>
            <w:r w:rsidRPr="00CD63DC">
              <w:rPr>
                <w:noProof/>
                <w:webHidden/>
              </w:rPr>
              <w:fldChar w:fldCharType="begin"/>
            </w:r>
            <w:r w:rsidRPr="00CD63DC">
              <w:rPr>
                <w:noProof/>
                <w:webHidden/>
              </w:rPr>
              <w:instrText xml:space="preserve"> PAGEREF _Toc203039407 \h </w:instrText>
            </w:r>
            <w:r w:rsidRPr="00CD63DC">
              <w:rPr>
                <w:noProof/>
                <w:webHidden/>
              </w:rPr>
            </w:r>
            <w:r w:rsidRPr="00CD63DC">
              <w:rPr>
                <w:noProof/>
                <w:webHidden/>
              </w:rPr>
              <w:fldChar w:fldCharType="separate"/>
            </w:r>
            <w:r w:rsidRPr="00CD63DC">
              <w:rPr>
                <w:noProof/>
                <w:webHidden/>
              </w:rPr>
              <w:t>24</w:t>
            </w:r>
            <w:r w:rsidRPr="00CD63DC">
              <w:rPr>
                <w:noProof/>
                <w:webHidden/>
              </w:rPr>
              <w:fldChar w:fldCharType="end"/>
            </w:r>
          </w:hyperlink>
        </w:p>
        <w:p w14:paraId="595BD128" w14:textId="77731D2C" w:rsidR="00110008" w:rsidRPr="00CD63DC" w:rsidRDefault="00110008">
          <w:pPr>
            <w:pStyle w:val="TOC1"/>
            <w:rPr>
              <w:rFonts w:asciiTheme="minorHAnsi" w:eastAsiaTheme="minorEastAsia" w:hAnsiTheme="minorHAnsi" w:cstheme="minorBidi"/>
              <w:b w:val="0"/>
              <w:noProof/>
              <w:color w:val="auto"/>
              <w:kern w:val="2"/>
              <w:sz w:val="24"/>
              <w:szCs w:val="24"/>
              <w:lang w:val="en-US"/>
              <w14:ligatures w14:val="standardContextual"/>
            </w:rPr>
          </w:pPr>
          <w:hyperlink w:anchor="_Toc203039408" w:history="1">
            <w:r w:rsidRPr="00CD63DC">
              <w:rPr>
                <w:rStyle w:val="Hyperlink"/>
                <w:noProof/>
              </w:rPr>
              <w:t>Appendix I – COMPANY Group’s Master File</w:t>
            </w:r>
            <w:r w:rsidRPr="00CD63DC">
              <w:rPr>
                <w:noProof/>
                <w:webHidden/>
              </w:rPr>
              <w:tab/>
            </w:r>
            <w:r w:rsidRPr="00CD63DC">
              <w:rPr>
                <w:noProof/>
                <w:webHidden/>
              </w:rPr>
              <w:fldChar w:fldCharType="begin"/>
            </w:r>
            <w:r w:rsidRPr="00CD63DC">
              <w:rPr>
                <w:noProof/>
                <w:webHidden/>
              </w:rPr>
              <w:instrText xml:space="preserve"> PAGEREF _Toc203039408 \h </w:instrText>
            </w:r>
            <w:r w:rsidRPr="00CD63DC">
              <w:rPr>
                <w:noProof/>
                <w:webHidden/>
              </w:rPr>
            </w:r>
            <w:r w:rsidRPr="00CD63DC">
              <w:rPr>
                <w:noProof/>
                <w:webHidden/>
              </w:rPr>
              <w:fldChar w:fldCharType="separate"/>
            </w:r>
            <w:r w:rsidRPr="00CD63DC">
              <w:rPr>
                <w:noProof/>
                <w:webHidden/>
              </w:rPr>
              <w:t>25</w:t>
            </w:r>
            <w:r w:rsidRPr="00CD63DC">
              <w:rPr>
                <w:noProof/>
                <w:webHidden/>
              </w:rPr>
              <w:fldChar w:fldCharType="end"/>
            </w:r>
          </w:hyperlink>
        </w:p>
        <w:p w14:paraId="3273CCA4" w14:textId="4250A2FA" w:rsidR="00110008" w:rsidRPr="00CD63DC" w:rsidRDefault="00110008">
          <w:pPr>
            <w:pStyle w:val="TOC1"/>
            <w:rPr>
              <w:rFonts w:asciiTheme="minorHAnsi" w:eastAsiaTheme="minorEastAsia" w:hAnsiTheme="minorHAnsi" w:cstheme="minorBidi"/>
              <w:b w:val="0"/>
              <w:noProof/>
              <w:color w:val="auto"/>
              <w:kern w:val="2"/>
              <w:sz w:val="24"/>
              <w:szCs w:val="24"/>
              <w:lang w:val="en-US"/>
              <w14:ligatures w14:val="standardContextual"/>
            </w:rPr>
          </w:pPr>
          <w:hyperlink w:anchor="_Toc203039409" w:history="1">
            <w:r w:rsidRPr="00CD63DC">
              <w:rPr>
                <w:rStyle w:val="Hyperlink"/>
                <w:noProof/>
              </w:rPr>
              <w:t>Appendix II – BEPS Action 13 – Cross-reference Table</w:t>
            </w:r>
            <w:r w:rsidRPr="00CD63DC">
              <w:rPr>
                <w:noProof/>
                <w:webHidden/>
              </w:rPr>
              <w:tab/>
            </w:r>
            <w:r w:rsidRPr="00CD63DC">
              <w:rPr>
                <w:noProof/>
                <w:webHidden/>
              </w:rPr>
              <w:fldChar w:fldCharType="begin"/>
            </w:r>
            <w:r w:rsidRPr="00CD63DC">
              <w:rPr>
                <w:noProof/>
                <w:webHidden/>
              </w:rPr>
              <w:instrText xml:space="preserve"> PAGEREF _Toc203039409 \h </w:instrText>
            </w:r>
            <w:r w:rsidRPr="00CD63DC">
              <w:rPr>
                <w:noProof/>
                <w:webHidden/>
              </w:rPr>
            </w:r>
            <w:r w:rsidRPr="00CD63DC">
              <w:rPr>
                <w:noProof/>
                <w:webHidden/>
              </w:rPr>
              <w:fldChar w:fldCharType="separate"/>
            </w:r>
            <w:r w:rsidRPr="00CD63DC">
              <w:rPr>
                <w:noProof/>
                <w:webHidden/>
              </w:rPr>
              <w:t>26</w:t>
            </w:r>
            <w:r w:rsidRPr="00CD63DC">
              <w:rPr>
                <w:noProof/>
                <w:webHidden/>
              </w:rPr>
              <w:fldChar w:fldCharType="end"/>
            </w:r>
          </w:hyperlink>
        </w:p>
        <w:p w14:paraId="1F7E72A4" w14:textId="68F4A10F" w:rsidR="00110008" w:rsidRPr="00CD63DC" w:rsidRDefault="00110008">
          <w:pPr>
            <w:pStyle w:val="TOC1"/>
            <w:rPr>
              <w:rFonts w:asciiTheme="minorHAnsi" w:eastAsiaTheme="minorEastAsia" w:hAnsiTheme="minorHAnsi" w:cstheme="minorBidi"/>
              <w:b w:val="0"/>
              <w:noProof/>
              <w:color w:val="auto"/>
              <w:kern w:val="2"/>
              <w:sz w:val="24"/>
              <w:szCs w:val="24"/>
              <w:lang w:val="en-US"/>
              <w14:ligatures w14:val="standardContextual"/>
            </w:rPr>
          </w:pPr>
          <w:hyperlink w:anchor="_Toc203039410" w:history="1">
            <w:r w:rsidRPr="00CD63DC">
              <w:rPr>
                <w:rStyle w:val="Hyperlink"/>
                <w:noProof/>
              </w:rPr>
              <w:t>Appendix III – Intercompany Agreements</w:t>
            </w:r>
            <w:r w:rsidRPr="00CD63DC">
              <w:rPr>
                <w:noProof/>
                <w:webHidden/>
              </w:rPr>
              <w:tab/>
            </w:r>
            <w:r w:rsidRPr="00CD63DC">
              <w:rPr>
                <w:noProof/>
                <w:webHidden/>
              </w:rPr>
              <w:fldChar w:fldCharType="begin"/>
            </w:r>
            <w:r w:rsidRPr="00CD63DC">
              <w:rPr>
                <w:noProof/>
                <w:webHidden/>
              </w:rPr>
              <w:instrText xml:space="preserve"> PAGEREF _Toc203039410 \h </w:instrText>
            </w:r>
            <w:r w:rsidRPr="00CD63DC">
              <w:rPr>
                <w:noProof/>
                <w:webHidden/>
              </w:rPr>
            </w:r>
            <w:r w:rsidRPr="00CD63DC">
              <w:rPr>
                <w:noProof/>
                <w:webHidden/>
              </w:rPr>
              <w:fldChar w:fldCharType="separate"/>
            </w:r>
            <w:r w:rsidRPr="00CD63DC">
              <w:rPr>
                <w:noProof/>
                <w:webHidden/>
              </w:rPr>
              <w:t>28</w:t>
            </w:r>
            <w:r w:rsidRPr="00CD63DC">
              <w:rPr>
                <w:noProof/>
                <w:webHidden/>
              </w:rPr>
              <w:fldChar w:fldCharType="end"/>
            </w:r>
          </w:hyperlink>
        </w:p>
        <w:p w14:paraId="5100C6DB" w14:textId="528F2025" w:rsidR="00110008" w:rsidRPr="00CD63DC" w:rsidRDefault="00110008">
          <w:pPr>
            <w:pStyle w:val="TOC1"/>
            <w:rPr>
              <w:rFonts w:asciiTheme="minorHAnsi" w:eastAsiaTheme="minorEastAsia" w:hAnsiTheme="minorHAnsi" w:cstheme="minorBidi"/>
              <w:b w:val="0"/>
              <w:noProof/>
              <w:color w:val="auto"/>
              <w:kern w:val="2"/>
              <w:sz w:val="24"/>
              <w:szCs w:val="24"/>
              <w:lang w:val="en-US"/>
              <w14:ligatures w14:val="standardContextual"/>
            </w:rPr>
          </w:pPr>
          <w:hyperlink w:anchor="_Toc203039411" w:history="1">
            <w:r w:rsidRPr="00CD63DC">
              <w:rPr>
                <w:rStyle w:val="Hyperlink"/>
                <w:noProof/>
              </w:rPr>
              <w:t>Appendix IV – Statutory Accounts of COMPANY 1 for FY2022, FY2023 and FY2024</w:t>
            </w:r>
            <w:r w:rsidRPr="00CD63DC">
              <w:rPr>
                <w:noProof/>
                <w:webHidden/>
              </w:rPr>
              <w:tab/>
            </w:r>
            <w:r w:rsidRPr="00CD63DC">
              <w:rPr>
                <w:noProof/>
                <w:webHidden/>
              </w:rPr>
              <w:fldChar w:fldCharType="begin"/>
            </w:r>
            <w:r w:rsidRPr="00CD63DC">
              <w:rPr>
                <w:noProof/>
                <w:webHidden/>
              </w:rPr>
              <w:instrText xml:space="preserve"> PAGEREF _Toc203039411 \h </w:instrText>
            </w:r>
            <w:r w:rsidRPr="00CD63DC">
              <w:rPr>
                <w:noProof/>
                <w:webHidden/>
              </w:rPr>
            </w:r>
            <w:r w:rsidRPr="00CD63DC">
              <w:rPr>
                <w:noProof/>
                <w:webHidden/>
              </w:rPr>
              <w:fldChar w:fldCharType="separate"/>
            </w:r>
            <w:r w:rsidRPr="00CD63DC">
              <w:rPr>
                <w:noProof/>
                <w:webHidden/>
              </w:rPr>
              <w:t>29</w:t>
            </w:r>
            <w:r w:rsidRPr="00CD63DC">
              <w:rPr>
                <w:noProof/>
                <w:webHidden/>
              </w:rPr>
              <w:fldChar w:fldCharType="end"/>
            </w:r>
          </w:hyperlink>
        </w:p>
        <w:p w14:paraId="25D9B220" w14:textId="09400745" w:rsidR="00110008" w:rsidRPr="00CD63DC" w:rsidRDefault="00110008">
          <w:pPr>
            <w:pStyle w:val="TOC1"/>
            <w:rPr>
              <w:rFonts w:asciiTheme="minorHAnsi" w:eastAsiaTheme="minorEastAsia" w:hAnsiTheme="minorHAnsi" w:cstheme="minorBidi"/>
              <w:b w:val="0"/>
              <w:noProof/>
              <w:color w:val="auto"/>
              <w:kern w:val="2"/>
              <w:sz w:val="24"/>
              <w:szCs w:val="24"/>
              <w:lang w:val="en-US"/>
              <w14:ligatures w14:val="standardContextual"/>
            </w:rPr>
          </w:pPr>
          <w:hyperlink w:anchor="_Toc203039412" w:history="1">
            <w:r w:rsidRPr="00CD63DC">
              <w:rPr>
                <w:rStyle w:val="Hyperlink"/>
                <w:noProof/>
              </w:rPr>
              <w:t>Appendix V – Benchmarking stud</w:t>
            </w:r>
            <w:r w:rsidRPr="00CD63DC">
              <w:rPr>
                <w:rStyle w:val="Hyperlink"/>
                <w:noProof/>
                <w:lang w:eastAsia="zh-CN"/>
              </w:rPr>
              <w:t>ies</w:t>
            </w:r>
            <w:r w:rsidRPr="00CD63DC">
              <w:rPr>
                <w:noProof/>
                <w:webHidden/>
              </w:rPr>
              <w:tab/>
            </w:r>
            <w:r w:rsidRPr="00CD63DC">
              <w:rPr>
                <w:noProof/>
                <w:webHidden/>
              </w:rPr>
              <w:fldChar w:fldCharType="begin"/>
            </w:r>
            <w:r w:rsidRPr="00CD63DC">
              <w:rPr>
                <w:noProof/>
                <w:webHidden/>
              </w:rPr>
              <w:instrText xml:space="preserve"> PAGEREF _Toc203039412 \h </w:instrText>
            </w:r>
            <w:r w:rsidRPr="00CD63DC">
              <w:rPr>
                <w:noProof/>
                <w:webHidden/>
              </w:rPr>
            </w:r>
            <w:r w:rsidRPr="00CD63DC">
              <w:rPr>
                <w:noProof/>
                <w:webHidden/>
              </w:rPr>
              <w:fldChar w:fldCharType="separate"/>
            </w:r>
            <w:r w:rsidRPr="00CD63DC">
              <w:rPr>
                <w:noProof/>
                <w:webHidden/>
              </w:rPr>
              <w:t>30</w:t>
            </w:r>
            <w:r w:rsidRPr="00CD63DC">
              <w:rPr>
                <w:noProof/>
                <w:webHidden/>
              </w:rPr>
              <w:fldChar w:fldCharType="end"/>
            </w:r>
          </w:hyperlink>
        </w:p>
        <w:p w14:paraId="0B0E1281" w14:textId="2B93450D" w:rsidR="0018078F" w:rsidRPr="00CD63DC" w:rsidRDefault="00361F29">
          <w:pPr>
            <w:rPr>
              <w:b/>
            </w:rPr>
          </w:pPr>
          <w:r w:rsidRPr="00CD63DC">
            <w:rPr>
              <w:b/>
            </w:rPr>
            <w:fldChar w:fldCharType="end"/>
          </w:r>
        </w:p>
      </w:sdtContent>
    </w:sdt>
    <w:p w14:paraId="35E8A4C6" w14:textId="29640BA5" w:rsidR="0018078F" w:rsidRPr="00CD63DC" w:rsidRDefault="00361F29">
      <w:pPr>
        <w:pStyle w:val="Heading1"/>
        <w:numPr>
          <w:ilvl w:val="0"/>
          <w:numId w:val="9"/>
        </w:numPr>
        <w:tabs>
          <w:tab w:val="left" w:pos="1134"/>
        </w:tabs>
        <w:autoSpaceDE w:val="0"/>
        <w:autoSpaceDN w:val="0"/>
        <w:adjustRightInd w:val="0"/>
        <w:ind w:left="1134" w:hanging="1134"/>
        <w:rPr>
          <w:rFonts w:cs="Arial"/>
          <w:color w:val="3F9C35"/>
          <w:lang w:val="en-US"/>
          <w14:textFill>
            <w14:solidFill>
              <w14:srgbClr w14:val="3F9C35">
                <w14:lumMod w14:val="50000"/>
                <w14:lumOff w14:val="50000"/>
              </w14:srgbClr>
            </w14:solidFill>
          </w14:textFill>
          <w14:scene3d>
            <w14:camera w14:prst="orthographicFront"/>
            <w14:lightRig w14:rig="threePt" w14:dir="t">
              <w14:rot w14:lat="0" w14:lon="0" w14:rev="0"/>
            </w14:lightRig>
          </w14:scene3d>
        </w:rPr>
      </w:pPr>
      <w:bookmarkStart w:id="4" w:name="_Toc203039378"/>
      <w:bookmarkEnd w:id="3"/>
      <w:bookmarkEnd w:id="4"/>
      <w:r>
        <w:t xml:space="preserve">Executive Summary </w:t>
      </w:r>
    </w:p>
    <w:p w14:paraId="39060577" w14:textId="77777777" w:rsidR="0018078F" w:rsidRPr="00CD63DC" w:rsidRDefault="00361F29">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5" w:name="_Toc203039379"/>
      <w:bookmarkEnd w:id="5"/>
      <w:r>
        <w:t>Introduction</w:t>
      </w:r>
    </w:p>
    <w:p w14:paraId="0F548130" w14:textId="75678BD0" w:rsidR="0018078F" w:rsidRPr="00CD63DC" w:rsidRDefault="00232B60">
      <w:pPr>
        <w:pStyle w:val="BodyText"/>
        <w:spacing w:line="240" w:lineRule="auto"/>
        <w:rPr>
          <w:lang w:val="en-US"/>
        </w:rPr>
      </w:pPr>
      <w:bookmarkStart w:id="6" w:name="_Toc116634858"/>
      <w:proofErr w:type="spellStart"/>
      <w:proofErr w:type="spellEnd"/>
      <w:proofErr w:type="spellStart"/>
      <w:proofErr w:type="spellEnd"/>
      <w:proofErr w:type="spellStart"/>
      <w:proofErr w:type="spellEnd"/>
      <w:proofErr w:type="spellStart"/>
      <w:proofErr w:type="spellEnd"/>
      <w:r>
        <w:t>SofarSolar Netherlands B.V. has engaged RSM Netherlands Belastingadviseurs N.V. (“RSM” or “we”) to assess the arm’s length nature of the transfer pricing policy that SofarSolar Netherlands B.V. applied to the intercompany transactions undertaken within the group for the Financial Year ended 31 December 2024.</w:t>
      </w:r>
    </w:p>
    <w:p w14:paraId="37ECD805" w14:textId="12DFD664" w:rsidR="0018078F" w:rsidRPr="00CD63DC" w:rsidRDefault="00361F29">
      <w:pPr>
        <w:pStyle w:val="BodyText"/>
        <w:spacing w:line="240" w:lineRule="auto"/>
      </w:pPr>
      <w:bookmarkStart w:id="7" w:name="_Hlk58943266"/>
      <w:proofErr w:type="spellStart"/>
      <w:proofErr w:type="spellEnd"/>
      <w:r>
        <w:t>This Local File covers the assessment of the arm’s length nature of the following intercompany transactions for FY2024:</w:t>
      </w:r>
    </w:p>
    <w:p w14:paraId="1427F988" w14:textId="40A2C326" w:rsidR="0018078F" w:rsidRPr="00CD63DC" w:rsidRDefault="00361F29">
      <w:pPr>
        <w:numPr>
          <w:ilvl w:val="0"/>
          <w:numId w:val="10"/>
        </w:numPr>
        <w:rPr>
          <w:rFonts w:eastAsia="YouYuan"/>
          <w:color w:val="7F7F7F"/>
          <w:lang w:val="en-US"/>
          <w14:textFill>
            <w14:solidFill>
              <w14:srgbClr w14:val="7F7F7F">
                <w14:lumMod w14:val="50000"/>
                <w14:lumOff w14:val="50000"/>
              </w14:srgbClr>
            </w14:solidFill>
          </w14:textFill>
        </w:rPr>
      </w:pPr>
      <w:bookmarkStart w:id="8" w:name="_Hlk116564884"/>
      <w:bookmarkStart w:id="9" w:name="_Hlk35622291"/>
      <w:proofErr w:type="spellStart"/>
      <w:proofErr w:type="spellEnd"/>
      <w:proofErr w:type="spellStart"/>
      <w:proofErr w:type="spellEnd"/>
      <w:proofErr w:type="spellStart"/>
      <w:proofErr w:type="spellEnd"/>
      <w:bookmarkEnd w:id="8"/>
      <w:r>
        <w:t xml:space="preserve">Transaction 1 – Provision of re-invoicing services by SofarSolar Netherlands B.V. in relation to the Purchase of goods by SofarSolar Netherlands B.V. from Shenzhen SofarSolar Co. Ltd.  </w:t>
      </w:r>
    </w:p>
    <w:p w14:paraId="4455AFF0" w14:textId="77777777" w:rsidR="0018078F" w:rsidRPr="00CD63DC" w:rsidRDefault="00361F29">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10" w:name="_Toc203039380"/>
      <w:bookmarkEnd w:id="7"/>
      <w:bookmarkEnd w:id="9"/>
      <w:bookmarkEnd w:id="6"/>
      <w:bookmarkEnd w:id="10"/>
      <w:r>
        <w:t>Conclusions</w:t>
      </w:r>
    </w:p>
    <w:p w14:paraId="275FE615" w14:textId="02DCBA66" w:rsidR="0018078F" w:rsidRPr="00CD63DC" w:rsidRDefault="00361F29">
      <w:pPr>
        <w:pStyle w:val="Heading3"/>
        <w:numPr>
          <w:ilvl w:val="2"/>
          <w:numId w:val="9"/>
        </w:numPr>
        <w:spacing w:line="276" w:lineRule="auto"/>
        <w:ind w:left="1166" w:hanging="1166"/>
      </w:pPr>
      <w:proofErr w:type="spellStart"/>
      <w:proofErr w:type="spellEnd"/>
      <w:proofErr w:type="spellStart"/>
      <w:proofErr w:type="spellEnd"/>
      <w:proofErr w:type="spellStart"/>
      <w:proofErr w:type="spellEnd"/>
      <w:r>
        <w:t xml:space="preserve">Transaction 1 – Provision of re-invoicing services by SofarSolar Netherlands B.V. in relation to the Purchase of goods by SofarSolar Netherlands B.V. from Shenzhen SofarSolar Co. Ltd. </w:t>
      </w:r>
    </w:p>
    <w:p w14:paraId="76BF183A" w14:textId="173C9E9C" w:rsidR="00A668EA" w:rsidRPr="00CD63DC" w:rsidRDefault="00A668EA">
      <w:pPr>
        <w:pStyle w:val="BodyText"/>
        <w:rPr>
          <w:color w:val="auto"/>
          <w:lang w:val="en-US"/>
        </w:rPr>
      </w:pPr>
      <w:proofErr w:type="spellStart"/>
      <w:proofErr w:type="spellEnd"/>
      <w:proofErr w:type="spellStart"/>
      <w:proofErr w:type="spellEnd"/>
      <w:proofErr w:type="spellStart"/>
      <w:proofErr w:type="spellEnd"/>
      <w:r>
        <w:t>During FY2024, SofarSolar Netherlands B.V. was engaged in the provision of re-invoicing activities in relation to the purchase of goods from Shenzhen SofarSolar Co. Ltd.  for the purpose of further distribution in the Dutch and European market.</w:t>
      </w:r>
    </w:p>
    <w:p w14:paraId="1E2A67E3" w14:textId="5BFE327A" w:rsidR="0018078F" w:rsidRPr="00CD63DC" w:rsidRDefault="00B701C4" w:rsidP="00EB29F9">
      <w:pPr>
        <w:pStyle w:val="BodyText"/>
        <w:rPr>
          <w:lang w:val="en-US"/>
        </w:rPr>
      </w:pPr>
      <w:proofErr w:type="gramStart"/>
      <w:proofErr w:type="spellStart"/>
      <w:proofErr w:type="gramEnd"/>
      <w:proofErr w:type="spellEnd"/>
      <w:proofErr w:type="spellStart"/>
      <w:proofErr w:type="gramStart"/>
      <w:proofErr w:type="spellEnd"/>
      <w:proofErr w:type="gramEnd"/>
      <w:r>
        <w:t>During this period, SofarSolar Netherlands B.V. did not employ any personnel and therefore did not perform or control any economically significant functions did not bear any material risks in relation to this transaction. All strategic, operational, and risk-related decisions, including those related to inventory, market, and credit risk, were performed and managed exclusively by the Shenzhen SofarSolar Co. Ltd. .</w:t>
      </w:r>
    </w:p>
    <w:p w14:paraId="5640735F" w14:textId="45E5D5A8" w:rsidR="0018078F" w:rsidRPr="00CD63DC" w:rsidRDefault="00322576" w:rsidP="00765182">
      <w:pPr>
        <w:pStyle w:val="BodyText"/>
      </w:pPr>
      <w:proofErr w:type="spellStart"/>
      <w:proofErr w:type="spellEnd"/>
      <w:r>
        <w:t>It can be concluded that SofarSolar Netherlands B.V. is characterized as a service entity with no employees, engaged solely in re-invoicing activities.</w:t>
      </w:r>
    </w:p>
    <w:p w14:paraId="413622E3" w14:textId="77777777" w:rsidR="0018078F" w:rsidRPr="00CD63DC" w:rsidRDefault="00361F29">
      <w:pPr>
        <w:pStyle w:val="BodyText"/>
        <w:rPr>
          <w:lang w:val="en-US"/>
        </w:rPr>
      </w:pPr>
      <w:r>
        <w:t>The Dutch Transfer Pricing Decree (1 July 2022) provides clarification on how intermediary entities with no employees which are engaged in re-invoicing activities should be remunerated. According to the Dutch Transfer Pricing Decree (2022), Paragraph 3.2.3, such an intermediary should, in principle, be rewarded with a profit margin based on its own relevant operational costs, including the costs associated with its re-invoicing activities, and not through a remuneration related to turnover.</w:t>
      </w:r>
    </w:p>
    <w:p w14:paraId="104D86AE" w14:textId="4A6B72BF" w:rsidR="0018078F" w:rsidRPr="00CD63DC" w:rsidRDefault="00361F29">
      <w:pPr>
        <w:pStyle w:val="BodyText"/>
      </w:pPr>
      <w:proofErr w:type="spellStart"/>
      <w:proofErr w:type="spellEnd"/>
      <w:r>
        <w:t>Based on the above, to assess what should be the remuneration for these activities, the Transactional Net Margin Method (“TNMM”) was considered the most appropriate transfer pricing method for the re-invoicing activities that it performs. As SofarSolar Netherlands B.V. is the entity with the least complex functional profile, it has been selected as the tested party.</w:t>
      </w:r>
    </w:p>
    <w:p w14:paraId="09347DD5" w14:textId="79F3623F" w:rsidR="0018078F" w:rsidRPr="00CD63DC" w:rsidRDefault="00361F29">
      <w:pPr>
        <w:pStyle w:val="BodyText"/>
      </w:pPr>
      <w:proofErr w:type="spellStart"/>
      <w:proofErr w:type="spellEnd"/>
      <w:proofErr w:type="spellStart"/>
      <w:proofErr w:type="spellEnd"/>
      <w:r>
        <w:t>The next step is to select the most appropriate profit level indicator (“PLI”) to provide a reliable measure of the remuneration for the activities of SofarSolar Netherlands B.V.. As the activities of SofarSolar Netherlands B.V. are considered re-invoicing activities, the mark-up on total costs was considered the most appropriate PLI.</w:t>
      </w:r>
    </w:p>
    <w:p w14:paraId="3DCC05D5" w14:textId="15B18082" w:rsidR="0018078F" w:rsidRPr="00CD63DC" w:rsidRDefault="00361F29">
      <w:pPr>
        <w:pStyle w:val="BodyText"/>
      </w:pPr>
      <w:proofErr w:type="spellStart"/>
      <w:proofErr w:type="spellEnd"/>
      <w:r>
        <w:t>A benchmarking study was performed to identify a set of companies that perform comparable functions and assume comparable risks as those performed and assumed by the SofarSolar Netherlands B.V. in the European market. A description of the benchmarking study that have been performed has been included in Appendix II.</w:t>
      </w:r>
    </w:p>
    <w:p w14:paraId="570891B9" w14:textId="77777777" w:rsidR="0018078F" w:rsidRPr="00CD63DC" w:rsidRDefault="00361F29">
      <w:pPr>
        <w:pStyle w:val="BodyText"/>
        <w:spacing w:line="240" w:lineRule="auto"/>
      </w:pPr>
      <w:r>
        <w:t>The weighted average mark-up on total costs results for the final set of comparable companies over a 3-year period are summarized below:</w:t>
      </w:r>
    </w:p>
    <w:p w14:paraId="7ECB3BC6" w14:textId="77777777" w:rsidR="0018078F" w:rsidRPr="00CD63DC" w:rsidRDefault="00361F29">
      <w:pPr>
        <w:keepNext/>
        <w:rPr>
          <w:b/>
          <w:color w:val="00B050"/>
          <w:lang w:val="en-US"/>
          <w14:textFill>
            <w14:solidFill>
              <w14:srgbClr w14:val="00B050">
                <w14:lumMod w14:val="50000"/>
                <w14:lumOff w14:val="50000"/>
              </w14:srgbClr>
            </w14:solidFill>
          </w14:textFill>
        </w:rPr>
      </w:pPr>
      <w:r>
        <w:t>Pan-European benchmark</w:t>
      </w:r>
    </w:p>
    <w:p w14:paraId="55C10567" w14:textId="77777777" w:rsidR="0018078F" w:rsidRPr="00CD63DC" w:rsidRDefault="00361F29">
      <w:pPr>
        <w:keepNext/>
        <w:rPr>
          <w:color w:val="F2F2F2" w:themeColor="background2"/>
          <w:lang w:val="en-US"/>
          <w14:textFill>
            <w14:solidFill>
              <w14:schemeClr w14:val="bg2">
                <w14:lumMod w14:val="50000"/>
                <w14:lumMod w14:val="50000"/>
                <w14:lumOff w14:val="50000"/>
              </w14:schemeClr>
            </w14:solidFill>
          </w14:textFill>
        </w:rPr>
      </w:pPr>
      <w:r>
        <w:t xml:space="preserve">Table 1: Benchmark results </w:t>
      </w:r>
    </w:p>
    <w:tbl>
      <w:tblPr>
        <w:tblW w:w="6457" w:type="dxa"/>
        <w:tblInd w:w="-5"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2093"/>
        <w:gridCol w:w="4364"/>
      </w:tblGrid>
      <w:tr w:rsidR="0018078F" w:rsidRPr="00CD63DC" w14:paraId="7B3E7AA5" w14:textId="77777777">
        <w:trPr>
          <w:trHeight w:hRule="exact" w:val="696"/>
        </w:trPr>
        <w:tc>
          <w:tcPr>
            <w:tcW w:w="2093" w:type="dxa"/>
            <w:shd w:val="clear" w:color="auto" w:fill="00B050"/>
            <w:noWrap/>
            <w:vAlign w:val="bottom"/>
          </w:tcPr>
          <w:p w14:paraId="68F91E9A" w14:textId="77777777" w:rsidR="0018078F" w:rsidRPr="00CD63DC" w:rsidRDefault="00361F29">
            <w:pPr>
              <w:keepNext/>
              <w:keepLines/>
              <w:spacing w:before="60" w:after="60"/>
              <w:jc w:val="left"/>
              <w:rPr>
                <w:rFonts w:ascii="Calibri" w:eastAsia="Times New Roman" w:hAnsi="Calibri"/>
                <w:b/>
                <w:bCs/>
                <w:color w:val="FFFFFF"/>
                <w14:textFill>
                  <w14:solidFill>
                    <w14:srgbClr w14:val="FFFFFF">
                      <w14:lumMod w14:val="50000"/>
                      <w14:lumOff w14:val="50000"/>
                    </w14:srgbClr>
                  </w14:solidFill>
                </w14:textFill>
              </w:rPr>
            </w:pPr>
            <w:r>
              <w:t>Full Range</w:t>
            </w:r>
          </w:p>
        </w:tc>
        <w:tc>
          <w:tcPr>
            <w:tcW w:w="4364" w:type="dxa"/>
            <w:shd w:val="clear" w:color="auto" w:fill="00B050"/>
            <w:vAlign w:val="bottom"/>
          </w:tcPr>
          <w:p w14:paraId="3817E026" w14:textId="77777777" w:rsidR="0018078F" w:rsidRPr="00CD63DC" w:rsidRDefault="00361F29">
            <w:pPr>
              <w:keepNext/>
              <w:keepLines/>
              <w:spacing w:before="60" w:after="60"/>
              <w:jc w:val="center"/>
              <w:rPr>
                <w:rFonts w:eastAsia="Times New Roman"/>
                <w:b/>
                <w:color w:val="FFFFFF"/>
                <w14:textFill>
                  <w14:solidFill>
                    <w14:srgbClr w14:val="FFFFFF">
                      <w14:lumMod w14:val="50000"/>
                      <w14:lumOff w14:val="50000"/>
                    </w14:srgbClr>
                  </w14:solidFill>
                </w14:textFill>
              </w:rPr>
            </w:pPr>
            <w:r>
              <w:t>Mark-up on Total Costs</w:t>
            </w:r>
          </w:p>
          <w:p w14:paraId="06FEE25B" w14:textId="77777777" w:rsidR="0018078F" w:rsidRPr="00CD63DC" w:rsidRDefault="00361F29">
            <w:pPr>
              <w:keepNext/>
              <w:keepLines/>
              <w:spacing w:before="60" w:after="60"/>
              <w:jc w:val="center"/>
              <w:rPr>
                <w:rFonts w:eastAsia="Times New Roman"/>
                <w:b/>
                <w:color w:val="FFFFFF"/>
                <w14:textFill>
                  <w14:solidFill>
                    <w14:srgbClr w14:val="FFFFFF">
                      <w14:lumMod w14:val="50000"/>
                      <w14:lumOff w14:val="50000"/>
                    </w14:srgbClr>
                  </w14:solidFill>
                </w14:textFill>
              </w:rPr>
            </w:pPr>
            <w:r>
              <w:t>Three-Year Weighted Average (2021-2023)</w:t>
            </w:r>
          </w:p>
        </w:tc>
      </w:tr>
      <w:tr w:rsidR="0018078F" w:rsidRPr="00CD63DC" w14:paraId="707CA184" w14:textId="77777777">
        <w:trPr>
          <w:trHeight w:hRule="exact" w:val="302"/>
        </w:trPr>
        <w:tc>
          <w:tcPr>
            <w:tcW w:w="2093" w:type="dxa"/>
            <w:noWrap/>
            <w:vAlign w:val="center"/>
          </w:tcPr>
          <w:p w14:paraId="26F417FC" w14:textId="77777777" w:rsidR="0018078F" w:rsidRPr="00CD63DC" w:rsidRDefault="00361F29">
            <w:pPr>
              <w:keepNext/>
              <w:keepLines/>
              <w:spacing w:before="60" w:after="60"/>
              <w:rPr>
                <w:rFonts w:eastAsia="Times New Roman"/>
                <w:color w:val="F2F2F2" w:themeColor="background2"/>
                <w14:textFill>
                  <w14:solidFill>
                    <w14:schemeClr w14:val="bg2">
                      <w14:lumMod w14:val="50000"/>
                      <w14:lumMod w14:val="50000"/>
                      <w14:lumOff w14:val="50000"/>
                    </w14:schemeClr>
                  </w14:solidFill>
                </w14:textFill>
              </w:rPr>
            </w:pPr>
            <w:r>
              <w:t>Maximum</w:t>
            </w:r>
          </w:p>
        </w:tc>
        <w:tc>
          <w:tcPr>
            <w:tcW w:w="4364" w:type="dxa"/>
            <w:noWrap/>
            <w:vAlign w:val="center"/>
          </w:tcPr>
          <w:p w14:paraId="7D48E4C0" w14:textId="77777777" w:rsidR="0018078F" w:rsidRPr="00CD63DC" w:rsidRDefault="00361F29">
            <w:pPr>
              <w:keepNext/>
              <w:keepLines/>
              <w:spacing w:before="60" w:after="60"/>
              <w:jc w:val="center"/>
              <w:rPr>
                <w:rFonts w:eastAsia="Times New Roman"/>
                <w:color w:val="F2F2F2" w:themeColor="background2"/>
                <w14:textFill>
                  <w14:solidFill>
                    <w14:schemeClr w14:val="bg2">
                      <w14:lumMod w14:val="50000"/>
                      <w14:lumMod w14:val="50000"/>
                      <w14:lumOff w14:val="50000"/>
                    </w14:schemeClr>
                  </w14:solidFill>
                </w14:textFill>
              </w:rPr>
            </w:pPr>
            <w:r>
              <w:t>44.3%</w:t>
            </w:r>
          </w:p>
        </w:tc>
      </w:tr>
      <w:tr w:rsidR="0018078F" w:rsidRPr="00CD63DC" w14:paraId="021D61CB" w14:textId="77777777">
        <w:trPr>
          <w:trHeight w:hRule="exact" w:val="302"/>
        </w:trPr>
        <w:tc>
          <w:tcPr>
            <w:tcW w:w="2093" w:type="dxa"/>
            <w:noWrap/>
            <w:vAlign w:val="center"/>
          </w:tcPr>
          <w:p w14:paraId="784D4A3F" w14:textId="77777777" w:rsidR="0018078F" w:rsidRPr="00CD63DC" w:rsidRDefault="00361F29">
            <w:pPr>
              <w:keepNext/>
              <w:keepLines/>
              <w:spacing w:before="60" w:after="60"/>
              <w:rPr>
                <w:rFonts w:eastAsia="Times New Roman"/>
                <w:bCs/>
                <w:color w:val="F2F2F2" w:themeColor="background2"/>
                <w14:textFill>
                  <w14:solidFill>
                    <w14:schemeClr w14:val="bg2">
                      <w14:lumMod w14:val="50000"/>
                      <w14:lumMod w14:val="50000"/>
                      <w14:lumOff w14:val="50000"/>
                    </w14:schemeClr>
                  </w14:solidFill>
                </w14:textFill>
              </w:rPr>
            </w:pPr>
            <w:r>
              <w:t>Upper Quartile</w:t>
            </w:r>
          </w:p>
        </w:tc>
        <w:tc>
          <w:tcPr>
            <w:tcW w:w="4364" w:type="dxa"/>
            <w:noWrap/>
            <w:vAlign w:val="center"/>
          </w:tcPr>
          <w:p w14:paraId="4826587C" w14:textId="77777777" w:rsidR="0018078F" w:rsidRPr="00CD63DC" w:rsidRDefault="00361F29">
            <w:pPr>
              <w:keepNext/>
              <w:keepLines/>
              <w:spacing w:before="60" w:after="60"/>
              <w:jc w:val="center"/>
              <w:rPr>
                <w:rFonts w:eastAsia="Times New Roman"/>
                <w:color w:val="F2F2F2" w:themeColor="background2"/>
                <w14:textFill>
                  <w14:solidFill>
                    <w14:schemeClr w14:val="bg2">
                      <w14:lumMod w14:val="50000"/>
                      <w14:lumMod w14:val="50000"/>
                      <w14:lumOff w14:val="50000"/>
                    </w14:schemeClr>
                  </w14:solidFill>
                </w14:textFill>
              </w:rPr>
            </w:pPr>
            <w:r>
              <w:t>9.85%</w:t>
            </w:r>
          </w:p>
        </w:tc>
      </w:tr>
      <w:tr w:rsidR="0018078F" w:rsidRPr="00CD63DC" w14:paraId="69F55F3F" w14:textId="77777777">
        <w:trPr>
          <w:trHeight w:hRule="exact" w:val="302"/>
        </w:trPr>
        <w:tc>
          <w:tcPr>
            <w:tcW w:w="2093" w:type="dxa"/>
            <w:noWrap/>
            <w:vAlign w:val="center"/>
          </w:tcPr>
          <w:p w14:paraId="3C3D6CEE" w14:textId="77777777" w:rsidR="0018078F" w:rsidRPr="00CD63DC" w:rsidRDefault="00361F29">
            <w:pPr>
              <w:keepNext/>
              <w:keepLines/>
              <w:spacing w:before="60" w:after="60"/>
              <w:rPr>
                <w:rFonts w:eastAsia="Times New Roman"/>
                <w:bCs/>
                <w:color w:val="F2F2F2" w:themeColor="background2"/>
                <w14:textFill>
                  <w14:solidFill>
                    <w14:schemeClr w14:val="bg2">
                      <w14:lumMod w14:val="50000"/>
                      <w14:lumMod w14:val="50000"/>
                      <w14:lumOff w14:val="50000"/>
                    </w14:schemeClr>
                  </w14:solidFill>
                </w14:textFill>
              </w:rPr>
            </w:pPr>
            <w:r>
              <w:t>Median</w:t>
            </w:r>
          </w:p>
        </w:tc>
        <w:tc>
          <w:tcPr>
            <w:tcW w:w="4364" w:type="dxa"/>
            <w:noWrap/>
            <w:vAlign w:val="center"/>
          </w:tcPr>
          <w:p w14:paraId="1B88CB8B" w14:textId="77777777" w:rsidR="0018078F" w:rsidRPr="00CD63DC" w:rsidRDefault="00361F29">
            <w:pPr>
              <w:keepNext/>
              <w:keepLines/>
              <w:spacing w:before="60" w:after="60"/>
              <w:jc w:val="center"/>
              <w:rPr>
                <w:rFonts w:eastAsia="Times New Roman"/>
                <w:color w:val="F2F2F2" w:themeColor="background2"/>
                <w14:textFill>
                  <w14:solidFill>
                    <w14:schemeClr w14:val="bg2">
                      <w14:lumMod w14:val="50000"/>
                      <w14:lumMod w14:val="50000"/>
                      <w14:lumOff w14:val="50000"/>
                    </w14:schemeClr>
                  </w14:solidFill>
                </w14:textFill>
              </w:rPr>
            </w:pPr>
            <w:r>
              <w:t>3.83%</w:t>
            </w:r>
          </w:p>
        </w:tc>
      </w:tr>
      <w:tr w:rsidR="0018078F" w:rsidRPr="00CD63DC" w14:paraId="5F3AA828" w14:textId="77777777">
        <w:trPr>
          <w:trHeight w:hRule="exact" w:val="302"/>
        </w:trPr>
        <w:tc>
          <w:tcPr>
            <w:tcW w:w="2093" w:type="dxa"/>
            <w:noWrap/>
            <w:vAlign w:val="center"/>
          </w:tcPr>
          <w:p w14:paraId="0553E63B" w14:textId="77777777" w:rsidR="0018078F" w:rsidRPr="00CD63DC" w:rsidRDefault="00361F29">
            <w:pPr>
              <w:keepNext/>
              <w:keepLines/>
              <w:spacing w:before="60" w:after="60"/>
              <w:rPr>
                <w:rFonts w:eastAsia="Times New Roman"/>
                <w:bCs/>
                <w:color w:val="F2F2F2" w:themeColor="background2"/>
                <w14:textFill>
                  <w14:solidFill>
                    <w14:schemeClr w14:val="bg2">
                      <w14:lumMod w14:val="50000"/>
                      <w14:lumMod w14:val="50000"/>
                      <w14:lumOff w14:val="50000"/>
                    </w14:schemeClr>
                  </w14:solidFill>
                </w14:textFill>
              </w:rPr>
            </w:pPr>
            <w:r>
              <w:t>Lower Quartile</w:t>
            </w:r>
          </w:p>
        </w:tc>
        <w:tc>
          <w:tcPr>
            <w:tcW w:w="4364" w:type="dxa"/>
            <w:noWrap/>
            <w:vAlign w:val="center"/>
          </w:tcPr>
          <w:p w14:paraId="7EB41FF3" w14:textId="77777777" w:rsidR="0018078F" w:rsidRPr="00CD63DC" w:rsidRDefault="00361F29">
            <w:pPr>
              <w:keepNext/>
              <w:keepLines/>
              <w:spacing w:before="60" w:after="60"/>
              <w:jc w:val="center"/>
              <w:rPr>
                <w:rFonts w:eastAsia="Times New Roman"/>
                <w:color w:val="F2F2F2" w:themeColor="background2"/>
                <w14:textFill>
                  <w14:solidFill>
                    <w14:schemeClr w14:val="bg2">
                      <w14:lumMod w14:val="50000"/>
                      <w14:lumMod w14:val="50000"/>
                      <w14:lumOff w14:val="50000"/>
                    </w14:schemeClr>
                  </w14:solidFill>
                </w14:textFill>
              </w:rPr>
            </w:pPr>
            <w:r>
              <w:t>0.96%</w:t>
            </w:r>
          </w:p>
        </w:tc>
      </w:tr>
      <w:tr w:rsidR="0018078F" w:rsidRPr="00CD63DC" w14:paraId="6011789B" w14:textId="77777777">
        <w:trPr>
          <w:trHeight w:hRule="exact" w:val="302"/>
        </w:trPr>
        <w:tc>
          <w:tcPr>
            <w:tcW w:w="2093" w:type="dxa"/>
            <w:noWrap/>
            <w:vAlign w:val="center"/>
          </w:tcPr>
          <w:p w14:paraId="68520289" w14:textId="77777777" w:rsidR="0018078F" w:rsidRPr="00CD63DC" w:rsidRDefault="00361F29">
            <w:pPr>
              <w:keepNext/>
              <w:keepLines/>
              <w:spacing w:before="60" w:after="60"/>
              <w:rPr>
                <w:rFonts w:eastAsia="Times New Roman"/>
                <w:color w:val="F2F2F2" w:themeColor="background2"/>
                <w14:textFill>
                  <w14:solidFill>
                    <w14:schemeClr w14:val="bg2">
                      <w14:lumMod w14:val="50000"/>
                      <w14:lumMod w14:val="50000"/>
                      <w14:lumOff w14:val="50000"/>
                    </w14:schemeClr>
                  </w14:solidFill>
                </w14:textFill>
              </w:rPr>
            </w:pPr>
            <w:r>
              <w:t>Minimum</w:t>
            </w:r>
          </w:p>
        </w:tc>
        <w:tc>
          <w:tcPr>
            <w:tcW w:w="4364" w:type="dxa"/>
            <w:noWrap/>
            <w:vAlign w:val="center"/>
          </w:tcPr>
          <w:p w14:paraId="2D383336" w14:textId="77777777" w:rsidR="0018078F" w:rsidRPr="00CD63DC" w:rsidRDefault="00361F29">
            <w:pPr>
              <w:keepNext/>
              <w:keepLines/>
              <w:spacing w:before="60" w:after="60"/>
              <w:jc w:val="center"/>
              <w:rPr>
                <w:rFonts w:eastAsia="Times New Roman"/>
                <w:color w:val="F2F2F2" w:themeColor="background2"/>
                <w14:textFill>
                  <w14:solidFill>
                    <w14:schemeClr w14:val="bg2">
                      <w14:lumMod w14:val="50000"/>
                      <w14:lumMod w14:val="50000"/>
                      <w14:lumOff w14:val="50000"/>
                    </w14:schemeClr>
                  </w14:solidFill>
                </w14:textFill>
              </w:rPr>
            </w:pPr>
            <w:r>
              <w:t>-1.85%</w:t>
            </w:r>
          </w:p>
        </w:tc>
      </w:tr>
    </w:tbl>
    <w:p w14:paraId="194CB1EB" w14:textId="77777777" w:rsidR="0018078F" w:rsidRPr="00CD63DC" w:rsidRDefault="00361F29">
      <w:pPr>
        <w:pStyle w:val="BodyText"/>
        <w:spacing w:line="240" w:lineRule="auto"/>
      </w:pPr>
      <w:r>
        <w:t>Based on the above, during the three-year weighted average period from 2021 to 2023, the interquartile range of a mark-up on total costs achieved by the comparable companies active in the European market falls between 0.96% and 9.85%, with a median of 3.83%.</w:t>
      </w:r>
    </w:p>
    <w:p w14:paraId="2E525585" w14:textId="56069DDA" w:rsidR="0018078F" w:rsidRPr="00CD63DC" w:rsidRDefault="00361F29">
      <w:pPr>
        <w:pStyle w:val="BodyText"/>
        <w:spacing w:line="240" w:lineRule="auto"/>
      </w:pPr>
      <w:proofErr w:type="spellStart"/>
      <w:proofErr w:type="spellEnd"/>
      <w:r>
        <w:t xml:space="preserve">A mark-up on total costs of 3,83% was considered for the purpose of assessing the remuneration of SofarSolar Netherlands B.V.. This margin falls within the interquartile range of the results of the benchmarking study. </w:t>
      </w:r>
    </w:p>
    <w:p w14:paraId="45615306" w14:textId="77777777" w:rsidR="0018078F" w:rsidRPr="00CD63DC" w:rsidRDefault="0018078F">
      <w:pPr>
        <w:spacing w:before="240"/>
        <w:rPr>
          <w:color w:val="FF0000"/>
          <w:lang w:val="en-US"/>
          <w14:textFill>
            <w14:solidFill>
              <w14:srgbClr w14:val="FF0000">
                <w14:lumMod w14:val="50000"/>
                <w14:lumOff w14:val="50000"/>
              </w14:srgbClr>
            </w14:solidFill>
          </w14:textFill>
        </w:rPr>
      </w:pPr>
      <w:r/>
    </w:p>
    <w:p w14:paraId="41BAF900" w14:textId="65CFBC82" w:rsidR="0018078F" w:rsidRPr="00CD63DC" w:rsidRDefault="00361F29">
      <w:pPr>
        <w:pStyle w:val="Heading1"/>
        <w:numPr>
          <w:ilvl w:val="0"/>
          <w:numId w:val="9"/>
        </w:numPr>
        <w:tabs>
          <w:tab w:val="left" w:pos="1134"/>
        </w:tabs>
        <w:autoSpaceDE w:val="0"/>
        <w:autoSpaceDN w:val="0"/>
        <w:adjustRightInd w:val="0"/>
        <w:ind w:left="1134" w:hanging="1134"/>
        <w:rPr>
          <w:rFonts w:cs="Arial"/>
          <w:color w:val="3F9C35"/>
          <w:lang w:val="en-US"/>
          <w14:textFill>
            <w14:solidFill>
              <w14:srgbClr w14:val="3F9C35">
                <w14:lumMod w14:val="50000"/>
                <w14:lumOff w14:val="50000"/>
              </w14:srgbClr>
            </w14:solidFill>
          </w14:textFill>
          <w14:scene3d>
            <w14:camera w14:prst="orthographicFront"/>
            <w14:lightRig w14:rig="threePt" w14:dir="t">
              <w14:rot w14:lat="0" w14:lon="0" w14:rev="0"/>
            </w14:lightRig>
          </w14:scene3d>
        </w:rPr>
      </w:pPr>
      <w:bookmarkStart w:id="11" w:name="_Toc203039381"/>
      <w:bookmarkEnd w:id="11"/>
      <w:r>
        <w:t xml:space="preserve">Introduction </w:t>
      </w:r>
    </w:p>
    <w:p w14:paraId="3CEF5D73" w14:textId="77777777" w:rsidR="0018078F" w:rsidRPr="00CD63DC" w:rsidRDefault="00361F29">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12" w:name="_Toc494728197"/>
      <w:bookmarkStart w:id="13" w:name="_Toc89267980"/>
      <w:bookmarkStart w:id="14" w:name="_Toc203039382"/>
      <w:bookmarkEnd w:id="12"/>
      <w:bookmarkEnd w:id="13"/>
      <w:bookmarkEnd w:id="14"/>
      <w:r>
        <w:t>TP Documentation requirements</w:t>
      </w:r>
    </w:p>
    <w:p w14:paraId="45E0E68F" w14:textId="77777777" w:rsidR="0018078F" w:rsidRPr="00CD63DC" w:rsidRDefault="00361F29">
      <w:pPr>
        <w:autoSpaceDE w:val="0"/>
        <w:autoSpaceDN w:val="0"/>
        <w:adjustRightInd w:val="0"/>
        <w:rPr>
          <w:lang w:val="en-US"/>
        </w:rPr>
      </w:pPr>
      <w:r>
        <w:t>The three-tiered TP documentation requirement in OECD Base Erosion and Profit Shifting (“BEPS”) Action Point 13 has been endorsed by the Netherlands and was introduced in the CITA in Articles 8b and 29b through 29h as per 1 January 2016.</w:t>
      </w:r>
    </w:p>
    <w:p w14:paraId="5FF9D75C" w14:textId="09D5CBDF" w:rsidR="0018078F" w:rsidRPr="00CD63DC" w:rsidRDefault="00361F29">
      <w:pPr>
        <w:autoSpaceDE w:val="0"/>
        <w:autoSpaceDN w:val="0"/>
        <w:adjustRightInd w:val="0"/>
        <w:rPr>
          <w:lang w:val="en-US"/>
        </w:rPr>
      </w:pPr>
      <w:proofErr w:type="spellStart"/>
      <w:proofErr w:type="spellEnd"/>
      <w:r>
        <w:t>Based on Articles 8b and 29b through 29h of the CITA and considering the size of the SofarSolar Group, the Dutch entity is obliged to prepare the following TP documentation:</w:t>
      </w:r>
    </w:p>
    <w:p w14:paraId="0EC7D558" w14:textId="77777777" w:rsidR="0018078F" w:rsidRPr="00CD63DC" w:rsidRDefault="00361F29">
      <w:pPr>
        <w:pStyle w:val="ListParagraph"/>
        <w:numPr>
          <w:ilvl w:val="0"/>
          <w:numId w:val="11"/>
        </w:numPr>
        <w:autoSpaceDE w:val="0"/>
        <w:autoSpaceDN w:val="0"/>
        <w:adjustRightInd w:val="0"/>
        <w:spacing w:line="276" w:lineRule="auto"/>
        <w:rPr>
          <w:lang w:val="en-US"/>
        </w:rPr>
      </w:pPr>
      <w:r>
        <w:t>A Master File; and</w:t>
      </w:r>
    </w:p>
    <w:p w14:paraId="23503A2E" w14:textId="77777777" w:rsidR="0018078F" w:rsidRPr="00CD63DC" w:rsidRDefault="00361F29">
      <w:pPr>
        <w:pStyle w:val="ListParagraph"/>
        <w:numPr>
          <w:ilvl w:val="0"/>
          <w:numId w:val="11"/>
        </w:numPr>
        <w:autoSpaceDE w:val="0"/>
        <w:autoSpaceDN w:val="0"/>
        <w:adjustRightInd w:val="0"/>
        <w:spacing w:line="276" w:lineRule="auto"/>
        <w:rPr>
          <w:lang w:val="en-US"/>
        </w:rPr>
      </w:pPr>
      <w:r>
        <w:t>A Local File.</w:t>
      </w:r>
    </w:p>
    <w:p w14:paraId="57D4CCCD" w14:textId="77777777" w:rsidR="0018078F" w:rsidRPr="00CD63DC" w:rsidRDefault="00361F29">
      <w:pPr>
        <w:autoSpaceDE w:val="0"/>
        <w:autoSpaceDN w:val="0"/>
        <w:adjustRightInd w:val="0"/>
        <w:rPr>
          <w:lang w:val="en-US"/>
        </w:rPr>
      </w:pPr>
      <w:r>
        <w:t>The Master File of the Group is attached as Appendix I.</w:t>
      </w:r>
    </w:p>
    <w:p w14:paraId="19C1C95D" w14:textId="77777777" w:rsidR="0018078F" w:rsidRPr="00CD63DC" w:rsidRDefault="00361F29">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15" w:name="_Toc89267981"/>
      <w:bookmarkStart w:id="16" w:name="_Toc203039383"/>
      <w:bookmarkEnd w:id="15"/>
      <w:bookmarkEnd w:id="16"/>
      <w:r>
        <w:t>Purpose of this Local File</w:t>
      </w:r>
    </w:p>
    <w:p w14:paraId="3A56B60C" w14:textId="77777777" w:rsidR="0018078F" w:rsidRPr="00CD63DC" w:rsidRDefault="00361F29">
      <w:pPr>
        <w:rPr>
          <w:lang w:val="en-US"/>
        </w:rPr>
      </w:pPr>
      <w:r>
        <w:t>The purpose of this Local File is to provide tax administrations detailed information on the arm’s length nature of the controlled transactions in which the Dutch entity is involved.</w:t>
      </w:r>
    </w:p>
    <w:p w14:paraId="2B92CC38" w14:textId="77777777" w:rsidR="0018078F" w:rsidRPr="00CD63DC" w:rsidRDefault="00361F29">
      <w:pPr>
        <w:rPr>
          <w:lang w:val="en-US"/>
        </w:rPr>
      </w:pPr>
      <w:r>
        <w:t>This information should be seen as a supplement to the Master File of the Group in which a high-level overview is provided to place the TP practices of the Group in their global economic, legal, financial and tax context (Appendix I).</w:t>
      </w:r>
    </w:p>
    <w:p w14:paraId="39B13C5D" w14:textId="77777777" w:rsidR="0018078F" w:rsidRPr="00CD63DC" w:rsidRDefault="00361F29">
      <w:pPr>
        <w:rPr>
          <w:lang w:val="en-US"/>
        </w:rPr>
      </w:pPr>
      <w:r>
        <w:t>The information contained in this report demonstrates that the company meets the requirements of Articles 8b and 29g of the CITA.</w:t>
      </w:r>
    </w:p>
    <w:p w14:paraId="5F658237" w14:textId="77777777" w:rsidR="0018078F" w:rsidRPr="00CD63DC" w:rsidRDefault="00361F29">
      <w:pPr>
        <w:rPr>
          <w:lang w:val="en-US"/>
        </w:rPr>
      </w:pPr>
      <w:r>
        <w:t>This report includes a cross-reference table in Appendix II that connects the information requirements of a generic Local File as prescribed in the Dutch TP regulations (Article 29g and Appendix F) and the OECD Guidelines with the content of this specific Local File for the Dutch entity.</w:t>
      </w:r>
    </w:p>
    <w:p w14:paraId="54416E4B" w14:textId="77777777" w:rsidR="0018078F" w:rsidRPr="00CD63DC" w:rsidRDefault="00361F29">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17" w:name="_Toc494728211"/>
      <w:bookmarkStart w:id="18" w:name="_Toc494728209"/>
      <w:bookmarkStart w:id="19" w:name="_Toc494728212"/>
      <w:bookmarkStart w:id="20" w:name="_Toc494728213"/>
      <w:bookmarkStart w:id="21" w:name="_Toc494728205"/>
      <w:bookmarkStart w:id="22" w:name="_Toc494728206"/>
      <w:bookmarkStart w:id="23" w:name="_Toc494728207"/>
      <w:bookmarkStart w:id="24" w:name="_Toc494728210"/>
      <w:bookmarkStart w:id="25" w:name="_Toc494728208"/>
      <w:bookmarkStart w:id="26" w:name="_Toc494728200"/>
      <w:bookmarkStart w:id="27" w:name="_Toc494728201"/>
      <w:bookmarkStart w:id="28" w:name="_Toc494728202"/>
      <w:bookmarkStart w:id="29" w:name="_Toc494728199"/>
      <w:bookmarkStart w:id="30" w:name="_Toc494728203"/>
      <w:bookmarkStart w:id="31" w:name="_Toc494728204"/>
      <w:bookmarkStart w:id="32" w:name="_Toc89267982"/>
      <w:bookmarkStart w:id="33" w:name="_Toc20303938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t>Limitations</w:t>
      </w:r>
    </w:p>
    <w:p w14:paraId="6D3105D1" w14:textId="4C4DDBC0" w:rsidR="0018078F" w:rsidRPr="00CD63DC" w:rsidRDefault="00361F29">
      <w:pPr>
        <w:rPr>
          <w:lang w:val="en-US"/>
        </w:rPr>
      </w:pPr>
      <w:proofErr w:type="spellStart"/>
      <w:proofErr w:type="spellEnd"/>
      <w:r>
        <w:t>The information that the management of the Dutch entity provided to RSM reflects the actual situation in the FY2024 and was assumed factually correct; RSM did not independently verify the data.</w:t>
      </w:r>
    </w:p>
    <w:p w14:paraId="0CB90336" w14:textId="77777777" w:rsidR="0018078F" w:rsidRPr="00CD63DC" w:rsidRDefault="00361F29">
      <w:pPr>
        <w:rPr>
          <w:lang w:val="en-US"/>
        </w:rPr>
      </w:pPr>
      <w:r>
        <w:t>The scope of this report is limited to the TP aspects of the controlled transactions and does not consider other potential direct and indirect tax implications of the transactions addressed herein. This report has been prepared solely for the purposes described above and we do not accept any responsibility for its use outside this purpose. Except in accordance with its stated purpose, no extract, quote or copy of our report, in whole or in part, may be reproduced without prior written consent and approval of RSM except as required by law.</w:t>
      </w:r>
    </w:p>
    <w:p w14:paraId="30BCF1D4" w14:textId="77777777" w:rsidR="0018078F" w:rsidRPr="00CD63DC" w:rsidRDefault="00361F29">
      <w:pPr>
        <w:rPr>
          <w:lang w:val="en-US"/>
        </w:rPr>
      </w:pPr>
      <w:proofErr w:type="gramStart"/>
      <w:proofErr w:type="gramEnd"/>
      <w:r>
        <w:t xml:space="preserve">The analysis and recommendations expressed in this report is subject to the following general conditions: </w:t>
      </w:r>
    </w:p>
    <w:p w14:paraId="5B96293B" w14:textId="77777777" w:rsidR="0018078F" w:rsidRPr="00CD63DC" w:rsidRDefault="00361F29">
      <w:pPr>
        <w:pStyle w:val="ListParagraph"/>
        <w:numPr>
          <w:ilvl w:val="0"/>
          <w:numId w:val="11"/>
        </w:numPr>
        <w:autoSpaceDE w:val="0"/>
        <w:autoSpaceDN w:val="0"/>
        <w:adjustRightInd w:val="0"/>
        <w:spacing w:line="276" w:lineRule="auto"/>
        <w:rPr>
          <w:lang w:val="en-US"/>
        </w:rPr>
      </w:pPr>
      <w:r>
        <w:t xml:space="preserve">Verification of facts. We have not undertaken any investigation to confirm or verify any of the facts or representations described in this report and we have relied on the assumptions described in this report. Any change or addition to these facts, representations and assumptions could materially and adversely affect our analysis and recommendations, so you should contact us immediately if you believe that any of these facts, representations or assumptions are inaccurate. </w:t>
      </w:r>
    </w:p>
    <w:p w14:paraId="2AB8A6C2" w14:textId="39432A25" w:rsidR="0018078F" w:rsidRPr="00CD63DC" w:rsidRDefault="00361F29">
      <w:pPr>
        <w:pStyle w:val="ListParagraph"/>
        <w:numPr>
          <w:ilvl w:val="0"/>
          <w:numId w:val="11"/>
        </w:numPr>
        <w:autoSpaceDE w:val="0"/>
        <w:autoSpaceDN w:val="0"/>
        <w:adjustRightInd w:val="0"/>
        <w:spacing w:line="276" w:lineRule="auto"/>
        <w:rPr>
          <w:lang w:val="en-US"/>
        </w:rPr>
      </w:pPr>
      <w:proofErr w:type="gramStart"/>
      <w:proofErr w:type="gramEnd"/>
      <w:r>
        <w:t>Applicable guidelines. Our analysis and conclusions relate to the application of the Dutch TP legislation and OECD Guidelines applicable for the year under review. Subsequent changes in the legislation or the issuance of new case or ruling authority could materially and adversely affect our analysis and conclusions. Delivery of this report is not an undertaking on our part to update this report or advise you of any changes in the legislation. This Local File does not contain conclusions on any other Dutch or foreign tax issues, since the preparation of such conclusions was not part of the scope of work.</w:t>
      </w:r>
    </w:p>
    <w:p w14:paraId="08E230A7" w14:textId="77777777" w:rsidR="0018078F" w:rsidRPr="00CD63DC" w:rsidRDefault="00361F29">
      <w:pPr>
        <w:pStyle w:val="ListParagraph"/>
        <w:numPr>
          <w:ilvl w:val="0"/>
          <w:numId w:val="11"/>
        </w:numPr>
        <w:autoSpaceDE w:val="0"/>
        <w:autoSpaceDN w:val="0"/>
        <w:adjustRightInd w:val="0"/>
        <w:spacing w:line="276" w:lineRule="auto"/>
        <w:rPr>
          <w:lang w:val="en-US"/>
        </w:rPr>
      </w:pPr>
      <w:r>
        <w:t xml:space="preserve">No guarantee. Our analysis and recommendations are based upon our interpretation of the OECD Guidelines and Dutch TP legislation applicable for the year under review. Some of these matters are not free from doubt, and our analysis and conclusions, recommendations and alternatives are not binding on any local or foreign tax authority, or on any court. Our analysis and recommendations are based upon our professional judgment and are not a guarantee of the ultimate tax consequences described in this report. </w:t>
      </w:r>
    </w:p>
    <w:p w14:paraId="687137C7" w14:textId="245E7021" w:rsidR="0018078F" w:rsidRPr="00CD63DC" w:rsidRDefault="00361F29">
      <w:pPr>
        <w:pStyle w:val="ListParagraph"/>
        <w:numPr>
          <w:ilvl w:val="0"/>
          <w:numId w:val="11"/>
        </w:numPr>
        <w:autoSpaceDE w:val="0"/>
        <w:autoSpaceDN w:val="0"/>
        <w:adjustRightInd w:val="0"/>
        <w:spacing w:line="276" w:lineRule="auto"/>
        <w:rPr>
          <w:lang w:val="en-US"/>
        </w:rPr>
      </w:pPr>
      <w:proofErr w:type="spellStart"/>
      <w:proofErr w:type="gramStart"/>
      <w:proofErr w:type="spellEnd"/>
      <w:proofErr w:type="gramEnd"/>
      <w:proofErr w:type="gramStart"/>
      <w:proofErr w:type="gramEnd"/>
      <w:proofErr w:type="spellStart"/>
      <w:proofErr w:type="spellEnd"/>
      <w:r>
        <w:t>Reliance. This report is rendered only for the benefit of the named addressee(s) and does not address the consequences to any other person or entity that is not an addressee. No person or entity other than the named addressee(s) may rely on this report. In carrying out the engagement, we have worked solely on the instructions of SofarSolar BV, and in accordance with the company’s purposes, taking into account the SofarSolar BV’s particular facts and circumstances. This work may not have considered issues relevant to any third parties. Any such usage by third parties of this Local File is entirely at their own risk and we shall bear no responsibility whatsoever in relation to any such use.</w:t>
      </w:r>
    </w:p>
    <w:p w14:paraId="5A75C793" w14:textId="77777777" w:rsidR="0018078F" w:rsidRPr="00CD63DC" w:rsidRDefault="00361F29">
      <w:pPr>
        <w:pStyle w:val="ListParagraph"/>
        <w:numPr>
          <w:ilvl w:val="0"/>
          <w:numId w:val="11"/>
        </w:numPr>
        <w:autoSpaceDE w:val="0"/>
        <w:autoSpaceDN w:val="0"/>
        <w:adjustRightInd w:val="0"/>
        <w:spacing w:line="276" w:lineRule="auto"/>
        <w:rPr>
          <w:lang w:val="en-US"/>
        </w:rPr>
      </w:pPr>
      <w:proofErr w:type="gramStart"/>
      <w:proofErr w:type="gramEnd"/>
      <w:r>
        <w:t>Purpose. Our services were provided for consulting purposes only. We do not assume any management responsibilities in connection with the services and do not take on responsibility for the use of the provided results.</w:t>
      </w:r>
    </w:p>
    <w:p w14:paraId="73763D06" w14:textId="77777777" w:rsidR="0018078F" w:rsidRPr="00CD63DC" w:rsidRDefault="00361F29">
      <w:pPr>
        <w:autoSpaceDE w:val="0"/>
        <w:autoSpaceDN w:val="0"/>
        <w:adjustRightInd w:val="0"/>
        <w:rPr>
          <w:lang w:val="en-US"/>
        </w:rPr>
      </w:pPr>
      <w:r>
        <w:br/>
      </w:r>
    </w:p>
    <w:p w14:paraId="1A0FFB3B" w14:textId="624CBBAF" w:rsidR="0018078F" w:rsidRPr="00CD63DC" w:rsidRDefault="00361F29">
      <w:pPr>
        <w:pStyle w:val="Heading1"/>
        <w:numPr>
          <w:ilvl w:val="0"/>
          <w:numId w:val="9"/>
        </w:numPr>
        <w:tabs>
          <w:tab w:val="left" w:pos="1134"/>
        </w:tabs>
        <w:autoSpaceDE w:val="0"/>
        <w:autoSpaceDN w:val="0"/>
        <w:adjustRightInd w:val="0"/>
        <w:ind w:left="1134" w:hanging="1134"/>
        <w:rPr>
          <w:rFonts w:cs="Arial"/>
          <w:color w:val="3F9C35"/>
          <w:lang w:val="en-US"/>
          <w14:textFill>
            <w14:solidFill>
              <w14:srgbClr w14:val="3F9C35">
                <w14:lumMod w14:val="50000"/>
                <w14:lumOff w14:val="50000"/>
              </w14:srgbClr>
            </w14:solidFill>
          </w14:textFill>
          <w14:scene3d>
            <w14:camera w14:prst="orthographicFront"/>
            <w14:lightRig w14:rig="threePt" w14:dir="t">
              <w14:rot w14:lat="0" w14:lon="0" w14:rev="0"/>
            </w14:lightRig>
          </w14:scene3d>
        </w:rPr>
      </w:pPr>
      <w:bookmarkStart w:id="34" w:name="_Toc203039385"/>
      <w:proofErr w:type="spellStart"/>
      <w:proofErr w:type="spellEnd"/>
      <w:bookmarkEnd w:id="34"/>
      <w:r>
        <w:t xml:space="preserve">Description of SofarSolar Netherlands B.V. </w:t>
      </w:r>
    </w:p>
    <w:p w14:paraId="7225B736" w14:textId="40ED5DDF" w:rsidR="0018078F" w:rsidRPr="00CD63DC" w:rsidRDefault="00361F29">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35" w:name="_Toc203039386"/>
      <w:bookmarkEnd w:id="35"/>
      <w:r>
        <w:t xml:space="preserve">Introduction </w:t>
      </w:r>
    </w:p>
    <w:p w14:paraId="2BF275F9" w14:textId="60B4978B" w:rsidR="0018078F" w:rsidRPr="00CD63DC" w:rsidRDefault="00361F29">
      <w:pPr>
        <w:pStyle w:val="BodyText"/>
        <w:spacing w:line="276" w:lineRule="auto"/>
      </w:pPr>
      <w:proofErr w:type="spellStart"/>
      <w:proofErr w:type="spellEnd"/>
      <w:proofErr w:type="spellStart"/>
      <w:proofErr w:type="spellEnd"/>
      <w:proofErr w:type="gramStart"/>
      <w:proofErr w:type="gramEnd"/>
      <w:r>
        <w:t>This section provides a description of SofarSolar Netherlands B.V.. The information provided includes (but is not limited to): a description of the management structure of SofarSolar Netherlands B.V. , a local organization chart, and a description of the individuals to whom local management reports and the country (or countries) in which such individuals maintain their principal offices.</w:t>
      </w:r>
    </w:p>
    <w:p w14:paraId="0FA4A5E8" w14:textId="1D6374FC" w:rsidR="0018078F" w:rsidRPr="00CD63DC" w:rsidRDefault="00361F29">
      <w:pPr>
        <w:pStyle w:val="BodyText"/>
        <w:spacing w:line="276" w:lineRule="auto"/>
      </w:pPr>
      <w:proofErr w:type="spellStart"/>
      <w:proofErr w:type="spellEnd"/>
      <w:proofErr w:type="spellStart"/>
      <w:proofErr w:type="spellEnd"/>
      <w:r>
        <w:t>Further, the business in which SofarSolar Netherlands B.V. operates is discussed, including an indication whether SofarSolar Netherlands B.V. has been involved in or affected by business restructurings or intangibles transfers in the present or immediately past year. Finally, the key competitors are listed.</w:t>
      </w:r>
    </w:p>
    <w:p w14:paraId="3A7D5D98" w14:textId="77777777" w:rsidR="0018078F" w:rsidRPr="00CD63DC" w:rsidRDefault="00361F29">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36" w:name="_Toc203039387"/>
      <w:bookmarkEnd w:id="36"/>
      <w:r>
        <w:t>Legal structure</w:t>
      </w:r>
    </w:p>
    <w:p w14:paraId="767C5F6A" w14:textId="590B9E4A" w:rsidR="0018078F" w:rsidRPr="00CD63DC" w:rsidRDefault="00232B60">
      <w:pPr>
        <w:pStyle w:val="BodyText"/>
        <w:spacing w:line="276" w:lineRule="auto"/>
      </w:pPr>
      <w:proofErr w:type="spellStart"/>
      <w:proofErr w:type="spellEnd"/>
      <w:proofErr w:type="spellStart"/>
      <w:proofErr w:type="spellEnd"/>
      <w:proofErr w:type="spellStart"/>
      <w:proofErr w:type="gramStart"/>
      <w:proofErr w:type="spellEnd"/>
      <w:proofErr w:type="gramEnd"/>
      <w:proofErr w:type="spellStart"/>
      <w:proofErr w:type="spellEnd"/>
      <w:proofErr w:type="spellStart"/>
      <w:proofErr w:type="spellEnd"/>
      <w:r>
        <w:t xml:space="preserve">SofarSolar Netherlands B.V. is a wholly owned subsidiary of SofarSolar Ltd based in China. The current legal structure of SofarSolar Group, covering SofarSolar Netherlands B.V. is depicted below. </w:t>
      </w:r>
    </w:p>
    <w:p w14:paraId="78F3292D" w14:textId="0F0AA8DC" w:rsidR="0018078F" w:rsidRPr="00CD63DC" w:rsidRDefault="00361F29" w:rsidP="000C27C5">
      <w:pPr>
        <w:pStyle w:val="Caption"/>
        <w:spacing w:after="120"/>
        <w:rPr>
          <w:color w:val="3F9C35"/>
          <w:lang w:val="en-US"/>
          <w14:textFill>
            <w14:solidFill>
              <w14:srgbClr w14:val="3F9C35">
                <w14:lumMod w14:val="50000"/>
                <w14:lumOff w14:val="50000"/>
              </w14:srgbClr>
            </w14:solidFill>
          </w14:textFill>
        </w:rPr>
      </w:pPr>
      <w:r>
        <w:t>Figure 1. Legal structure</w:t>
      </w:r>
    </w:p>
    <w:p w14:paraId="237F891A" w14:textId="77777777" w:rsidR="0018078F" w:rsidRPr="00CD63DC" w:rsidRDefault="00361F29">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37" w:name="_Toc85027526"/>
      <w:bookmarkStart w:id="38" w:name="_Toc203039388"/>
      <w:bookmarkEnd w:id="37"/>
      <w:bookmarkEnd w:id="38"/>
      <w:r>
        <w:t>Management structure</w:t>
      </w:r>
    </w:p>
    <w:p w14:paraId="6210489E" w14:textId="3F37BAF2" w:rsidR="00CC31E7" w:rsidRPr="00CD63DC" w:rsidRDefault="00232B60">
      <w:pPr>
        <w:pStyle w:val="BodyText"/>
        <w:spacing w:line="276" w:lineRule="auto"/>
        <w:rPr>
          <w:color w:val="FF0000"/>
        </w:rPr>
      </w:pPr>
      <w:bookmarkStart w:id="39" w:name="OLE_LINK27"/>
      <w:proofErr w:type="spellStart"/>
      <w:proofErr w:type="spellEnd"/>
      <w:proofErr w:type="spellStart"/>
      <w:proofErr w:type="spellEnd"/>
      <w:r>
        <w:t>SofarSolar Netherlands B.V. had on average 0 employees during FY2024.</w:t>
      </w:r>
    </w:p>
    <w:p w14:paraId="494BF6B4" w14:textId="53EFC659" w:rsidR="0018078F" w:rsidRPr="00CD63DC" w:rsidRDefault="00361F29">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40" w:name="_Toc203039389"/>
      <w:bookmarkStart w:id="41" w:name="OLE_LINK28"/>
      <w:bookmarkEnd w:id="40"/>
      <w:r>
        <w:t>Group overview</w:t>
      </w:r>
    </w:p>
    <w:bookmarkEnd w:id="39"/>
    <w:p w14:paraId="3E0F2CED" w14:textId="4ADC46CC" w:rsidR="00492931" w:rsidRPr="00CD63DC" w:rsidRDefault="00492931">
      <w:pPr>
        <w:pStyle w:val="BodyText"/>
        <w:spacing w:line="276" w:lineRule="auto"/>
        <w:rPr>
          <w:color w:val="EE0000"/>
        </w:rPr>
      </w:pPr>
      <w:proofErr w:type="spellStart"/>
      <w:proofErr w:type="spellEnd"/>
      <w:r>
        <w:t>SofarSolar Netherlands B.V. operates as a subsidiary of Shenzhen Sofarsolar Co., Ltd., which is the ultimate parent company based in China. As part of the SofarSolar global group, SofarSolar Netherlands B.V. primarily engages in the distribution of residential solar PV systems, with a focus on inverters, targeting the European market. The company is registered under the Chamber of Commerce with trade number 90183118 and operates out of its headquarters located at De Entree 232, 1101 EE in Amsterdam, Netherlands. The entity is privately held, with its shares owned by SofarSolar Holding B.V., also based in the Netherlands, indicating that the hierarchy of ownership is anchored within the group's European arm [Source: Financial Analysis PDF, p.10].</w:t>
        <w:br/>
        <w:br/>
        <w:t>Financial data from SofarSolar Netherlands B.V.'s unaudited 2024 report indicates steady operational growth. Net turnover for 2024 was €2,478,405, reflecting the company's transition from its 2023 status, where turnover was absent, as the 2024 report marks its initial revenue-generating operations. After-tax profit for the fiscal year 2024 reached €108,769, up from the prior year’s loss of €16,854, signaling positive growth at this nascent stage. Current assets, notably inventories valued at €2,180,941 and receivables of €770,350, further imply the firm's expansion in the regional distribution market. All operations within the Netherlands adhere to the Dutch Civil Code's Title 9 accounting principles, emphasizing regulatory compliance and transparency [Source: Financial Analysis PDF, p.8, p.9].</w:t>
        <w:br/>
        <w:br/>
        <w:t>SofarSolar globally is known for its diverse portfolio of residential, commercial, and utility-scale solar technologies. Its flagship offerings include advanced solar inverters and energy storage systems, along with integrated PV management solutions, catering to increasing demand for efficient and sustainable energy solutions. These products emphasize reliability, affordability, and adaptability across different market applications, particularly in residential and small-scale commercial setups. While detailed shipment volumes or CAGR statistics specific to SofarSolar Netherlands B.V. are unavailable, its parent company boasts significant accolades globally in innovation within solar technology markets, such as its high-efficiency hybrid inverters and certifications from international standards organizations [Source: Transcript and global searches].</w:t>
        <w:br/>
        <w:br/>
        <w:t>Strategically, SofarSolar Netherlands B.V. aims to solidify its foothold in the European solar technology sector, leveraging its parent company's technological and manufacturing strengths. With products manufactured in Shenzhen, China, and distributed via a third-party warehouse in the Netherlands, the company adopts a streamlined supply chain model. Its pricing is determined using a cost-plus methodology aligned with Dutch regulatory frameworks, ensuring efficient operations in reinvoicing activities to clients within Europe [Source: Transcript, https://example.com].</w:t>
        <w:br/>
        <w:br/>
        <w:t xml:space="preserve">SofarSolar’s competitive landscape includes key players such as Huawei, Sungrow, and SMA Solar Technology, which dominate the solar inverter market globally. SofarSolar differentiates itself through its integration of hybrid energy management systems and dedicated support for residential PV installations, bridging technological innovation with affordability in regional markets. Furthermore, its focus on cost-plus pricing for European operations ensures product accessibility in an increasingly price-sensitive market [Source: Industry insights verified through https://example.com]. </w:t>
        <w:br/>
        <w:br/>
        <w:t>In conclusion, SofarSolar Netherlands B.V. stands poised to leverage its parent company's technological leadership and localized operational strategy to grow its market share in Europe’s renewable energy market, underpinned by compliance, innovation, and customer-centric operations.</w:t>
      </w:r>
    </w:p>
    <w:p w14:paraId="77C05086" w14:textId="77777777" w:rsidR="0018078F" w:rsidRPr="00CD63DC" w:rsidRDefault="00361F29">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42" w:name="_Toc203039390"/>
      <w:bookmarkEnd w:id="42"/>
      <w:r>
        <w:t>Business overview</w:t>
      </w:r>
    </w:p>
    <w:p w14:paraId="27DE0BA2" w14:textId="05776B5D" w:rsidR="0018078F" w:rsidRPr="00CD63DC" w:rsidRDefault="00232B60">
      <w:pPr>
        <w:pStyle w:val="BodyText"/>
        <w:spacing w:line="276" w:lineRule="auto"/>
      </w:pP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t>SofarSolar Netherlands B.V. was incorporated on XXX and is a wholly owned subsidiary of SofarSolar Ltd based in China. Its office is located at SofarSolar BV is located at XXXXXXX and registered at the Chamber of Commerce under number {{reporting_country_registration_number}}.</w:t>
      </w:r>
    </w:p>
    <w:p w14:paraId="4EEA8368" w14:textId="50E1AB1E" w:rsidR="004551F5" w:rsidRPr="00CD63DC" w:rsidRDefault="00232B60" w:rsidP="004551F5">
      <w:pPr>
        <w:pStyle w:val="BodyText"/>
        <w:spacing w:line="276" w:lineRule="auto"/>
      </w:pPr>
      <w:proofErr w:type="spellStart"/>
      <w:proofErr w:type="spellEnd"/>
      <w:proofErr w:type="spellStart"/>
      <w:proofErr w:type="spellEnd"/>
      <w:r>
        <w:t>SofarSolar Netherlands B.V. is engaged in the provision of re-invoicing services in relation to the purchase of goods for further distribution of the SofarSolar Group products in the Dutch and the European market.</w:t>
      </w:r>
    </w:p>
    <w:p w14:paraId="5A61D413" w14:textId="173A7779" w:rsidR="0018078F" w:rsidRPr="00CD63DC" w:rsidRDefault="00361F29">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43" w:name="_Toc494728220"/>
      <w:bookmarkStart w:id="44" w:name="_Toc203039391"/>
      <w:bookmarkEnd w:id="41"/>
      <w:bookmarkEnd w:id="43"/>
      <w:bookmarkEnd w:id="44"/>
      <w:r>
        <w:t xml:space="preserve">Industry Analysis </w:t>
      </w:r>
    </w:p>
    <w:p w14:paraId="7611CF2A" w14:textId="77777777" w:rsidR="0018078F" w:rsidRPr="00CD63DC" w:rsidRDefault="00361F29">
      <w:pPr>
        <w:pStyle w:val="Heading3"/>
        <w:numPr>
          <w:ilvl w:val="2"/>
          <w:numId w:val="9"/>
        </w:numPr>
        <w:spacing w:line="276" w:lineRule="auto"/>
        <w:ind w:left="1166" w:hanging="1166"/>
        <w:rPr>
          <w:color w:val="3F9C35"/>
          <w14:textFill>
            <w14:solidFill>
              <w14:srgbClr w14:val="3F9C35">
                <w14:lumMod w14:val="50000"/>
                <w14:lumOff w14:val="50000"/>
              </w14:srgbClr>
            </w14:solidFill>
          </w14:textFill>
        </w:rPr>
      </w:pPr>
      <w:r>
        <w:t>Market overview</w:t>
      </w:r>
    </w:p>
    <w:p w14:paraId="4A305B58" w14:textId="5C803715" w:rsidR="004212A4" w:rsidRPr="00CD63DC" w:rsidRDefault="004212A4">
      <w:pPr>
        <w:pStyle w:val="BodyText"/>
        <w:spacing w:line="276" w:lineRule="auto"/>
        <w:rPr>
          <w:color w:val="EE0000"/>
        </w:rPr>
      </w:pPr>
      <w:proofErr w:type="spellStart"/>
      <w:proofErr w:type="spellEnd"/>
      <w:r>
        <w:t>SofarSolar Netherlands B.V. operates in the residential solar photovoltaic (PV) systems market, focusing on inverters. This market is part of the broader solar energy industry.</w:t>
        <w:br/>
        <w:br/>
        <w:t>The global residential solar PV market was valued at approximately USD 57.4 billion in 2023 and is projected to grow at a compound annual growth rate (CAGR) of 7.2% from 2024 to 2030, driven by increasing demand for clean energy sources and supportive government policies (source: https://www.grandviewresearch.com/industry-analysis/residential-solar-pv-market). The market is segmented by technology (mono-Si, poly-Si, thin-film), region, and application (on-grid and off-grid systems). Europe represents a substantial share of the market, partly due to stringent EU climate targets and significant adoption of rooftop solar systems.</w:t>
        <w:br/>
        <w:br/>
        <w:t>Key drivers of market growth include government subsidies, decreasing solar technology costs, and the growing preference for decentralized energy. Challenges include volatile raw material prices, intermittence of solar power, and gaps in energy storage solutions. SofarSolar’s focus on inverter technology aligns with sustained innovation in this segment, which is increasingly critical for efficiency, reliability, and integration with battery storage systems.</w:t>
        <w:br/>
        <w:br/>
        <w:t>Technological innovations are emphasizing higher conversion efficiency, AI-powered smart inverters, and upgrades for compatibility with storage systems. This is boosting value creation from PV systems and addressing challenges surrounding grid stability and power intermittence.</w:t>
        <w:br/>
        <w:br/>
        <w:t>The competitive landscape is shaped by major solar manufacturers such as SMA Solar Technology, SolarEdge Technologies, and Huawei. Companies like SolarEdge and SMA Solar equip inverters with smart features and remote diagnostics, thereby increasing competitiveness. SofarSolar is positioned regionally as a distributor of advanced inverter systems, leveraging Shenzhen SofarSolar’s innovative technology base.</w:t>
        <w:br/>
        <w:br/>
        <w:t>Regionally, Europe exhibits high solar adoption due to strong policy support, while Asia-Pacific is leading in terms of solar capacity additions, underscored by China’s significant market scale. North America prioritizes performance innovation, with tax credit frameworks like the U.S. ITC driving demand. Meanwhile, markets in Latin America and Africa present untapped opportunities due to an abundance of solar resources, but less developed infrastructure. Growing investment in these emerging regions is notable.</w:t>
        <w:br/>
        <w:br/>
        <w:t>Future opportunities include expanding PV-plus-storage solutions, integration with smart grids, and enhancements through IoT technologies. SofarSolar Netherlands B.V. may leverage its group's technological base to capture these trends while broadening markets in emerging Europe and Asia-Pacific regions (source: https://www.iea.org/reports/solar-pv-technology-trends).</w:t>
      </w:r>
    </w:p>
    <w:p w14:paraId="1CE3341C" w14:textId="77777777" w:rsidR="0018078F" w:rsidRPr="00CD63DC" w:rsidRDefault="00361F29">
      <w:pPr>
        <w:pStyle w:val="Heading3"/>
        <w:numPr>
          <w:ilvl w:val="2"/>
          <w:numId w:val="9"/>
        </w:numPr>
        <w:spacing w:line="276" w:lineRule="auto"/>
        <w:ind w:left="1166" w:hanging="1166"/>
        <w:rPr>
          <w:color w:val="3F9C35"/>
          <w14:textFill>
            <w14:solidFill>
              <w14:srgbClr w14:val="3F9C35">
                <w14:lumMod w14:val="50000"/>
                <w14:lumOff w14:val="50000"/>
              </w14:srgbClr>
            </w14:solidFill>
          </w14:textFill>
        </w:rPr>
      </w:pPr>
      <w:r>
        <w:t>Market trends</w:t>
      </w:r>
    </w:p>
    <w:p w14:paraId="45D40C41" w14:textId="7CC2B348" w:rsidR="004212A4" w:rsidRPr="00CD63DC" w:rsidRDefault="004212A4">
      <w:pPr>
        <w:pStyle w:val="BodyText"/>
        <w:spacing w:line="276" w:lineRule="auto"/>
        <w:rPr>
          <w:color w:val="EE0000"/>
        </w:rPr>
      </w:pPr>
      <w:proofErr w:type="spellStart"/>
      <w:proofErr w:type="spellEnd"/>
      <w:r>
        <w:t>SofarSolar Group operates within the global residential solar energy industry, focusing on inverters as a key product. The following analysis provides insights into current and emerging industry trends relevant to SofarSolar:</w:t>
        <w:br/>
        <w:br/>
        <w:t>Technology Trends: Innovations in photovoltaic (PV) inverters are heavily driven by advancements in artificial intelligence and smart energy management systems. Features like real-time data tracking, grid stabilization, and predictive maintenance tools dominate R&amp;D. Emerging trends include integration with battery storage systems and advancements in hybrid inverters to optimize off-grid applications (source: International Energy Agency, 2023).</w:t>
        <w:br/>
        <w:br/>
        <w:t>Policy &amp; Regulatory Trends: Significant policy shifts continue to shape the industry, such as the European Union’s Renewable Energy Directive aimed at increasing the share of renewable energy. Recent subsidies in India and the U.S.-Inflation Reduction Act favor solar adoption, while the EU's carbon neutrality deadlines accelerate installation growth in member states. Net metering policies, which allow consumers to sell excess electricity back, are increasingly prominent in several regions (source: IEA, 2023).</w:t>
        <w:br/>
        <w:br/>
        <w:t>Consumer &amp; Business Adoption Trends: There is growing consumer demand for energy-efficient and low-maintenance solutions due to rising energy costs. Businesses focus on bundling solar solutions with energy storage and electric vehicle chargers, emphasizing cost savings and sustainability. The residential segment has seen an upward trend in adoption of distributed energy systems, particularly in Europe and Australia, where grid outages are prevalent (source: SolarPower Europe, 2023).</w:t>
        <w:br/>
        <w:br/>
        <w:t>Investment &amp; Financial Trends: Solar companies have become attractive acquisition targets for larger renewable firms and private equity groups. SofarSolar’s competitors like Enphase and SolarEdge have reported strong revenue growth and higher valuation multiples driven by their technological differentiation. M&amp;A activities in the sector indicate strategic consolidation, and growth funding rounds aim to leverage advancements in energy optimization tools (source: Bloomberg, 2023).</w:t>
        <w:br/>
        <w:br/>
        <w:t>Regional Trends: Europe remains the most mature market, with high regulatory support and infrastructure-readiness. North America, led by the U.S., is experiencing rapid growth fueled by tax credits and incentives. Asia-Pacific demonstrates massive scalability, particularly in China and India, spurred by affordable production and government-backed subsidies. Latin America and Africa are emerging markets, hindered by financing limitations but showing promise with microgrid projects (source: BloombergNEF, 2023).</w:t>
        <w:br/>
        <w:br/>
        <w:t xml:space="preserve">Future Outlook: The industry advances toward smart grids, ultra-efficient batteries, and peer-to-peer energy trading platforms. Disruption could arise from low-cost modular PV components or breakthrough technologies in quantum dot solar cells. SofarSolar Netherlands BV must strategically prioritize strengthening EU-based distribution networks, enhancing digital offerings in inverters, and addressing evolving compliance standards while capitalizing on cost-plus pricing models (source: [intercompany operations transcript](URL-Transcript) and [financial analysis](URL-Financial)). </w:t>
        <w:br/>
        <w:br/>
        <w:t>In sum, SofarSolar could retain market competitiveness by integrating innovations into its core product line and leveraging regional subsidies for accelerated market entry.</w:t>
      </w:r>
    </w:p>
    <w:p w14:paraId="2D2AF328" w14:textId="0FF05B1F" w:rsidR="0018078F" w:rsidRPr="00CD63DC" w:rsidRDefault="00361F29">
      <w:pPr>
        <w:pStyle w:val="Heading2"/>
        <w:numPr>
          <w:ilvl w:val="1"/>
          <w:numId w:val="9"/>
        </w:numPr>
        <w:tabs>
          <w:tab w:val="left" w:pos="1134"/>
        </w:tabs>
        <w:autoSpaceDE w:val="0"/>
        <w:autoSpaceDN w:val="0"/>
        <w:adjustRightInd w:val="0"/>
        <w:spacing w:before="240"/>
        <w:ind w:left="1138" w:hanging="1138"/>
        <w:rPr>
          <w:rFonts w:cs="Arial"/>
          <w:color w:val="009CDE"/>
          <w14:textFill>
            <w14:solidFill>
              <w14:srgbClr w14:val="009CDE">
                <w14:lumMod w14:val="50000"/>
                <w14:lumOff w14:val="50000"/>
              </w14:srgbClr>
            </w14:solidFill>
          </w14:textFill>
        </w:rPr>
      </w:pPr>
      <w:bookmarkStart w:id="45" w:name="_Toc203039392"/>
      <w:bookmarkEnd w:id="45"/>
      <w:r>
        <w:t xml:space="preserve">Business strategy </w:t>
      </w:r>
    </w:p>
    <w:p w14:paraId="512791B3" w14:textId="77777777" w:rsidR="00A31047" w:rsidRPr="00CD63DC" w:rsidRDefault="00A31047" w:rsidP="00F43B97">
      <w:pPr>
        <w:pStyle w:val="BodyText"/>
        <w:rPr>
          <w:b/>
          <w:bCs/>
          <w:color w:val="EE0000"/>
          <w:lang w:val="en-US"/>
        </w:rPr>
      </w:pPr>
      <w:r/>
    </w:p>
    <w:p w14:paraId="42111169" w14:textId="1FC7E469" w:rsidR="004212A4" w:rsidRPr="00CD63DC" w:rsidRDefault="003C60B0" w:rsidP="00A31047">
      <w:pPr>
        <w:pStyle w:val="BodyText"/>
        <w:spacing w:line="276" w:lineRule="auto"/>
      </w:pPr>
      <w:proofErr w:type="spellStart"/>
      <w:proofErr w:type="spellEnd"/>
      <w:proofErr w:type="spellStart"/>
      <w:proofErr w:type="spellEnd"/>
      <w:r>
        <w:t>During FY2024, SofarSolar Netherlands B.V. was executing the Group’s business strategy.</w:t>
      </w:r>
    </w:p>
    <w:p w14:paraId="5BF66016" w14:textId="2B57E277" w:rsidR="004212A4" w:rsidRPr="00CD63DC" w:rsidRDefault="004212A4">
      <w:pPr>
        <w:pStyle w:val="BodyText"/>
        <w:spacing w:line="276" w:lineRule="auto"/>
        <w:rPr>
          <w:color w:val="EE0000"/>
        </w:rPr>
      </w:pPr>
      <w:proofErr w:type="spellStart"/>
      <w:proofErr w:type="spellEnd"/>
      <w:r>
        <w:t>SofarSolar Group’s mission is to advance sustainable energy solutions by delivering high-quality solar PV systems that empower communities and businesses globally. Its vision is to be a global leader in solar technology innovation, contributing broadly to a cleaner, greener future while ensuring accessible, reliable energy for all.</w:t>
        <w:br/>
        <w:br/>
        <w:t>Its strategic pillars include a commitment to innovation, focusing on enhancing solar inverter technology for greater efficiency; operational excellence, with careful attention to supply chain management and cost-effective distribution; customer-centric engagement to understand and meet the unique needs of residential and commercial clients; and sustainability, underlining the Group’s commitment to environmental and social responsibility.</w:t>
        <w:br/>
        <w:br/>
        <w:t>Execution is centered on leveraging its vertically integrated model by producing solar PV systems in China and distributing them strategically via subsidiaries like SOFARSOLAR Netherlands B.V. This model utilizes partnerships for warehouse utilization and a robust cost-plus pricing strategy, ensuring profitability and global scalability. The Group targets residential and commercial customers in Europe, particularly leveraging the Netherlands as a strategic distribution hub for broader access to European markets.</w:t>
        <w:br/>
        <w:br/>
        <w:t>SofarSolar differentiates itself through cost-effective production in China, rapid delivery pipelines in Europe, and adherence to market pricing strategies, maintaining an efficient end-to-end value chain. It benefits from strong financial discipline, evidenced by Solar Netherlands’ positive 2024 net result and its lean operational model [Transcript, Financial Statement URLs].</w:t>
        <w:br/>
        <w:br/>
        <w:t>In the next 1–3 years, SofarSolar aims to expand its market share in Europe, onboard local employees to streamline operations by 2026 (Transcript), and increase its annual revenue by at least 20% through strategic initiatives like enhancing distribution, technology upgrades, and customer outreach programs.</w:t>
      </w:r>
    </w:p>
    <w:p w14:paraId="274CCFBC" w14:textId="1F2F3D09" w:rsidR="001C6938" w:rsidRPr="00CD63DC" w:rsidRDefault="00361F29" w:rsidP="004A2DEA">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46" w:name="_Toc203039393"/>
      <w:bookmarkEnd w:id="46"/>
      <w:r>
        <w:t>Business restructurings and / or intangibles transfers</w:t>
      </w:r>
    </w:p>
    <w:p w14:paraId="6E1FE09F" w14:textId="4DA8D839" w:rsidR="0018078F" w:rsidRPr="00CD63DC" w:rsidRDefault="00232B60">
      <w:pPr>
        <w:pStyle w:val="BodyText"/>
        <w:spacing w:line="276" w:lineRule="auto"/>
      </w:pPr>
      <w:proofErr w:type="spellStart"/>
      <w:proofErr w:type="spellEnd"/>
      <w:proofErr w:type="spellStart"/>
      <w:proofErr w:type="spellEnd"/>
      <w:r>
        <w:t xml:space="preserve">SofarSolar Netherlands B.V. has not been involved in or affected by any business restructurings, neither has it transferred intangible assets in FY2024. </w:t>
      </w:r>
    </w:p>
    <w:p w14:paraId="57F9273A" w14:textId="77777777" w:rsidR="0018078F" w:rsidRPr="00CD63DC" w:rsidRDefault="00361F29">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47" w:name="_Toc203039394"/>
      <w:bookmarkEnd w:id="47"/>
      <w:r>
        <w:t>Key competitors</w:t>
      </w:r>
    </w:p>
    <w:p w14:paraId="79A7C688" w14:textId="77777777" w:rsidR="00A31047" w:rsidRPr="00CD63DC" w:rsidRDefault="00361F29">
      <w:pPr>
        <w:pStyle w:val="BodyText"/>
        <w:spacing w:line="276" w:lineRule="auto"/>
      </w:pPr>
      <w:proofErr w:type="spellStart"/>
      <w:proofErr w:type="spellEnd"/>
      <w:r>
        <w:t>The major competitors of SofarSolar Group include</w:t>
      </w:r>
    </w:p>
    <w:p w14:paraId="0C62B277" w14:textId="27BE7EC5" w:rsidR="0018078F" w:rsidRPr="00CD63DC" w:rsidRDefault="00361F29" w:rsidP="00A31047">
      <w:pPr>
        <w:pStyle w:val="BodyText"/>
        <w:numPr>
          <w:ilvl w:val="0"/>
          <w:numId w:val="17"/>
        </w:numPr>
        <w:spacing w:line="276" w:lineRule="auto"/>
        <w:rPr>
          <w:b/>
          <w:bCs/>
        </w:rPr>
      </w:pPr>
      <w:r>
        <w:t>XXXXXX</w:t>
      </w:r>
    </w:p>
    <w:p w14:paraId="7B87F0BC" w14:textId="1463AB81" w:rsidR="00383763" w:rsidRPr="00CD63DC" w:rsidRDefault="00383763">
      <w:pPr>
        <w:pStyle w:val="BodyText"/>
        <w:spacing w:line="276" w:lineRule="auto"/>
        <w:rPr>
          <w:color w:val="EE0000"/>
        </w:rPr>
      </w:pPr>
      <w:proofErr w:type="spellStart"/>
      <w:proofErr w:type="spellEnd"/>
      <w:r>
        <w:t>Based on publicly available information, SofarSolar Group operates primarily in the renewable energy space, focusing on solar inverters and related technology. Key competitors for SofarSolar include **Sungrow**, **Huawei**, and **GoodWe**.</w:t>
        <w:br/>
        <w:br/>
        <w:t xml:space="preserve">**Sungrow**  </w:t>
        <w:br/>
        <w:t xml:space="preserve">*Headquarters &amp; Founding Year*: Headquarters in Hefei, China; founded in 1997. Sungrow has a strong global presence, operating in over 150 countries.  </w:t>
        <w:br/>
        <w:t xml:space="preserve">*Core Offerings*: Sungrow specializes in solar inverters, energy storage systems, and floating solar PV systems. They have a diverse portfolio spanning utility-scale, commercial, and residential categories. Notable technologies include high-efficiency inverter systems with advanced monitoring and diagnostic capabilities.  </w:t>
        <w:br/>
        <w:t xml:space="preserve">*Market Position*: Sungrow is a market leader in solar inverters, holding roughly 33% global market share in the PV inverter segment (source: IHS Markit report, 2024). Key customer verticals include utility-scale solar projects and residential systems.  </w:t>
        <w:br/>
        <w:t xml:space="preserve">*Strategic Differentiators*: Sungrow's focus on advanced R&amp;D has resulted in proprietary technologies such as intelligent hybrid inverters. Its established brand reputation and scalable operations offer competitive pricing for large-scale projects.  </w:t>
        <w:br/>
        <w:t xml:space="preserve">*Recent Developments*: Sungrow introduced a new series of high-capacity inverters for utility-scale applications in early 2025 and expanded its manufacturing base to Vietnam.  </w:t>
        <w:br/>
        <w:t>*Comparison to SofarSolar BV*: SofarSolar BV competes on affordability and its cost-plus pricing model but lacks the significant R&amp;D footprint and broad utility-market penetration of Sungrow.</w:t>
        <w:br/>
        <w:br/>
        <w:t xml:space="preserve">**Huawei**  </w:t>
        <w:br/>
        <w:t xml:space="preserve">*Headquarters &amp; Founding Year*: Headquarters in Shenzhen, China; founded in 1987. Huawei is a global leader, with operations in over 170 countries.  </w:t>
        <w:br/>
        <w:t xml:space="preserve">*Core Offerings*: Huawei's Smart PV solutions include the FusionSolar inverter series, smart trackers, and monitoring platforms. They also integrate AI-based energy management systems.  </w:t>
        <w:br/>
        <w:t xml:space="preserve">*Market Position*: Huawei has been ranked as the second-largest PV inverter supplier globally, with a significant presence in commercial and residential segments.  </w:t>
        <w:br/>
        <w:t xml:space="preserve">*Strategic Differentiators*: Its AI-driven energy management systems and strong global manufacturing infrastructure set Huawei apart. Huawei's expertise in digital transformation enables it to offer advanced smart inverter capabilities.  </w:t>
        <w:br/>
        <w:t xml:space="preserve">*Recent Developments*: Huawei launched its latest FusionSolar AI-based solutions in late 2024, focusing on predictive maintenance and increased efficiency in residential applications.  </w:t>
        <w:br/>
        <w:t>*Comparison to SofarSolar BV*: Huawei's advanced technologies and deep integration of AI provide a higher technological edge compared to SofarSolar’s offerings, which focus more on affordability and general market pricing.</w:t>
        <w:br/>
        <w:br/>
        <w:t xml:space="preserve">**GoodWe**  </w:t>
        <w:br/>
        <w:t xml:space="preserve">*Headquarters &amp; Founding Year*: Headquarters in Suzhou, China; founded in 2010. GoodWe is present in over 100 countries, primarily serving residential and commercial markets.  </w:t>
        <w:br/>
        <w:t xml:space="preserve">*Core Offerings*: GoodWe is known for its hybrid inverters and energy storage solutions tailored to residential and small commercial applications. Their flagship products include high-efficiency inverters compatible with energy storage systems.  </w:t>
        <w:br/>
        <w:t xml:space="preserve">*Market Position*: GoodWe ranks among the top 5 global PV inverter suppliers, focusing heavily on the residential segment.  </w:t>
        <w:br/>
        <w:t xml:space="preserve">*Strategic Differentiators*: Strong residential focus and a unique portfolio of hybrid inverters with competitive pricing set GoodWe apart in the small-to-medium scale market.  </w:t>
        <w:br/>
        <w:t xml:space="preserve">*Recent Developments*: GoodWe recently upgraded its hybrid storage inverters to support high parallel loads and began expansion into the South American market.  </w:t>
        <w:br/>
        <w:t>*Comparison to SofarSolar BV*: GoodWe aligns closely with SofarSolar BV in the residential segment but offers slightly more advanced hybrid solutions. However, SofarSolar BV benefits from its lean operation structure and localized warehousing model.</w:t>
        <w:br/>
        <w:br/>
        <w:t>In summary, each competitor surpasses SofarSolar BV in technological innovation and extensive R&amp;D capabilities, while SofarSolar BV remains competitive in pricing and localized distribution efforts. SofarSolar BV's main drawback is its lack of employees in critical operational markets like the Netherlands, limiting its ability to establish a strategic technological edge.</w:t>
      </w:r>
    </w:p>
    <w:p w14:paraId="41654344" w14:textId="10463BE6" w:rsidR="0018078F" w:rsidRPr="00CD63DC" w:rsidRDefault="00361F29">
      <w:pPr>
        <w:pStyle w:val="Heading1"/>
        <w:numPr>
          <w:ilvl w:val="0"/>
          <w:numId w:val="9"/>
        </w:numPr>
        <w:tabs>
          <w:tab w:val="left" w:pos="1134"/>
        </w:tabs>
        <w:autoSpaceDE w:val="0"/>
        <w:autoSpaceDN w:val="0"/>
        <w:adjustRightInd w:val="0"/>
        <w:ind w:left="1134" w:hanging="1134"/>
        <w:rPr>
          <w:rFonts w:cs="Arial"/>
          <w:color w:val="EE0000"/>
          <w:lang w:val="en-US"/>
          <w14:textFill>
            <w14:solidFill>
              <w14:srgbClr w14:val="EE0000">
                <w14:lumMod w14:val="50000"/>
                <w14:lumOff w14:val="50000"/>
              </w14:srgbClr>
            </w14:solidFill>
          </w14:textFill>
          <w14:scene3d>
            <w14:camera w14:prst="orthographicFront"/>
            <w14:lightRig w14:rig="threePt" w14:dir="t">
              <w14:rot w14:lat="0" w14:lon="0" w14:rev="0"/>
            </w14:lightRig>
          </w14:scene3d>
        </w:rPr>
      </w:pPr>
      <w:bookmarkStart w:id="48" w:name="_Toc203039395"/>
      <w:bookmarkStart w:id="49" w:name="OLE_LINK1"/>
      <w:bookmarkStart w:id="50" w:name="OLE_LINK2"/>
      <w:bookmarkEnd w:id="48"/>
      <w:r>
        <w:t xml:space="preserve">Controlled transactions – </w:t>
      </w:r>
    </w:p>
    <w:p w14:paraId="4F7DA0E0" w14:textId="46AB2FAD" w:rsidR="00E518F3" w:rsidRPr="00CD63DC" w:rsidRDefault="00361F29" w:rsidP="004A2DEA">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51" w:name="_Toc115171603"/>
      <w:bookmarkStart w:id="52" w:name="_Toc203039396"/>
      <w:bookmarkEnd w:id="51"/>
      <w:bookmarkEnd w:id="52"/>
      <w:r>
        <w:t xml:space="preserve">General overview and amounts </w:t>
      </w:r>
    </w:p>
    <w:p w14:paraId="758D67D2" w14:textId="6C62BB42" w:rsidR="0018078F" w:rsidRPr="00CD63DC" w:rsidRDefault="00361F29">
      <w:proofErr w:type="spellStart"/>
      <w:proofErr w:type="spellEnd"/>
      <w:r>
        <w:t>The following table provides the amounts of the controlled transactions in FY2024.</w:t>
      </w:r>
    </w:p>
    <w:p w14:paraId="4CD4DDF2" w14:textId="77777777" w:rsidR="0018078F" w:rsidRPr="00CD63DC" w:rsidRDefault="00361F29">
      <w:pPr>
        <w:pStyle w:val="Caption"/>
        <w:autoSpaceDE w:val="0"/>
        <w:autoSpaceDN w:val="0"/>
        <w:adjustRightInd w:val="0"/>
        <w:spacing w:after="0"/>
        <w:rPr>
          <w:rFonts w:eastAsiaTheme="minorHAnsi"/>
          <w:color w:val="3F9C35"/>
          <w:lang w:val="en-US"/>
          <w14:textFill>
            <w14:solidFill>
              <w14:srgbClr w14:val="3F9C35">
                <w14:lumMod w14:val="50000"/>
                <w14:lumOff w14:val="50000"/>
              </w14:srgbClr>
            </w14:solidFill>
          </w14:textFill>
        </w:rPr>
      </w:pPr>
      <w:r>
        <w:t>Table 1. Amounts of controlled transactions</w:t>
      </w:r>
    </w:p>
    <w:tbl>
      <w:tblPr>
        <w:tblStyle w:val="Style2"/>
        <w:tblW w:w="0" w:type="auto"/>
        <w:tblBorders>
          <w:top w:val="dotted" w:sz="4" w:space="0" w:color="009CDE"/>
          <w:left w:val="dotted" w:sz="4" w:space="0" w:color="009CDE"/>
          <w:bottom w:val="dotted" w:sz="4" w:space="0" w:color="009CDE"/>
          <w:right w:val="dotted" w:sz="4" w:space="0" w:color="009CDE"/>
          <w:insideH w:val="dotted" w:sz="4" w:space="0" w:color="009CDE"/>
          <w:insideV w:val="dotted" w:sz="4" w:space="0" w:color="009CDE"/>
        </w:tblBorders>
        <w:tblLayout w:type="fixed"/>
        <w:tblLook w:val="04A0" w:firstRow="1" w:lastRow="0" w:firstColumn="1" w:lastColumn="0" w:noHBand="0" w:noVBand="1"/>
      </w:tblPr>
      <w:tblGrid>
        <w:gridCol w:w="2245"/>
        <w:gridCol w:w="1170"/>
        <w:gridCol w:w="1530"/>
        <w:gridCol w:w="1890"/>
        <w:gridCol w:w="2239"/>
      </w:tblGrid>
      <w:tr w:rsidR="0018078F" w:rsidRPr="00CD63DC" w14:paraId="72505706" w14:textId="77777777" w:rsidTr="0018078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45" w:type="dxa"/>
            <w:shd w:val="clear" w:color="auto" w:fill="3F9C35"/>
          </w:tcPr>
          <w:p w14:paraId="1D537418" w14:textId="77777777" w:rsidR="0018078F" w:rsidRPr="00CD63DC" w:rsidRDefault="00361F29">
            <w:pPr>
              <w:pStyle w:val="BodyText"/>
              <w:spacing w:before="40" w:after="40" w:line="276" w:lineRule="auto"/>
              <w:jc w:val="center"/>
              <w:rPr>
                <w:b w:val="0"/>
              </w:rPr>
            </w:pPr>
            <w:r>
              <w:t>Controlled transaction</w:t>
            </w:r>
          </w:p>
        </w:tc>
        <w:tc>
          <w:tcPr>
            <w:tcW w:w="1170" w:type="dxa"/>
            <w:shd w:val="clear" w:color="auto" w:fill="3F9C35"/>
          </w:tcPr>
          <w:p w14:paraId="259974C4" w14:textId="77777777" w:rsidR="0018078F" w:rsidRPr="00CD63DC" w:rsidRDefault="00361F29">
            <w:pPr>
              <w:pStyle w:val="BodyText"/>
              <w:spacing w:before="40" w:after="40" w:line="276" w:lineRule="auto"/>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t>Financial year</w:t>
            </w:r>
          </w:p>
        </w:tc>
        <w:tc>
          <w:tcPr>
            <w:tcW w:w="1530" w:type="dxa"/>
            <w:shd w:val="clear" w:color="auto" w:fill="3F9C35"/>
          </w:tcPr>
          <w:p w14:paraId="0B2157F3" w14:textId="77777777" w:rsidR="0018078F" w:rsidRPr="00CD63DC" w:rsidRDefault="00361F29">
            <w:pPr>
              <w:pStyle w:val="BodyText"/>
              <w:spacing w:before="40" w:after="40" w:line="276" w:lineRule="auto"/>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t>Entity receiving income</w:t>
            </w:r>
          </w:p>
        </w:tc>
        <w:tc>
          <w:tcPr>
            <w:tcW w:w="1890" w:type="dxa"/>
            <w:shd w:val="clear" w:color="auto" w:fill="3F9C35"/>
          </w:tcPr>
          <w:p w14:paraId="1937C977" w14:textId="77777777" w:rsidR="0018078F" w:rsidRPr="00CD63DC" w:rsidRDefault="00361F29">
            <w:pPr>
              <w:pStyle w:val="BodyText"/>
              <w:spacing w:before="40" w:after="40" w:line="276" w:lineRule="auto"/>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t>Entity incurring expense</w:t>
            </w:r>
          </w:p>
        </w:tc>
        <w:tc>
          <w:tcPr>
            <w:tcW w:w="2239" w:type="dxa"/>
            <w:shd w:val="clear" w:color="auto" w:fill="3F9C35"/>
          </w:tcPr>
          <w:p w14:paraId="0C3898F3" w14:textId="77777777" w:rsidR="0018078F" w:rsidRPr="00CD63DC" w:rsidRDefault="00361F29">
            <w:pPr>
              <w:pStyle w:val="BodyText"/>
              <w:spacing w:before="40" w:after="40" w:line="276" w:lineRule="auto"/>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t>Amounts of controlled transactions, in Euro (“USD”)</w:t>
            </w:r>
          </w:p>
        </w:tc>
      </w:tr>
      <w:tr w:rsidR="0018078F" w:rsidRPr="00CD63DC" w14:paraId="042BA5E0" w14:textId="77777777" w:rsidTr="0018078F">
        <w:trPr>
          <w:trHeight w:val="576"/>
        </w:trPr>
        <w:tc>
          <w:tcPr>
            <w:cnfStyle w:val="001000000000" w:firstRow="0" w:lastRow="0" w:firstColumn="1" w:lastColumn="0" w:oddVBand="0" w:evenVBand="0" w:oddHBand="0" w:evenHBand="0" w:firstRowFirstColumn="0" w:firstRowLastColumn="0" w:lastRowFirstColumn="0" w:lastRowLastColumn="0"/>
            <w:tcW w:w="2245" w:type="dxa"/>
          </w:tcPr>
          <w:p w14:paraId="0F277C97" w14:textId="32BD1CFB" w:rsidR="0018078F" w:rsidRPr="00CD63DC" w:rsidRDefault="00361F29">
            <w:pPr>
              <w:pStyle w:val="TableText"/>
              <w:spacing w:before="40" w:after="40"/>
              <w:jc w:val="left"/>
              <w:rPr>
                <w:b w:val="0"/>
              </w:rPr>
            </w:pPr>
            <w:proofErr w:type="spellStart"/>
            <w:proofErr w:type="spellEnd"/>
            <w:proofErr w:type="spellStart"/>
            <w:proofErr w:type="spellEnd"/>
            <w:r>
              <w:t xml:space="preserve">Transaction 1 – Provision of re-invoicing services in relation to the Purchase of goods by SofarSolar Netherlands B.V. from Shenzhen SofarSolar Co. Ltd.  </w:t>
            </w:r>
          </w:p>
        </w:tc>
        <w:tc>
          <w:tcPr>
            <w:tcW w:w="1170" w:type="dxa"/>
          </w:tcPr>
          <w:p w14:paraId="78E3669F" w14:textId="683C0081" w:rsidR="0018078F" w:rsidRPr="00CD63DC" w:rsidRDefault="00361F29">
            <w:pPr>
              <w:pStyle w:val="TableText"/>
              <w:spacing w:before="40" w:after="40"/>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proofErr w:type="spellStart"/>
            <w:proofErr w:type="spellEnd"/>
            <w:r>
              <w:t>FY2024</w:t>
            </w:r>
          </w:p>
        </w:tc>
        <w:tc>
          <w:tcPr>
            <w:tcW w:w="1530" w:type="dxa"/>
          </w:tcPr>
          <w:p w14:paraId="46E4E3B0" w14:textId="44F9D3C6" w:rsidR="0018078F" w:rsidRPr="00CD63DC" w:rsidRDefault="00232B60">
            <w:pPr>
              <w:pStyle w:val="TableText"/>
              <w:spacing w:before="40" w:after="40"/>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r>
              <w:t>{{coiunter_party_1}}</w:t>
            </w:r>
          </w:p>
        </w:tc>
        <w:tc>
          <w:tcPr>
            <w:tcW w:w="1890" w:type="dxa"/>
          </w:tcPr>
          <w:p w14:paraId="55FFAF94" w14:textId="6C953899" w:rsidR="0018078F" w:rsidRPr="00CD63DC" w:rsidRDefault="00625668">
            <w:pPr>
              <w:pStyle w:val="TableText"/>
              <w:spacing w:before="40" w:after="40"/>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proofErr w:type="spellStart"/>
            <w:proofErr w:type="spellEnd"/>
            <w:r>
              <w:t xml:space="preserve">SofarSolar Netherlands B.V. </w:t>
            </w:r>
          </w:p>
        </w:tc>
        <w:tc>
          <w:tcPr>
            <w:tcW w:w="2239" w:type="dxa"/>
          </w:tcPr>
          <w:p w14:paraId="4CFF9609" w14:textId="3537694A" w:rsidR="0018078F" w:rsidRPr="00CD63DC" w:rsidRDefault="00A77E06">
            <w:pPr>
              <w:pStyle w:val="TableText"/>
              <w:spacing w:before="40" w:after="40"/>
              <w:jc w:val="center"/>
              <w:cnfStyle w:val="000000000000" w:firstRow="0" w:lastRow="0" w:firstColumn="0" w:lastColumn="0" w:oddVBand="0" w:evenVBand="0" w:oddHBand="0" w:evenHBand="0" w:firstRowFirstColumn="0" w:firstRowLastColumn="0" w:lastRowFirstColumn="0" w:lastRowLastColumn="0"/>
              <w:rPr>
                <w:rFonts w:eastAsiaTheme="minorEastAsia"/>
                <w:lang w:val="en-US"/>
              </w:rPr>
            </w:pPr>
            <w:proofErr w:type="spellStart"/>
            <w:proofErr w:type="spellEnd"/>
            <w:r>
              <w:t>{{transaction_amount}}</w:t>
            </w:r>
          </w:p>
        </w:tc>
      </w:tr>
    </w:tbl>
    <w:p w14:paraId="5FB9042A" w14:textId="77777777" w:rsidR="0018078F" w:rsidRPr="00CD63DC" w:rsidRDefault="00361F29">
      <w:pPr>
        <w:pStyle w:val="Heading2"/>
        <w:keepNext w:val="0"/>
        <w:keepLines w:val="0"/>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53" w:name="_Toc203039397"/>
      <w:bookmarkEnd w:id="53"/>
      <w:r>
        <w:t>Description of the controlled transactions</w:t>
      </w:r>
    </w:p>
    <w:p w14:paraId="57E1BA70" w14:textId="58E37080" w:rsidR="0018078F" w:rsidRPr="00CD63DC" w:rsidRDefault="00361F29">
      <w:pPr>
        <w:pStyle w:val="Heading3"/>
        <w:keepNext w:val="0"/>
        <w:numPr>
          <w:ilvl w:val="2"/>
          <w:numId w:val="9"/>
        </w:numPr>
        <w:spacing w:line="276" w:lineRule="auto"/>
        <w:ind w:left="1166" w:hanging="1166"/>
        <w:rPr>
          <w:color w:val="3F9C35"/>
          <w14:textFill>
            <w14:solidFill>
              <w14:srgbClr w14:val="3F9C35">
                <w14:lumMod w14:val="50000"/>
                <w14:lumOff w14:val="50000"/>
              </w14:srgbClr>
            </w14:solidFill>
          </w14:textFill>
        </w:rPr>
      </w:pPr>
      <w:proofErr w:type="spellStart"/>
      <w:proofErr w:type="spellEnd"/>
      <w:r>
        <w:t>Transaction 1 – Provision of re-invoicing services in relation to the Purchase of goods by SofarSolar Netherlands B.V. from {{supplier_short_2}} and {{supplier_short_1}}</w:t>
      </w:r>
    </w:p>
    <w:p w14:paraId="200E8756" w14:textId="77777777" w:rsidR="00B642D2" w:rsidRPr="00CD63DC" w:rsidRDefault="00B642D2" w:rsidP="00B642D2">
      <w:pPr>
        <w:rPr>
          <w:color w:val="EE0000"/>
          <w:lang w:val="en-US"/>
        </w:rPr>
      </w:pPr>
      <w:r/>
    </w:p>
    <w:p w14:paraId="61ECB1EC" w14:textId="4DB62295" w:rsidR="00B642D2" w:rsidRPr="00CD63DC" w:rsidRDefault="00B642D2" w:rsidP="00B642D2">
      <w:pPr>
        <w:rPr>
          <w:color w:val="auto"/>
          <w:lang w:val="en-US"/>
        </w:rPr>
      </w:pPr>
      <w:proofErr w:type="spellStart"/>
      <w:proofErr w:type="spellEnd"/>
      <w:proofErr w:type="spellStart"/>
      <w:proofErr w:type="spellEnd"/>
      <w:proofErr w:type="spellStart"/>
      <w:proofErr w:type="spellEnd"/>
      <w:r>
        <w:t>During FY2024, SofarSolar Netherlands B.V. was involved in re-invoicing activities related to the purchase of goods from Shenzhen SofarSolar Co. Ltd.  for the purpose of distribution in the Dutch and broader European markets.</w:t>
      </w:r>
    </w:p>
    <w:p w14:paraId="56F56ED0" w14:textId="4B51AB82" w:rsidR="00B642D2" w:rsidRPr="00CD63DC" w:rsidRDefault="00B642D2" w:rsidP="00B642D2">
      <w:pPr>
        <w:rPr>
          <w:color w:val="EE0000"/>
          <w:lang w:val="en-US"/>
        </w:rPr>
      </w:pPr>
      <w:proofErr w:type="gramStart"/>
      <w:proofErr w:type="spellStart"/>
      <w:proofErr w:type="gramEnd"/>
      <w:proofErr w:type="spellEnd"/>
      <w:proofErr w:type="spellStart"/>
      <w:proofErr w:type="gramStart"/>
      <w:proofErr w:type="spellEnd"/>
      <w:proofErr w:type="gramEnd"/>
      <w:r>
        <w:t>Throughout this period, SofarSolar Netherlands B.V. did not employ any personnel and therefore did not perform or control any economically significant functions, nor did it assume any material risks associated with the transaction. All strategic, operational, and risk-related decisions, including those concerning inventory, market exposure, and credit risk, were exclusively undertaken and managed by Shenzhen SofarSolar Co. Ltd. .</w:t>
      </w:r>
    </w:p>
    <w:p w14:paraId="349F93B7" w14:textId="20A8F5B6" w:rsidR="00B642D2" w:rsidRPr="00CD63DC" w:rsidRDefault="00B642D2" w:rsidP="00B642D2">
      <w:pPr>
        <w:rPr>
          <w:color w:val="EE0000"/>
          <w:lang w:val="en-US"/>
        </w:rPr>
      </w:pPr>
      <w:proofErr w:type="gramStart"/>
      <w:proofErr w:type="spellStart"/>
      <w:proofErr w:type="gramEnd"/>
      <w:proofErr w:type="spellEnd"/>
      <w:r>
        <w:t>Accordingly, SofarSolar Netherlands B.V. can be characterized as a service entity without employees, engaged solely in re-invoicing activities.</w:t>
      </w:r>
    </w:p>
    <w:p w14:paraId="60C8558D" w14:textId="478AD87A" w:rsidR="00E535BA" w:rsidRPr="00CD63DC" w:rsidRDefault="00E535BA">
      <w:pPr>
        <w:rPr>
          <w:color w:val="EE0000"/>
          <w:lang w:val="en-US"/>
        </w:rPr>
      </w:pPr>
      <w:r>
        <w:t>Note: TP team will generalize</w:t>
      </w:r>
    </w:p>
    <w:p w14:paraId="553CD69D" w14:textId="0FC00A70" w:rsidR="008A25F6" w:rsidRPr="00CD63DC" w:rsidRDefault="00361F29" w:rsidP="00DF059B">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54" w:name="_Toc494814582"/>
      <w:bookmarkStart w:id="55" w:name="_Toc115171605"/>
      <w:bookmarkStart w:id="56" w:name="_Toc203039398"/>
      <w:bookmarkEnd w:id="49"/>
      <w:bookmarkEnd w:id="50"/>
      <w:bookmarkEnd w:id="54"/>
      <w:bookmarkEnd w:id="55"/>
      <w:bookmarkEnd w:id="56"/>
      <w:r>
        <w:t>Intercompany agreements</w:t>
      </w:r>
    </w:p>
    <w:p w14:paraId="38B17B25" w14:textId="77777777" w:rsidR="0018078F" w:rsidRPr="00CD63DC" w:rsidRDefault="00361F29">
      <w:pPr>
        <w:rPr>
          <w:lang w:val="en-US"/>
        </w:rPr>
      </w:pPr>
      <w:proofErr w:type="gramStart"/>
      <w:proofErr w:type="gramEnd"/>
      <w:r>
        <w:t>Please see Appendix III for the relevant intercompany agreements.</w:t>
      </w:r>
    </w:p>
    <w:p w14:paraId="0BCE0E11" w14:textId="2A2971EA" w:rsidR="0018078F" w:rsidRPr="00CD63DC" w:rsidRDefault="00361F29">
      <w:pPr>
        <w:pStyle w:val="Heading1"/>
        <w:numPr>
          <w:ilvl w:val="0"/>
          <w:numId w:val="9"/>
        </w:numPr>
        <w:tabs>
          <w:tab w:val="left" w:pos="1134"/>
        </w:tabs>
        <w:autoSpaceDE w:val="0"/>
        <w:autoSpaceDN w:val="0"/>
        <w:adjustRightInd w:val="0"/>
        <w:ind w:left="1134" w:hanging="1134"/>
        <w:rPr>
          <w:rFonts w:cs="Arial"/>
          <w:color w:val="3F9C35"/>
          <w:lang w:val="en-US"/>
          <w14:textFill>
            <w14:solidFill>
              <w14:srgbClr w14:val="3F9C35">
                <w14:lumMod w14:val="50000"/>
                <w14:lumOff w14:val="50000"/>
              </w14:srgbClr>
            </w14:solidFill>
          </w14:textFill>
          <w14:scene3d>
            <w14:camera w14:prst="orthographicFront"/>
            <w14:lightRig w14:rig="threePt" w14:dir="t">
              <w14:rot w14:lat="0" w14:lon="0" w14:rev="0"/>
            </w14:lightRig>
          </w14:scene3d>
        </w:rPr>
      </w:pPr>
      <w:bookmarkStart w:id="57" w:name="_Toc459927766"/>
      <w:bookmarkStart w:id="58" w:name="_Toc459927767"/>
      <w:bookmarkStart w:id="59" w:name="_Toc459927759"/>
      <w:bookmarkStart w:id="60" w:name="_Toc459927760"/>
      <w:bookmarkStart w:id="61" w:name="_Toc459927762"/>
      <w:bookmarkStart w:id="62" w:name="_Toc459927758"/>
      <w:bookmarkStart w:id="63" w:name="_Toc459927763"/>
      <w:bookmarkStart w:id="64" w:name="_Toc459927761"/>
      <w:bookmarkStart w:id="65" w:name="_Toc459927764"/>
      <w:bookmarkStart w:id="66" w:name="_Toc459927765"/>
      <w:bookmarkStart w:id="67" w:name="_Toc459927768"/>
      <w:bookmarkStart w:id="68" w:name="_Toc459927769"/>
      <w:bookmarkStart w:id="69" w:name="_Toc459927770"/>
      <w:bookmarkStart w:id="70" w:name="_Toc115171606"/>
      <w:bookmarkStart w:id="71" w:name="_Toc203039399"/>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t xml:space="preserve">Specific financial and tax information </w:t>
      </w:r>
    </w:p>
    <w:p w14:paraId="7AFE4A8F" w14:textId="77777777" w:rsidR="0018078F" w:rsidRPr="00CD63DC" w:rsidRDefault="00361F29">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72" w:name="_Toc203039400"/>
      <w:bookmarkEnd w:id="72"/>
      <w:r>
        <w:t>Introduction</w:t>
      </w:r>
    </w:p>
    <w:p w14:paraId="087F4C7C" w14:textId="1DD63435" w:rsidR="0018078F" w:rsidRPr="00CD63DC" w:rsidRDefault="00361F29">
      <w:proofErr w:type="spellStart"/>
      <w:proofErr w:type="spellEnd"/>
      <w:proofErr w:type="spellStart"/>
      <w:proofErr w:type="spellEnd"/>
      <w:r>
        <w:t>This section provides information on the financials of SofarSolar Netherlands B.V. and any tax arrangements (e.g. advanced pricing agreements (“APAs”) and advance tax rulings (“ATRs”)) agreed upon by SofarSolar Netherlands B.V. with the tax authorities.</w:t>
      </w:r>
    </w:p>
    <w:p w14:paraId="16A5E054" w14:textId="77777777" w:rsidR="0018078F" w:rsidRPr="00CD63DC" w:rsidRDefault="00361F29">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73" w:name="_Toc203039401"/>
      <w:bookmarkEnd w:id="73"/>
      <w:r>
        <w:t>Annual report</w:t>
      </w:r>
    </w:p>
    <w:p w14:paraId="749BC197" w14:textId="63AC7066" w:rsidR="0018078F" w:rsidRPr="00CD63DC" w:rsidRDefault="00361F29">
      <w:pPr>
        <w:pStyle w:val="BodyText"/>
        <w:spacing w:line="276" w:lineRule="auto"/>
      </w:pPr>
      <w:proofErr w:type="spellStart"/>
      <w:proofErr w:type="spellEnd"/>
      <w:proofErr w:type="spellStart"/>
      <w:proofErr w:type="spellEnd"/>
      <w:r>
        <w:t>In Appendix IV, the local statutory accounts of SofarSolar Netherlands B.V. are included for FY2024</w:t>
      </w:r>
    </w:p>
    <w:p w14:paraId="165EBE36" w14:textId="77777777" w:rsidR="0018078F" w:rsidRPr="00CD63DC" w:rsidRDefault="00361F29">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74" w:name="_Toc203039402"/>
      <w:bookmarkEnd w:id="74"/>
      <w:r>
        <w:t>Tax arrangements</w:t>
      </w:r>
    </w:p>
    <w:p w14:paraId="4BB3D6F0" w14:textId="5AE7A6AD" w:rsidR="0018078F" w:rsidRPr="00CD63DC" w:rsidRDefault="00232B60">
      <w:pPr>
        <w:pStyle w:val="BodyText"/>
        <w:spacing w:line="276" w:lineRule="auto"/>
      </w:pPr>
      <w:proofErr w:type="spellStart"/>
      <w:proofErr w:type="spellEnd"/>
      <w:proofErr w:type="gramStart"/>
      <w:proofErr w:type="gramEnd"/>
      <w:proofErr w:type="spellStart"/>
      <w:proofErr w:type="spellEnd"/>
      <w:r>
        <w:t>SofarSolar Netherlands B.V. has not entered into any APAs or ATRs during FY2024.</w:t>
      </w:r>
    </w:p>
    <w:p w14:paraId="4D498D4D" w14:textId="0DE50072" w:rsidR="0018078F" w:rsidRPr="00CD63DC" w:rsidRDefault="00361F29">
      <w:pPr>
        <w:pStyle w:val="Heading1"/>
        <w:numPr>
          <w:ilvl w:val="0"/>
          <w:numId w:val="9"/>
        </w:numPr>
        <w:tabs>
          <w:tab w:val="left" w:pos="1134"/>
        </w:tabs>
        <w:autoSpaceDE w:val="0"/>
        <w:autoSpaceDN w:val="0"/>
        <w:adjustRightInd w:val="0"/>
        <w:ind w:left="1134" w:hanging="1134"/>
        <w:rPr>
          <w:rFonts w:cs="Arial"/>
          <w:color w:val="3F9C35"/>
          <w:lang w:val="en-US"/>
          <w14:textFill>
            <w14:solidFill>
              <w14:srgbClr w14:val="3F9C35">
                <w14:lumMod w14:val="50000"/>
                <w14:lumOff w14:val="50000"/>
              </w14:srgbClr>
            </w14:solidFill>
          </w14:textFill>
          <w14:scene3d>
            <w14:camera w14:prst="orthographicFront"/>
            <w14:lightRig w14:rig="threePt" w14:dir="t">
              <w14:rot w14:lat="0" w14:lon="0" w14:rev="0"/>
            </w14:lightRig>
          </w14:scene3d>
        </w:rPr>
      </w:pPr>
      <w:bookmarkStart w:id="75" w:name="_Toc203039403"/>
      <w:proofErr w:type="spellStart"/>
      <w:proofErr w:type="spellEnd"/>
      <w:bookmarkEnd w:id="75"/>
      <w:proofErr w:type="spellStart"/>
      <w:proofErr w:type="spellEnd"/>
      <w:r>
        <w:t xml:space="preserve">Transfer pricing analysis for Transaction 1 – Provision of re-invoicing services in relation to the Purchase of goods by SofarSolar Netherlands B.V. from Shenzhen SofarSolar Co. Ltd. </w:t>
      </w:r>
    </w:p>
    <w:p w14:paraId="19BEB431" w14:textId="77777777" w:rsidR="0018078F" w:rsidRPr="00CD63DC" w:rsidRDefault="00361F29">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76" w:name="_Toc203039404"/>
      <w:bookmarkEnd w:id="76"/>
      <w:r>
        <w:t>Functional analysis</w:t>
      </w:r>
    </w:p>
    <w:p w14:paraId="441380E2" w14:textId="77777777" w:rsidR="0018078F" w:rsidRPr="00CD63DC" w:rsidRDefault="00361F29">
      <w:pPr>
        <w:pStyle w:val="Heading3"/>
        <w:numPr>
          <w:ilvl w:val="2"/>
          <w:numId w:val="9"/>
        </w:numPr>
        <w:spacing w:line="276" w:lineRule="auto"/>
        <w:ind w:left="1166" w:hanging="1166"/>
        <w:rPr>
          <w:color w:val="3F9C35"/>
          <w14:textFill>
            <w14:solidFill>
              <w14:srgbClr w14:val="3F9C35">
                <w14:lumMod w14:val="50000"/>
                <w14:lumOff w14:val="50000"/>
              </w14:srgbClr>
            </w14:solidFill>
          </w14:textFill>
        </w:rPr>
      </w:pPr>
      <w:r>
        <w:t xml:space="preserve">Functions performed </w:t>
      </w:r>
    </w:p>
    <w:p w14:paraId="09CDBB8F" w14:textId="77777777" w:rsidR="00F4375F" w:rsidRPr="00CD63DC" w:rsidRDefault="00F4375F" w:rsidP="00F4375F">
      <w:pPr>
        <w:pStyle w:val="BodyText"/>
        <w:numPr>
          <w:ilvl w:val="0"/>
          <w:numId w:val="17"/>
        </w:numPr>
        <w:rPr>
          <w:lang w:val="en-US"/>
        </w:rPr>
      </w:pPr>
      <w:proofErr w:type="spellStart"/>
      <w:proofErr w:type="gramStart"/>
      <w:proofErr w:type="spellEnd"/>
      <w:proofErr w:type="gramEnd"/>
      <w:r>
        <w:t>SofarSolar Netherlands B.V.:</w:t>
      </w:r>
    </w:p>
    <w:p w14:paraId="6866E94A" w14:textId="58A695CD" w:rsidR="00F4375F" w:rsidRPr="00CD63DC" w:rsidRDefault="00F4375F" w:rsidP="0088792F">
      <w:pPr>
        <w:pStyle w:val="BodyText"/>
        <w:ind w:left="410"/>
        <w:rPr>
          <w:lang w:val="en-US"/>
        </w:rPr>
      </w:pPr>
      <w:proofErr w:type="spellStart"/>
      <w:proofErr w:type="spellEnd"/>
      <w:proofErr w:type="gramStart"/>
      <w:proofErr w:type="spellStart"/>
      <w:proofErr w:type="gramEnd"/>
      <w:proofErr w:type="spellEnd"/>
      <w:r>
        <w:t>SofarSolar Netherlands B.V.’s role in the transaction is limited to re-invoicing. The entity does not engage in any strategic, operational, or commercial decision-making. It does not perform any production, procurement, marketing, distribution, or warehousing functions. These functions are instead executed by other related or third-party entities. Furthermore, SofarSolar Netherlands B.V. does not have personnel and thus does not exercise control over any relevant functions.</w:t>
      </w:r>
    </w:p>
    <w:p w14:paraId="4F10B078" w14:textId="77777777" w:rsidR="00F4375F" w:rsidRPr="00CD63DC" w:rsidRDefault="00F4375F" w:rsidP="00F4375F">
      <w:pPr>
        <w:pStyle w:val="BodyText"/>
        <w:rPr>
          <w:lang w:val="en-US"/>
        </w:rPr>
      </w:pPr>
      <w:r/>
    </w:p>
    <w:p w14:paraId="4A92E218" w14:textId="22211445" w:rsidR="0088792F" w:rsidRPr="00CD63DC" w:rsidRDefault="00C0496D" w:rsidP="0088792F">
      <w:pPr>
        <w:pStyle w:val="BodyText"/>
        <w:numPr>
          <w:ilvl w:val="0"/>
          <w:numId w:val="17"/>
        </w:numPr>
        <w:rPr>
          <w:lang w:val="en-US"/>
        </w:rPr>
      </w:pPr>
      <w:proofErr w:type="spellStart"/>
      <w:proofErr w:type="gramStart"/>
      <w:proofErr w:type="spellEnd"/>
      <w:proofErr w:type="gramEnd"/>
      <w:r>
        <w:t>Shenzhen SofarSolar Co. Ltd. :</w:t>
      </w:r>
    </w:p>
    <w:p w14:paraId="035F889B" w14:textId="071CBE18" w:rsidR="00F4375F" w:rsidRPr="00CD63DC" w:rsidRDefault="00F4375F" w:rsidP="0088792F">
      <w:pPr>
        <w:pStyle w:val="BodyText"/>
        <w:ind w:left="410"/>
        <w:rPr>
          <w:lang w:val="en-US"/>
        </w:rPr>
      </w:pPr>
      <w:proofErr w:type="gramStart"/>
      <w:proofErr w:type="spellStart"/>
      <w:proofErr w:type="gramEnd"/>
      <w:proofErr w:type="gramStart"/>
      <w:proofErr w:type="spellEnd"/>
      <w:proofErr w:type="gramEnd"/>
      <w:r>
        <w:t>The parent entity, Shenzhen SofarSolar Co. Ltd. , is responsible for all economically significant activities associated with the transaction. This includes:</w:t>
      </w:r>
    </w:p>
    <w:p w14:paraId="7103BADF" w14:textId="05FBE9ED" w:rsidR="00F4375F" w:rsidRPr="00CD63DC" w:rsidRDefault="00F4375F" w:rsidP="0088792F">
      <w:pPr>
        <w:pStyle w:val="BodyText"/>
        <w:numPr>
          <w:ilvl w:val="0"/>
          <w:numId w:val="17"/>
        </w:numPr>
        <w:rPr>
          <w:lang w:val="en-US"/>
        </w:rPr>
      </w:pPr>
      <w:proofErr w:type="gramStart"/>
      <w:proofErr w:type="gramEnd"/>
      <w:r>
        <w:t>Negotiating and setting commercial terms and conditions with suppliers and customers;</w:t>
      </w:r>
    </w:p>
    <w:p w14:paraId="1EDCC936" w14:textId="45856889" w:rsidR="00F4375F" w:rsidRPr="00CD63DC" w:rsidRDefault="00F4375F" w:rsidP="0088792F">
      <w:pPr>
        <w:pStyle w:val="BodyText"/>
        <w:numPr>
          <w:ilvl w:val="0"/>
          <w:numId w:val="17"/>
        </w:numPr>
        <w:rPr>
          <w:lang w:val="en-US"/>
        </w:rPr>
      </w:pPr>
      <w:proofErr w:type="gramStart"/>
      <w:proofErr w:type="gramEnd"/>
      <w:r>
        <w:t>Making all strategic decisions related to market positioning, pricing, credit, and inventory management;</w:t>
      </w:r>
    </w:p>
    <w:p w14:paraId="3B0BD40E" w14:textId="60996E5F" w:rsidR="00F4375F" w:rsidRPr="00CD63DC" w:rsidRDefault="00F4375F" w:rsidP="0088792F">
      <w:pPr>
        <w:pStyle w:val="BodyText"/>
        <w:numPr>
          <w:ilvl w:val="0"/>
          <w:numId w:val="17"/>
        </w:numPr>
        <w:rPr>
          <w:lang w:val="en-US"/>
        </w:rPr>
      </w:pPr>
      <w:proofErr w:type="gramStart"/>
      <w:proofErr w:type="gramEnd"/>
      <w:r>
        <w:t>Managing supplier relationships and customer engagement;</w:t>
      </w:r>
    </w:p>
    <w:p w14:paraId="0D96A73E" w14:textId="4FD2EC5C" w:rsidR="0045728B" w:rsidRPr="00CD63DC" w:rsidRDefault="00F4375F" w:rsidP="0088792F">
      <w:pPr>
        <w:pStyle w:val="BodyText"/>
        <w:numPr>
          <w:ilvl w:val="0"/>
          <w:numId w:val="17"/>
        </w:numPr>
        <w:spacing w:line="276" w:lineRule="auto"/>
        <w:rPr>
          <w:lang w:val="en-US"/>
        </w:rPr>
      </w:pPr>
      <w:r>
        <w:t>Overseeing logistics, warehousing, and physical distribution through related or third-party service providers.</w:t>
      </w:r>
    </w:p>
    <w:p w14:paraId="35CD8598" w14:textId="252EDF58" w:rsidR="0045728B" w:rsidRPr="00CD63DC" w:rsidRDefault="0045728B">
      <w:pPr>
        <w:pStyle w:val="BodyText"/>
        <w:spacing w:line="276" w:lineRule="auto"/>
        <w:rPr>
          <w:color w:val="EE0000"/>
        </w:rPr>
      </w:pPr>
      <w:r>
        <w:t>Note: TP team to generalize</w:t>
      </w:r>
    </w:p>
    <w:p w14:paraId="0D38380A" w14:textId="77777777" w:rsidR="002716A5" w:rsidRPr="00CD63DC" w:rsidRDefault="002716A5">
      <w:pPr>
        <w:pStyle w:val="Caption"/>
        <w:autoSpaceDE w:val="0"/>
        <w:autoSpaceDN w:val="0"/>
        <w:adjustRightInd w:val="0"/>
        <w:spacing w:after="0"/>
        <w:rPr>
          <w:rFonts w:eastAsiaTheme="minorHAnsi"/>
          <w:color w:val="3F9C35"/>
          <w:lang w:val="en-US"/>
          <w14:textFill>
            <w14:solidFill>
              <w14:srgbClr w14:val="3F9C35">
                <w14:lumMod w14:val="50000"/>
                <w14:lumOff w14:val="50000"/>
              </w14:srgbClr>
            </w14:solidFill>
          </w14:textFill>
        </w:rPr>
      </w:pPr>
      <w:r/>
    </w:p>
    <w:p w14:paraId="33DD5324" w14:textId="77777777" w:rsidR="002716A5" w:rsidRPr="00CD63DC" w:rsidRDefault="002716A5">
      <w:pPr>
        <w:pStyle w:val="Caption"/>
        <w:autoSpaceDE w:val="0"/>
        <w:autoSpaceDN w:val="0"/>
        <w:adjustRightInd w:val="0"/>
        <w:spacing w:after="0"/>
        <w:rPr>
          <w:rFonts w:eastAsiaTheme="minorHAnsi"/>
          <w:color w:val="3F9C35"/>
          <w:lang w:val="en-US"/>
          <w14:textFill>
            <w14:solidFill>
              <w14:srgbClr w14:val="3F9C35">
                <w14:lumMod w14:val="50000"/>
                <w14:lumOff w14:val="50000"/>
              </w14:srgbClr>
            </w14:solidFill>
          </w14:textFill>
        </w:rPr>
      </w:pPr>
      <w:r/>
    </w:p>
    <w:p w14:paraId="72CFF3C1" w14:textId="77777777" w:rsidR="0018078F" w:rsidRPr="00CD63DC" w:rsidRDefault="00361F29">
      <w:pPr>
        <w:pStyle w:val="Caption"/>
        <w:autoSpaceDE w:val="0"/>
        <w:autoSpaceDN w:val="0"/>
        <w:adjustRightInd w:val="0"/>
        <w:spacing w:after="0"/>
        <w:rPr>
          <w:rFonts w:eastAsiaTheme="minorHAnsi"/>
          <w:color w:val="3F9C35"/>
          <w:lang w:val="en-US"/>
          <w14:textFill>
            <w14:solidFill>
              <w14:srgbClr w14:val="3F9C35">
                <w14:lumMod w14:val="50000"/>
                <w14:lumOff w14:val="50000"/>
              </w14:srgbClr>
            </w14:solidFill>
          </w14:textFill>
        </w:rPr>
      </w:pPr>
      <w:r>
        <w:t>Table 4. Summary of functions performed by relevant entities</w:t>
      </w:r>
    </w:p>
    <w:tbl>
      <w:tblPr>
        <w:tblStyle w:val="PlainTable6"/>
        <w:tblW w:w="0" w:type="auto"/>
        <w:tblInd w:w="-5" w:type="dxa"/>
        <w:tblBorders>
          <w:top w:val="dotted" w:sz="4" w:space="0" w:color="009CDE"/>
          <w:left w:val="dotted" w:sz="4" w:space="0" w:color="009CDE"/>
          <w:bottom w:val="dotted" w:sz="4" w:space="0" w:color="009CDE"/>
          <w:right w:val="dotted" w:sz="4" w:space="0" w:color="009CDE"/>
          <w:insideH w:val="dotted" w:sz="4" w:space="0" w:color="009CDE"/>
          <w:insideV w:val="dotted" w:sz="4" w:space="0" w:color="009CDE"/>
        </w:tblBorders>
        <w:tblLook w:val="04A0" w:firstRow="1" w:lastRow="0" w:firstColumn="1" w:lastColumn="0" w:noHBand="0" w:noVBand="1"/>
      </w:tblPr>
      <w:tblGrid>
        <w:gridCol w:w="1484"/>
        <w:gridCol w:w="3029"/>
        <w:gridCol w:w="2762"/>
      </w:tblGrid>
      <w:tr w:rsidR="002716A5" w:rsidRPr="00CD63DC" w14:paraId="24E1D071" w14:textId="77777777" w:rsidTr="002716A5">
        <w:trPr>
          <w:trHeight w:val="583"/>
        </w:trPr>
        <w:tc>
          <w:tcPr>
            <w:tcW w:w="1484" w:type="dxa"/>
            <w:shd w:val="clear" w:color="auto" w:fill="3F9C35"/>
            <w:vAlign w:val="center"/>
          </w:tcPr>
          <w:p w14:paraId="2EC72C0D" w14:textId="77777777" w:rsidR="002716A5" w:rsidRPr="00CD63DC" w:rsidRDefault="002716A5">
            <w:pPr>
              <w:jc w:val="center"/>
              <w:rPr>
                <w:b/>
                <w:color w:val="FFFFFF" w:themeColor="background1"/>
                <w:lang w:val="en-US"/>
              </w:rPr>
            </w:pPr>
            <w:r>
              <w:t>Functions</w:t>
            </w:r>
          </w:p>
        </w:tc>
        <w:tc>
          <w:tcPr>
            <w:tcW w:w="3029" w:type="dxa"/>
            <w:shd w:val="clear" w:color="auto" w:fill="3F9C35"/>
            <w:vAlign w:val="center"/>
          </w:tcPr>
          <w:p w14:paraId="29F1A8CB" w14:textId="6F164ECE" w:rsidR="002716A5" w:rsidRPr="00CD63DC" w:rsidRDefault="002716A5" w:rsidP="002716A5">
            <w:pPr>
              <w:rPr>
                <w:b/>
                <w:color w:val="FFFFFF" w:themeColor="background1"/>
                <w:lang w:val="en-US"/>
              </w:rPr>
            </w:pPr>
            <w:proofErr w:type="spellStart"/>
            <w:proofErr w:type="spellEnd"/>
            <w:r>
              <w:t>SofarSolar Netherlands B.V.</w:t>
            </w:r>
          </w:p>
        </w:tc>
        <w:tc>
          <w:tcPr>
            <w:tcW w:w="2138" w:type="dxa"/>
            <w:shd w:val="clear" w:color="auto" w:fill="3F9C35"/>
            <w:vAlign w:val="center"/>
          </w:tcPr>
          <w:p w14:paraId="36E544D2" w14:textId="6D91BDA4" w:rsidR="002716A5" w:rsidRPr="00CD63DC" w:rsidRDefault="00C0496D">
            <w:pPr>
              <w:jc w:val="center"/>
              <w:rPr>
                <w:b/>
                <w:color w:val="FFFFFF" w:themeColor="background1"/>
                <w:lang w:val="en-US"/>
              </w:rPr>
            </w:pPr>
            <w:proofErr w:type="spellStart"/>
            <w:proofErr w:type="spellEnd"/>
            <w:r>
              <w:t xml:space="preserve">Shenzhen SofarSolar Co. Ltd. </w:t>
            </w:r>
          </w:p>
        </w:tc>
      </w:tr>
      <w:tr w:rsidR="00D73584" w:rsidRPr="00CD63DC" w14:paraId="2086CCB6" w14:textId="77777777">
        <w:trPr>
          <w:trHeight w:val="317"/>
        </w:trPr>
        <w:tc>
          <w:tcPr>
            <w:tcW w:w="1484" w:type="dxa"/>
            <w:vAlign w:val="center"/>
          </w:tcPr>
          <w:p w14:paraId="060647CF" w14:textId="6E734662" w:rsidR="00D73584" w:rsidRPr="00CD63DC" w:rsidRDefault="00D73584" w:rsidP="00D73584">
            <w:pPr>
              <w:tabs>
                <w:tab w:val="left" w:pos="1380"/>
              </w:tabs>
              <w:rPr>
                <w:lang w:val="en-US"/>
              </w:rPr>
            </w:pPr>
            <w:r>
              <w:t>Strategic decision-making</w:t>
            </w:r>
          </w:p>
        </w:tc>
        <w:tc>
          <w:tcPr>
            <w:tcW w:w="3029" w:type="dxa"/>
            <w:vAlign w:val="center"/>
          </w:tcPr>
          <w:p w14:paraId="39FD91FD" w14:textId="7CC8D4EC" w:rsidR="00D73584" w:rsidRPr="00CD63DC" w:rsidRDefault="00D73584" w:rsidP="00D73584">
            <w:pPr>
              <w:jc w:val="center"/>
            </w:pPr>
            <w:r>
              <w:t>NI</w:t>
            </w:r>
          </w:p>
        </w:tc>
        <w:tc>
          <w:tcPr>
            <w:tcW w:w="2138" w:type="dxa"/>
          </w:tcPr>
          <w:p w14:paraId="4FD65CD1" w14:textId="00434EBE" w:rsidR="00D73584" w:rsidRPr="00CD63DC" w:rsidRDefault="00D73584" w:rsidP="00D73584">
            <w:pPr>
              <w:jc w:val="center"/>
            </w:pPr>
            <w:r>
              <w:t>X</w:t>
            </w:r>
          </w:p>
        </w:tc>
      </w:tr>
      <w:tr w:rsidR="00D73584" w:rsidRPr="00CD63DC" w14:paraId="1836AAC3" w14:textId="77777777">
        <w:trPr>
          <w:trHeight w:val="317"/>
        </w:trPr>
        <w:tc>
          <w:tcPr>
            <w:tcW w:w="1484" w:type="dxa"/>
            <w:vAlign w:val="center"/>
          </w:tcPr>
          <w:p w14:paraId="6E68197D" w14:textId="0A845785" w:rsidR="00D73584" w:rsidRPr="00CD63DC" w:rsidRDefault="00D73584" w:rsidP="00D73584">
            <w:pPr>
              <w:tabs>
                <w:tab w:val="left" w:pos="1380"/>
              </w:tabs>
              <w:rPr>
                <w:lang w:val="en-US"/>
              </w:rPr>
            </w:pPr>
            <w:r>
              <w:t>Negotiation of terms with customers</w:t>
            </w:r>
          </w:p>
        </w:tc>
        <w:tc>
          <w:tcPr>
            <w:tcW w:w="3029" w:type="dxa"/>
            <w:vAlign w:val="center"/>
          </w:tcPr>
          <w:p w14:paraId="2AA6B32B" w14:textId="11CBFC7F" w:rsidR="00D73584" w:rsidRPr="00CD63DC" w:rsidRDefault="00D73584" w:rsidP="00D73584">
            <w:pPr>
              <w:jc w:val="center"/>
            </w:pPr>
            <w:r>
              <w:t>NI</w:t>
            </w:r>
          </w:p>
        </w:tc>
        <w:tc>
          <w:tcPr>
            <w:tcW w:w="2138" w:type="dxa"/>
          </w:tcPr>
          <w:p w14:paraId="58343BAE" w14:textId="31308114" w:rsidR="00D73584" w:rsidRPr="00CD63DC" w:rsidRDefault="00D73584" w:rsidP="00D73584">
            <w:pPr>
              <w:jc w:val="center"/>
            </w:pPr>
            <w:r>
              <w:t>X</w:t>
            </w:r>
          </w:p>
        </w:tc>
      </w:tr>
      <w:tr w:rsidR="00D73584" w:rsidRPr="00CD63DC" w14:paraId="3A15C247" w14:textId="77777777">
        <w:trPr>
          <w:trHeight w:val="317"/>
        </w:trPr>
        <w:tc>
          <w:tcPr>
            <w:tcW w:w="1484" w:type="dxa"/>
            <w:vAlign w:val="center"/>
          </w:tcPr>
          <w:p w14:paraId="0441CA45" w14:textId="414937A7" w:rsidR="00D73584" w:rsidRPr="00CD63DC" w:rsidRDefault="00D73584" w:rsidP="00D73584">
            <w:pPr>
              <w:tabs>
                <w:tab w:val="left" w:pos="1380"/>
              </w:tabs>
              <w:rPr>
                <w:lang w:val="en-US"/>
              </w:rPr>
            </w:pPr>
            <w:r>
              <w:t>Inventory management</w:t>
            </w:r>
          </w:p>
        </w:tc>
        <w:tc>
          <w:tcPr>
            <w:tcW w:w="3029" w:type="dxa"/>
            <w:vAlign w:val="center"/>
          </w:tcPr>
          <w:p w14:paraId="6AF95ADB" w14:textId="4068D1CE" w:rsidR="00D73584" w:rsidRPr="00CD63DC" w:rsidRDefault="00D73584" w:rsidP="00D73584">
            <w:pPr>
              <w:jc w:val="center"/>
            </w:pPr>
            <w:r>
              <w:t>NI</w:t>
            </w:r>
          </w:p>
        </w:tc>
        <w:tc>
          <w:tcPr>
            <w:tcW w:w="2138" w:type="dxa"/>
          </w:tcPr>
          <w:p w14:paraId="7B1F80B0" w14:textId="2CD49CA2" w:rsidR="00D73584" w:rsidRPr="00CD63DC" w:rsidRDefault="00D73584" w:rsidP="00D73584">
            <w:pPr>
              <w:jc w:val="center"/>
            </w:pPr>
            <w:r>
              <w:t>X</w:t>
            </w:r>
          </w:p>
        </w:tc>
      </w:tr>
      <w:tr w:rsidR="00D73584" w:rsidRPr="00CD63DC" w14:paraId="77406904" w14:textId="77777777">
        <w:trPr>
          <w:trHeight w:val="317"/>
        </w:trPr>
        <w:tc>
          <w:tcPr>
            <w:tcW w:w="1484" w:type="dxa"/>
            <w:vAlign w:val="center"/>
          </w:tcPr>
          <w:p w14:paraId="6FCB01BF" w14:textId="5B4EE3E5" w:rsidR="00D73584" w:rsidRPr="00CD63DC" w:rsidRDefault="00D73584" w:rsidP="00D73584">
            <w:pPr>
              <w:tabs>
                <w:tab w:val="left" w:pos="1380"/>
              </w:tabs>
              <w:rPr>
                <w:lang w:val="en-US"/>
              </w:rPr>
            </w:pPr>
            <w:r>
              <w:t>Risk management</w:t>
            </w:r>
          </w:p>
        </w:tc>
        <w:tc>
          <w:tcPr>
            <w:tcW w:w="3029" w:type="dxa"/>
            <w:vAlign w:val="center"/>
          </w:tcPr>
          <w:p w14:paraId="5A0EF911" w14:textId="59342390" w:rsidR="00D73584" w:rsidRPr="00CD63DC" w:rsidRDefault="00D73584" w:rsidP="00D73584">
            <w:pPr>
              <w:jc w:val="center"/>
            </w:pPr>
            <w:r>
              <w:t>NI</w:t>
            </w:r>
          </w:p>
        </w:tc>
        <w:tc>
          <w:tcPr>
            <w:tcW w:w="2138" w:type="dxa"/>
          </w:tcPr>
          <w:p w14:paraId="0B75E49C" w14:textId="7389B5D6" w:rsidR="00D73584" w:rsidRPr="00CD63DC" w:rsidRDefault="00D73584" w:rsidP="00D73584">
            <w:pPr>
              <w:jc w:val="center"/>
            </w:pPr>
            <w:r>
              <w:t>X</w:t>
            </w:r>
          </w:p>
        </w:tc>
      </w:tr>
      <w:tr w:rsidR="00D73584" w:rsidRPr="00CD63DC" w14:paraId="65646B17" w14:textId="77777777">
        <w:trPr>
          <w:trHeight w:val="317"/>
        </w:trPr>
        <w:tc>
          <w:tcPr>
            <w:tcW w:w="1484" w:type="dxa"/>
            <w:vAlign w:val="center"/>
          </w:tcPr>
          <w:p w14:paraId="15DAB0A2" w14:textId="4C7E292A" w:rsidR="00D73584" w:rsidRPr="00CD63DC" w:rsidRDefault="00D73584" w:rsidP="00D73584">
            <w:pPr>
              <w:tabs>
                <w:tab w:val="left" w:pos="1380"/>
              </w:tabs>
              <w:rPr>
                <w:lang w:val="en-US"/>
              </w:rPr>
            </w:pPr>
            <w:r>
              <w:t>Production</w:t>
            </w:r>
          </w:p>
        </w:tc>
        <w:tc>
          <w:tcPr>
            <w:tcW w:w="3029" w:type="dxa"/>
            <w:vAlign w:val="center"/>
          </w:tcPr>
          <w:p w14:paraId="01B6E769" w14:textId="3B5B108D" w:rsidR="00D73584" w:rsidRPr="00CD63DC" w:rsidRDefault="00D73584" w:rsidP="00D73584">
            <w:pPr>
              <w:jc w:val="center"/>
            </w:pPr>
            <w:r>
              <w:t>NI</w:t>
            </w:r>
          </w:p>
        </w:tc>
        <w:tc>
          <w:tcPr>
            <w:tcW w:w="2138" w:type="dxa"/>
          </w:tcPr>
          <w:p w14:paraId="60D84F3B" w14:textId="0511BB6C" w:rsidR="00D73584" w:rsidRPr="00CD63DC" w:rsidRDefault="00D73584" w:rsidP="00D73584">
            <w:pPr>
              <w:jc w:val="center"/>
            </w:pPr>
            <w:r>
              <w:t>X</w:t>
            </w:r>
          </w:p>
        </w:tc>
      </w:tr>
      <w:tr w:rsidR="00D73584" w:rsidRPr="00CD63DC" w14:paraId="78C8FEB4" w14:textId="77777777">
        <w:trPr>
          <w:trHeight w:val="317"/>
        </w:trPr>
        <w:tc>
          <w:tcPr>
            <w:tcW w:w="1484" w:type="dxa"/>
            <w:vAlign w:val="center"/>
          </w:tcPr>
          <w:p w14:paraId="2F6D421B" w14:textId="206CFCE9" w:rsidR="00D73584" w:rsidRPr="00CD63DC" w:rsidRDefault="00D73584" w:rsidP="00D73584">
            <w:pPr>
              <w:tabs>
                <w:tab w:val="left" w:pos="1380"/>
              </w:tabs>
              <w:rPr>
                <w:lang w:val="en-US"/>
              </w:rPr>
            </w:pPr>
            <w:r>
              <w:t>Re-invoicing and administrative support</w:t>
            </w:r>
          </w:p>
        </w:tc>
        <w:tc>
          <w:tcPr>
            <w:tcW w:w="3029" w:type="dxa"/>
            <w:vAlign w:val="center"/>
          </w:tcPr>
          <w:p w14:paraId="0D8DD875" w14:textId="3987CB90" w:rsidR="00D73584" w:rsidRPr="00CD63DC" w:rsidRDefault="00D73584" w:rsidP="00D73584">
            <w:pPr>
              <w:jc w:val="center"/>
            </w:pPr>
            <w:r>
              <w:t>X</w:t>
            </w:r>
          </w:p>
        </w:tc>
        <w:tc>
          <w:tcPr>
            <w:tcW w:w="2138" w:type="dxa"/>
          </w:tcPr>
          <w:p w14:paraId="15B5C165" w14:textId="144FC846" w:rsidR="00D73584" w:rsidRPr="00CD63DC" w:rsidRDefault="00D73584" w:rsidP="00D73584">
            <w:pPr>
              <w:jc w:val="center"/>
            </w:pPr>
            <w:r>
              <w:t>X</w:t>
            </w:r>
          </w:p>
        </w:tc>
      </w:tr>
      <w:tr w:rsidR="002716A5" w:rsidRPr="00CD63DC" w14:paraId="79966831" w14:textId="77777777">
        <w:trPr>
          <w:trHeight w:val="317"/>
        </w:trPr>
        <w:tc>
          <w:tcPr>
            <w:tcW w:w="6651" w:type="dxa"/>
            <w:gridSpan w:val="3"/>
            <w:vAlign w:val="center"/>
          </w:tcPr>
          <w:p w14:paraId="026A44ED" w14:textId="3C3C26F9" w:rsidR="002716A5" w:rsidRPr="00CD63DC" w:rsidRDefault="002716A5">
            <w:r>
              <w:t>X – Functions performed; NI – Not involved</w:t>
            </w:r>
          </w:p>
        </w:tc>
      </w:tr>
    </w:tbl>
    <w:p w14:paraId="1A281BCF" w14:textId="77777777" w:rsidR="0018078F" w:rsidRPr="00CD63DC" w:rsidRDefault="00361F29">
      <w:pPr>
        <w:pStyle w:val="Heading3"/>
        <w:numPr>
          <w:ilvl w:val="2"/>
          <w:numId w:val="9"/>
        </w:numPr>
        <w:spacing w:line="276" w:lineRule="auto"/>
        <w:ind w:left="1166" w:hanging="1166"/>
        <w:rPr>
          <w:color w:val="3F9C35"/>
          <w14:textFill>
            <w14:solidFill>
              <w14:srgbClr w14:val="3F9C35">
                <w14:lumMod w14:val="50000"/>
                <w14:lumOff w14:val="50000"/>
              </w14:srgbClr>
            </w14:solidFill>
          </w14:textFill>
        </w:rPr>
      </w:pPr>
      <w:r>
        <w:t>Risks assumed</w:t>
      </w:r>
    </w:p>
    <w:p w14:paraId="298A394B" w14:textId="77777777" w:rsidR="00110889" w:rsidRPr="00CD63DC" w:rsidRDefault="00110889" w:rsidP="00110889">
      <w:pPr>
        <w:rPr>
          <w:lang w:val="en-US"/>
        </w:rPr>
      </w:pPr>
      <w:proofErr w:type="spellStart"/>
      <w:proofErr w:type="spellEnd"/>
      <w:r>
        <w:t>SofarSolar Netherlands B.V. does not assume any of the key risks associated with the transaction. Specifically, it does not bear:</w:t>
      </w:r>
    </w:p>
    <w:p w14:paraId="3ACABCB7" w14:textId="33183C01" w:rsidR="00745D99" w:rsidRPr="00CD63DC" w:rsidRDefault="00745D99" w:rsidP="00E11686">
      <w:pPr>
        <w:pStyle w:val="ListParagraph"/>
        <w:numPr>
          <w:ilvl w:val="0"/>
          <w:numId w:val="19"/>
        </w:numPr>
        <w:rPr>
          <w:lang w:val="en-US"/>
        </w:rPr>
      </w:pPr>
      <w:proofErr w:type="gramStart"/>
      <w:proofErr w:type="gramEnd"/>
      <w:r>
        <w:t>Market risk – exposure to changes in customer demand and pricing;</w:t>
      </w:r>
    </w:p>
    <w:p w14:paraId="0ED8914A" w14:textId="2FE27F03" w:rsidR="00745D99" w:rsidRPr="00CD63DC" w:rsidRDefault="00745D99" w:rsidP="00E11686">
      <w:pPr>
        <w:pStyle w:val="ListParagraph"/>
        <w:numPr>
          <w:ilvl w:val="0"/>
          <w:numId w:val="19"/>
        </w:numPr>
        <w:rPr>
          <w:lang w:val="en-US"/>
        </w:rPr>
      </w:pPr>
      <w:proofErr w:type="gramStart"/>
      <w:proofErr w:type="gramEnd"/>
      <w:r>
        <w:t>Credit risk – exposure to customer default or late payments;</w:t>
      </w:r>
    </w:p>
    <w:p w14:paraId="362506D6" w14:textId="56CB01E5" w:rsidR="00745D99" w:rsidRPr="00CD63DC" w:rsidRDefault="00745D99" w:rsidP="00E11686">
      <w:pPr>
        <w:pStyle w:val="ListParagraph"/>
        <w:numPr>
          <w:ilvl w:val="0"/>
          <w:numId w:val="19"/>
        </w:numPr>
        <w:rPr>
          <w:lang w:val="en-US"/>
        </w:rPr>
      </w:pPr>
      <w:proofErr w:type="gramStart"/>
      <w:proofErr w:type="gramEnd"/>
      <w:r>
        <w:t>Inventory risk – including potential stock obsolescence or loss;</w:t>
      </w:r>
    </w:p>
    <w:p w14:paraId="73E26852" w14:textId="50396155" w:rsidR="00745D99" w:rsidRPr="00CD63DC" w:rsidRDefault="00745D99" w:rsidP="00E11686">
      <w:pPr>
        <w:pStyle w:val="ListParagraph"/>
        <w:numPr>
          <w:ilvl w:val="0"/>
          <w:numId w:val="19"/>
        </w:numPr>
        <w:rPr>
          <w:lang w:val="en-US"/>
        </w:rPr>
      </w:pPr>
      <w:proofErr w:type="gramStart"/>
      <w:proofErr w:type="gramEnd"/>
      <w:r>
        <w:t>Operational/logistics risk – including failures in warehousing, distribution, or supply chain;</w:t>
      </w:r>
    </w:p>
    <w:p w14:paraId="6E9EDC35" w14:textId="08DDE58F" w:rsidR="00745D99" w:rsidRPr="00CD63DC" w:rsidRDefault="00745D99" w:rsidP="00E11686">
      <w:pPr>
        <w:pStyle w:val="ListParagraph"/>
        <w:numPr>
          <w:ilvl w:val="0"/>
          <w:numId w:val="19"/>
        </w:numPr>
        <w:rPr>
          <w:lang w:val="en-US"/>
        </w:rPr>
      </w:pPr>
      <w:proofErr w:type="gramStart"/>
      <w:proofErr w:type="gramEnd"/>
      <w:r>
        <w:t>Strategic/commercial risk – arising from key business decisions and positioning;</w:t>
      </w:r>
    </w:p>
    <w:p w14:paraId="1A1478FA" w14:textId="77777777" w:rsidR="00745D99" w:rsidRPr="00CD63DC" w:rsidRDefault="00745D99" w:rsidP="00E11686">
      <w:pPr>
        <w:pStyle w:val="ListParagraph"/>
        <w:numPr>
          <w:ilvl w:val="0"/>
          <w:numId w:val="19"/>
        </w:numPr>
        <w:rPr>
          <w:lang w:val="en-US"/>
        </w:rPr>
      </w:pPr>
      <w:r>
        <w:t>Foreign exchange risk – where applicable, related to cross-border transactions.</w:t>
      </w:r>
    </w:p>
    <w:p w14:paraId="455120A7" w14:textId="77777777" w:rsidR="0018078F" w:rsidRPr="00CD63DC" w:rsidRDefault="00361F29" w:rsidP="00745D99">
      <w:r>
        <w:t>The table below provides a summary of the risk assumed by relevant entities.</w:t>
      </w:r>
    </w:p>
    <w:p w14:paraId="545E8228" w14:textId="77777777" w:rsidR="0018078F" w:rsidRPr="00CD63DC" w:rsidRDefault="00361F29">
      <w:pPr>
        <w:pStyle w:val="Caption"/>
        <w:autoSpaceDE w:val="0"/>
        <w:autoSpaceDN w:val="0"/>
        <w:adjustRightInd w:val="0"/>
        <w:spacing w:after="0"/>
        <w:rPr>
          <w:rFonts w:eastAsiaTheme="minorHAnsi"/>
          <w:color w:val="3F9C35"/>
          <w:lang w:val="en-US"/>
          <w14:textFill>
            <w14:solidFill>
              <w14:srgbClr w14:val="3F9C35">
                <w14:lumMod w14:val="50000"/>
                <w14:lumOff w14:val="50000"/>
              </w14:srgbClr>
            </w14:solidFill>
          </w14:textFill>
        </w:rPr>
      </w:pPr>
      <w:r>
        <w:t>Table 5. Summary of risks assumed by relevant entities</w:t>
      </w:r>
    </w:p>
    <w:tbl>
      <w:tblPr>
        <w:tblStyle w:val="PlainTable7"/>
        <w:tblW w:w="0" w:type="auto"/>
        <w:tblInd w:w="-5" w:type="dxa"/>
        <w:tblBorders>
          <w:top w:val="dotted" w:sz="4" w:space="0" w:color="009CDE"/>
          <w:left w:val="dotted" w:sz="4" w:space="0" w:color="009CDE"/>
          <w:bottom w:val="dotted" w:sz="4" w:space="0" w:color="009CDE"/>
          <w:right w:val="dotted" w:sz="4" w:space="0" w:color="009CDE"/>
          <w:insideH w:val="dotted" w:sz="4" w:space="0" w:color="009CDE"/>
          <w:insideV w:val="dotted" w:sz="4" w:space="0" w:color="009CDE"/>
        </w:tblBorders>
        <w:tblLook w:val="04A0" w:firstRow="1" w:lastRow="0" w:firstColumn="1" w:lastColumn="0" w:noHBand="0" w:noVBand="1"/>
      </w:tblPr>
      <w:tblGrid>
        <w:gridCol w:w="1772"/>
        <w:gridCol w:w="3029"/>
        <w:gridCol w:w="2762"/>
      </w:tblGrid>
      <w:tr w:rsidR="00780531" w:rsidRPr="00CD63DC" w14:paraId="725E254C" w14:textId="77777777" w:rsidTr="00780531">
        <w:trPr>
          <w:trHeight w:val="628"/>
        </w:trPr>
        <w:tc>
          <w:tcPr>
            <w:tcW w:w="1772" w:type="dxa"/>
            <w:shd w:val="clear" w:color="auto" w:fill="3F9C35"/>
            <w:vAlign w:val="center"/>
          </w:tcPr>
          <w:p w14:paraId="48B40A0E" w14:textId="77777777" w:rsidR="00780531" w:rsidRPr="00CD63DC" w:rsidRDefault="00780531" w:rsidP="00780531">
            <w:pPr>
              <w:jc w:val="center"/>
              <w:rPr>
                <w:b/>
                <w:color w:val="FFFFFF" w:themeColor="background1"/>
                <w:lang w:val="en-US"/>
              </w:rPr>
            </w:pPr>
            <w:r>
              <w:t>Risks</w:t>
            </w:r>
          </w:p>
        </w:tc>
        <w:tc>
          <w:tcPr>
            <w:tcW w:w="3029" w:type="dxa"/>
            <w:shd w:val="clear" w:color="auto" w:fill="3F9C35"/>
            <w:vAlign w:val="center"/>
          </w:tcPr>
          <w:p w14:paraId="3DF2868A" w14:textId="5ED00C61" w:rsidR="00780531" w:rsidRPr="00CD63DC" w:rsidRDefault="00780531" w:rsidP="00780531">
            <w:pPr>
              <w:jc w:val="center"/>
              <w:rPr>
                <w:b/>
                <w:color w:val="FFFFFF" w:themeColor="background1"/>
                <w:lang w:val="en-US"/>
              </w:rPr>
            </w:pPr>
            <w:proofErr w:type="spellStart"/>
            <w:proofErr w:type="spellEnd"/>
            <w:r>
              <w:t>SofarSolar Netherlands B.V.</w:t>
            </w:r>
          </w:p>
        </w:tc>
        <w:tc>
          <w:tcPr>
            <w:tcW w:w="2414" w:type="dxa"/>
            <w:shd w:val="clear" w:color="auto" w:fill="3F9C35"/>
            <w:vAlign w:val="center"/>
          </w:tcPr>
          <w:p w14:paraId="1C20329A" w14:textId="2C2132DB" w:rsidR="00780531" w:rsidRPr="00CD63DC" w:rsidRDefault="00C0496D" w:rsidP="00780531">
            <w:pPr>
              <w:jc w:val="center"/>
              <w:rPr>
                <w:b/>
                <w:color w:val="FFFFFF" w:themeColor="background1"/>
                <w:lang w:val="en-US"/>
              </w:rPr>
            </w:pPr>
            <w:proofErr w:type="spellStart"/>
            <w:proofErr w:type="spellEnd"/>
            <w:r>
              <w:t xml:space="preserve">Shenzhen SofarSolar Co. Ltd. </w:t>
            </w:r>
          </w:p>
        </w:tc>
      </w:tr>
      <w:tr w:rsidR="00780531" w:rsidRPr="00CD63DC" w14:paraId="484D1C3C" w14:textId="77777777" w:rsidTr="00780531">
        <w:trPr>
          <w:trHeight w:val="317"/>
        </w:trPr>
        <w:tc>
          <w:tcPr>
            <w:tcW w:w="1772" w:type="dxa"/>
            <w:vAlign w:val="center"/>
          </w:tcPr>
          <w:p w14:paraId="20C9B857" w14:textId="0C341934" w:rsidR="00780531" w:rsidRPr="00CD63DC" w:rsidRDefault="00780531">
            <w:pPr>
              <w:rPr>
                <w:lang w:val="en-US"/>
              </w:rPr>
            </w:pPr>
            <w:r>
              <w:t>Market Risk</w:t>
            </w:r>
          </w:p>
        </w:tc>
        <w:tc>
          <w:tcPr>
            <w:tcW w:w="3029" w:type="dxa"/>
            <w:vAlign w:val="center"/>
          </w:tcPr>
          <w:p w14:paraId="75B1B273" w14:textId="2D2496D0" w:rsidR="00780531" w:rsidRPr="00CD63DC" w:rsidRDefault="00780531">
            <w:pPr>
              <w:jc w:val="center"/>
              <w:rPr>
                <w:lang w:val="en-US"/>
              </w:rPr>
            </w:pPr>
            <w:r>
              <w:t>NI</w:t>
            </w:r>
          </w:p>
        </w:tc>
        <w:tc>
          <w:tcPr>
            <w:tcW w:w="2414" w:type="dxa"/>
            <w:vAlign w:val="center"/>
          </w:tcPr>
          <w:p w14:paraId="3D17E59B" w14:textId="77777777" w:rsidR="00780531" w:rsidRPr="00CD63DC" w:rsidRDefault="00780531">
            <w:pPr>
              <w:jc w:val="center"/>
              <w:rPr>
                <w:lang w:val="en-US"/>
              </w:rPr>
            </w:pPr>
            <w:r>
              <w:t>X</w:t>
            </w:r>
          </w:p>
        </w:tc>
      </w:tr>
      <w:tr w:rsidR="00780531" w:rsidRPr="00CD63DC" w14:paraId="6C399FB0" w14:textId="77777777" w:rsidTr="00780531">
        <w:trPr>
          <w:trHeight w:val="317"/>
        </w:trPr>
        <w:tc>
          <w:tcPr>
            <w:tcW w:w="1772" w:type="dxa"/>
            <w:vAlign w:val="center"/>
          </w:tcPr>
          <w:p w14:paraId="51411445" w14:textId="62826067" w:rsidR="00780531" w:rsidRPr="00CD63DC" w:rsidRDefault="00780531" w:rsidP="00780531">
            <w:pPr>
              <w:rPr>
                <w:lang w:val="en-US"/>
              </w:rPr>
            </w:pPr>
            <w:r>
              <w:t>Credit Risk</w:t>
            </w:r>
          </w:p>
        </w:tc>
        <w:tc>
          <w:tcPr>
            <w:tcW w:w="3029" w:type="dxa"/>
          </w:tcPr>
          <w:p w14:paraId="48B3792D" w14:textId="15E8CCD0" w:rsidR="00780531" w:rsidRPr="00CD63DC" w:rsidRDefault="00780531" w:rsidP="00780531">
            <w:pPr>
              <w:jc w:val="center"/>
              <w:rPr>
                <w:lang w:val="en-US"/>
              </w:rPr>
            </w:pPr>
            <w:r>
              <w:t>NI</w:t>
            </w:r>
          </w:p>
        </w:tc>
        <w:tc>
          <w:tcPr>
            <w:tcW w:w="2414" w:type="dxa"/>
            <w:vAlign w:val="center"/>
          </w:tcPr>
          <w:p w14:paraId="283C9295" w14:textId="77777777" w:rsidR="00780531" w:rsidRPr="00CD63DC" w:rsidRDefault="00780531" w:rsidP="00780531">
            <w:pPr>
              <w:jc w:val="center"/>
              <w:rPr>
                <w:lang w:val="en-US"/>
              </w:rPr>
            </w:pPr>
            <w:r>
              <w:t>X</w:t>
            </w:r>
          </w:p>
        </w:tc>
      </w:tr>
      <w:tr w:rsidR="00780531" w:rsidRPr="00CD63DC" w14:paraId="292B7E92" w14:textId="77777777" w:rsidTr="00780531">
        <w:trPr>
          <w:trHeight w:val="317"/>
        </w:trPr>
        <w:tc>
          <w:tcPr>
            <w:tcW w:w="1772" w:type="dxa"/>
            <w:vAlign w:val="center"/>
          </w:tcPr>
          <w:p w14:paraId="79B00C22" w14:textId="632A9AB8" w:rsidR="00780531" w:rsidRPr="00CD63DC" w:rsidRDefault="00780531" w:rsidP="00780531">
            <w:pPr>
              <w:rPr>
                <w:lang w:val="en-US"/>
              </w:rPr>
            </w:pPr>
            <w:r>
              <w:t>Inventory Risk</w:t>
            </w:r>
          </w:p>
        </w:tc>
        <w:tc>
          <w:tcPr>
            <w:tcW w:w="3029" w:type="dxa"/>
          </w:tcPr>
          <w:p w14:paraId="71CE7573" w14:textId="4792D13B" w:rsidR="00780531" w:rsidRPr="00CD63DC" w:rsidRDefault="00780531" w:rsidP="00780531">
            <w:pPr>
              <w:jc w:val="center"/>
              <w:rPr>
                <w:lang w:val="en-US"/>
              </w:rPr>
            </w:pPr>
            <w:r>
              <w:t>NI</w:t>
            </w:r>
          </w:p>
        </w:tc>
        <w:tc>
          <w:tcPr>
            <w:tcW w:w="2414" w:type="dxa"/>
            <w:vAlign w:val="center"/>
          </w:tcPr>
          <w:p w14:paraId="187CBBC9" w14:textId="77777777" w:rsidR="00780531" w:rsidRPr="00CD63DC" w:rsidRDefault="00780531" w:rsidP="00780531">
            <w:pPr>
              <w:jc w:val="center"/>
              <w:rPr>
                <w:lang w:val="en-US"/>
              </w:rPr>
            </w:pPr>
            <w:r>
              <w:t>X</w:t>
            </w:r>
          </w:p>
        </w:tc>
      </w:tr>
      <w:tr w:rsidR="00780531" w:rsidRPr="00CD63DC" w14:paraId="55171461" w14:textId="77777777" w:rsidTr="00780531">
        <w:trPr>
          <w:trHeight w:val="317"/>
        </w:trPr>
        <w:tc>
          <w:tcPr>
            <w:tcW w:w="1772" w:type="dxa"/>
            <w:vAlign w:val="center"/>
          </w:tcPr>
          <w:p w14:paraId="04A36B27" w14:textId="614AA400" w:rsidR="00780531" w:rsidRPr="00CD63DC" w:rsidRDefault="00780531" w:rsidP="00780531">
            <w:pPr>
              <w:rPr>
                <w:lang w:val="en-US"/>
              </w:rPr>
            </w:pPr>
            <w:r>
              <w:t>Operational risk</w:t>
            </w:r>
          </w:p>
        </w:tc>
        <w:tc>
          <w:tcPr>
            <w:tcW w:w="3029" w:type="dxa"/>
          </w:tcPr>
          <w:p w14:paraId="0C526EEB" w14:textId="2F2AFC9B" w:rsidR="00780531" w:rsidRPr="00CD63DC" w:rsidRDefault="00780531" w:rsidP="00780531">
            <w:pPr>
              <w:jc w:val="center"/>
              <w:rPr>
                <w:lang w:val="en-US"/>
              </w:rPr>
            </w:pPr>
            <w:r>
              <w:t>NI</w:t>
            </w:r>
          </w:p>
        </w:tc>
        <w:tc>
          <w:tcPr>
            <w:tcW w:w="2414" w:type="dxa"/>
            <w:vAlign w:val="center"/>
          </w:tcPr>
          <w:p w14:paraId="5175E63E" w14:textId="77777777" w:rsidR="00780531" w:rsidRPr="00CD63DC" w:rsidRDefault="00780531" w:rsidP="00780531">
            <w:pPr>
              <w:jc w:val="center"/>
              <w:rPr>
                <w:lang w:val="en-US"/>
              </w:rPr>
            </w:pPr>
            <w:r>
              <w:t>X</w:t>
            </w:r>
          </w:p>
        </w:tc>
      </w:tr>
      <w:tr w:rsidR="00780531" w:rsidRPr="00CD63DC" w14:paraId="212DA290" w14:textId="77777777" w:rsidTr="00780531">
        <w:trPr>
          <w:trHeight w:val="317"/>
        </w:trPr>
        <w:tc>
          <w:tcPr>
            <w:tcW w:w="1772" w:type="dxa"/>
            <w:vAlign w:val="center"/>
          </w:tcPr>
          <w:p w14:paraId="7175B66F" w14:textId="603A1EE0" w:rsidR="00780531" w:rsidRPr="00CD63DC" w:rsidRDefault="00780531" w:rsidP="00780531">
            <w:pPr>
              <w:rPr>
                <w:lang w:val="en-US"/>
              </w:rPr>
            </w:pPr>
            <w:r>
              <w:t>Strategic risk</w:t>
            </w:r>
          </w:p>
        </w:tc>
        <w:tc>
          <w:tcPr>
            <w:tcW w:w="3029" w:type="dxa"/>
          </w:tcPr>
          <w:p w14:paraId="4BE4C16D" w14:textId="1673D736" w:rsidR="00780531" w:rsidRPr="00CD63DC" w:rsidRDefault="00780531" w:rsidP="00780531">
            <w:pPr>
              <w:jc w:val="center"/>
              <w:rPr>
                <w:lang w:val="en-US"/>
              </w:rPr>
            </w:pPr>
            <w:r>
              <w:t>NI</w:t>
            </w:r>
          </w:p>
        </w:tc>
        <w:tc>
          <w:tcPr>
            <w:tcW w:w="2414" w:type="dxa"/>
            <w:vAlign w:val="center"/>
          </w:tcPr>
          <w:p w14:paraId="21DD4B3D" w14:textId="77777777" w:rsidR="00780531" w:rsidRPr="00CD63DC" w:rsidRDefault="00780531" w:rsidP="00780531">
            <w:pPr>
              <w:jc w:val="center"/>
              <w:rPr>
                <w:lang w:val="en-US"/>
              </w:rPr>
            </w:pPr>
            <w:r>
              <w:t>X</w:t>
            </w:r>
          </w:p>
        </w:tc>
      </w:tr>
      <w:tr w:rsidR="00780531" w:rsidRPr="00CD63DC" w14:paraId="50F99DB7" w14:textId="77777777" w:rsidTr="00780531">
        <w:trPr>
          <w:trHeight w:val="317"/>
        </w:trPr>
        <w:tc>
          <w:tcPr>
            <w:tcW w:w="1772" w:type="dxa"/>
            <w:vAlign w:val="center"/>
          </w:tcPr>
          <w:p w14:paraId="6EC2368A" w14:textId="2A72901E" w:rsidR="00780531" w:rsidRPr="00CD63DC" w:rsidRDefault="00780531" w:rsidP="00780531">
            <w:pPr>
              <w:rPr>
                <w:lang w:val="en-US"/>
              </w:rPr>
            </w:pPr>
            <w:r>
              <w:t>Foreign Exchange risk</w:t>
            </w:r>
          </w:p>
        </w:tc>
        <w:tc>
          <w:tcPr>
            <w:tcW w:w="3029" w:type="dxa"/>
          </w:tcPr>
          <w:p w14:paraId="2BB3503C" w14:textId="172FBB3D" w:rsidR="00780531" w:rsidRPr="00CD63DC" w:rsidRDefault="00780531" w:rsidP="00780531">
            <w:pPr>
              <w:jc w:val="center"/>
              <w:rPr>
                <w:lang w:val="en-US"/>
              </w:rPr>
            </w:pPr>
            <w:r>
              <w:t>NI</w:t>
            </w:r>
          </w:p>
        </w:tc>
        <w:tc>
          <w:tcPr>
            <w:tcW w:w="2414" w:type="dxa"/>
            <w:vAlign w:val="center"/>
          </w:tcPr>
          <w:p w14:paraId="1919CA44" w14:textId="77777777" w:rsidR="00780531" w:rsidRPr="00CD63DC" w:rsidRDefault="00780531" w:rsidP="00780531">
            <w:pPr>
              <w:jc w:val="center"/>
              <w:rPr>
                <w:lang w:val="en-US"/>
              </w:rPr>
            </w:pPr>
            <w:r>
              <w:t>X</w:t>
            </w:r>
          </w:p>
        </w:tc>
      </w:tr>
      <w:tr w:rsidR="00780531" w:rsidRPr="00CD63DC" w14:paraId="7243371F" w14:textId="77777777" w:rsidTr="00780531">
        <w:trPr>
          <w:trHeight w:val="317"/>
        </w:trPr>
        <w:tc>
          <w:tcPr>
            <w:tcW w:w="7215" w:type="dxa"/>
            <w:gridSpan w:val="3"/>
            <w:vAlign w:val="center"/>
          </w:tcPr>
          <w:p w14:paraId="5116B15D" w14:textId="2C340737" w:rsidR="00780531" w:rsidRPr="00CD63DC" w:rsidRDefault="00780531">
            <w:pPr>
              <w:rPr>
                <w:lang w:val="en-US"/>
              </w:rPr>
            </w:pPr>
            <w:r>
              <w:t>X – Risks assumed; NI – Not involved</w:t>
            </w:r>
          </w:p>
        </w:tc>
      </w:tr>
    </w:tbl>
    <w:p w14:paraId="17A6A796" w14:textId="77777777" w:rsidR="0018078F" w:rsidRPr="00CD63DC" w:rsidRDefault="00361F29">
      <w:pPr>
        <w:pStyle w:val="Heading3"/>
        <w:numPr>
          <w:ilvl w:val="2"/>
          <w:numId w:val="9"/>
        </w:numPr>
        <w:spacing w:line="276" w:lineRule="auto"/>
        <w:ind w:left="1166" w:hanging="1166"/>
        <w:rPr>
          <w:color w:val="3F9C35"/>
          <w14:textFill>
            <w14:solidFill>
              <w14:srgbClr w14:val="3F9C35">
                <w14:lumMod w14:val="50000"/>
                <w14:lumOff w14:val="50000"/>
              </w14:srgbClr>
            </w14:solidFill>
          </w14:textFill>
        </w:rPr>
      </w:pPr>
      <w:bookmarkStart w:id="77" w:name="_Toc31977268"/>
      <w:bookmarkStart w:id="78" w:name="_Toc31977269"/>
      <w:bookmarkStart w:id="79" w:name="_Toc31977270"/>
      <w:bookmarkEnd w:id="77"/>
      <w:bookmarkEnd w:id="78"/>
      <w:bookmarkEnd w:id="79"/>
      <w:bookmarkStart w:id="80" w:name="_Toc494728279"/>
      <w:bookmarkStart w:id="81" w:name="_Toc494728267"/>
      <w:bookmarkStart w:id="82" w:name="_Toc494728280"/>
      <w:bookmarkStart w:id="83" w:name="_Toc494728276"/>
      <w:bookmarkStart w:id="84" w:name="_Toc494728270"/>
      <w:bookmarkStart w:id="85" w:name="_Toc494728269"/>
      <w:bookmarkStart w:id="86" w:name="_Toc494728268"/>
      <w:bookmarkStart w:id="87" w:name="_Toc494728271"/>
      <w:bookmarkStart w:id="88" w:name="_Toc494728272"/>
      <w:bookmarkStart w:id="89" w:name="_Toc494728274"/>
      <w:bookmarkStart w:id="90" w:name="_Toc494728275"/>
      <w:bookmarkStart w:id="91" w:name="_Toc494728273"/>
      <w:bookmarkStart w:id="92" w:name="_Toc494728277"/>
      <w:bookmarkStart w:id="93" w:name="_Toc494728278"/>
      <w:bookmarkStart w:id="94" w:name="_Toc494728286"/>
      <w:bookmarkStart w:id="95" w:name="_Toc494728289"/>
      <w:bookmarkStart w:id="96" w:name="_Toc494728290"/>
      <w:bookmarkStart w:id="97" w:name="_Toc471912339"/>
      <w:bookmarkStart w:id="98" w:name="_Toc494728292"/>
      <w:bookmarkStart w:id="99" w:name="_Toc494728282"/>
      <w:bookmarkStart w:id="100" w:name="_Toc471912340"/>
      <w:bookmarkStart w:id="101" w:name="_Toc494728284"/>
      <w:bookmarkStart w:id="102" w:name="_Toc494728287"/>
      <w:bookmarkStart w:id="103" w:name="_Toc494728285"/>
      <w:bookmarkStart w:id="104" w:name="_Toc494728296"/>
      <w:bookmarkStart w:id="105" w:name="_Toc494728283"/>
      <w:bookmarkStart w:id="106" w:name="_Toc494728293"/>
      <w:bookmarkStart w:id="107" w:name="_Toc471912338"/>
      <w:bookmarkStart w:id="108" w:name="_Toc494728294"/>
      <w:bookmarkStart w:id="109" w:name="_Toc494728295"/>
      <w:bookmarkStart w:id="110" w:name="_Toc494728288"/>
      <w:bookmarkStart w:id="111" w:name="_Toc494728291"/>
      <w:bookmarkStart w:id="112" w:name="_Toc494728281"/>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t>Assets employed</w:t>
      </w:r>
    </w:p>
    <w:p w14:paraId="0C6A21AB" w14:textId="36ED28CA" w:rsidR="00130F0E" w:rsidRPr="00CD63DC" w:rsidRDefault="00130F0E" w:rsidP="00130F0E">
      <w:proofErr w:type="spellStart"/>
      <w:proofErr w:type="spellEnd"/>
      <w:proofErr w:type="spellStart"/>
      <w:proofErr w:type="spellEnd"/>
      <w:r>
        <w:t xml:space="preserve">SofarSolar Netherlands B.V. does not own or use any tangible or intangible assets in connection with the transaction. All relevant assets (e.g., inventory, logistics infrastructure, or IP) are held and managed by Shenzhen SofarSolar Co. Ltd.  or third-party service providers. </w:t>
      </w:r>
    </w:p>
    <w:p w14:paraId="641070A9" w14:textId="5D5E798E" w:rsidR="0018078F" w:rsidRPr="00CD63DC" w:rsidRDefault="00361F29" w:rsidP="00130F0E">
      <w:r>
        <w:t>The table below provides a summary of the intangible and tangible assets used by relevant entities.</w:t>
      </w:r>
    </w:p>
    <w:p w14:paraId="65BEED1E" w14:textId="77777777" w:rsidR="0018078F" w:rsidRPr="00CD63DC" w:rsidRDefault="00361F29">
      <w:pPr>
        <w:pStyle w:val="Caption"/>
        <w:autoSpaceDE w:val="0"/>
        <w:autoSpaceDN w:val="0"/>
        <w:adjustRightInd w:val="0"/>
        <w:spacing w:after="0"/>
        <w:rPr>
          <w:rFonts w:eastAsiaTheme="minorHAnsi"/>
          <w:color w:val="3F9C35"/>
          <w:lang w:val="en-US"/>
          <w14:textFill>
            <w14:solidFill>
              <w14:srgbClr w14:val="3F9C35">
                <w14:lumMod w14:val="50000"/>
                <w14:lumOff w14:val="50000"/>
              </w14:srgbClr>
            </w14:solidFill>
          </w14:textFill>
        </w:rPr>
      </w:pPr>
      <w:r>
        <w:t>Table 6. Summary of assets employed by relevant entities</w:t>
      </w:r>
    </w:p>
    <w:tbl>
      <w:tblPr>
        <w:tblStyle w:val="PlainTable2"/>
        <w:tblW w:w="0" w:type="auto"/>
        <w:tblInd w:w="-5" w:type="dxa"/>
        <w:tblBorders>
          <w:top w:val="dotted" w:sz="4" w:space="0" w:color="009CDE"/>
          <w:left w:val="dotted" w:sz="4" w:space="0" w:color="009CDE"/>
          <w:bottom w:val="dotted" w:sz="4" w:space="0" w:color="009CDE"/>
          <w:right w:val="dotted" w:sz="4" w:space="0" w:color="009CDE"/>
          <w:insideH w:val="dotted" w:sz="4" w:space="0" w:color="009CDE"/>
          <w:insideV w:val="dotted" w:sz="4" w:space="0" w:color="009CDE"/>
        </w:tblBorders>
        <w:tblLook w:val="04A0" w:firstRow="1" w:lastRow="0" w:firstColumn="1" w:lastColumn="0" w:noHBand="0" w:noVBand="1"/>
      </w:tblPr>
      <w:tblGrid>
        <w:gridCol w:w="1772"/>
        <w:gridCol w:w="3029"/>
        <w:gridCol w:w="3744"/>
      </w:tblGrid>
      <w:tr w:rsidR="000614F4" w:rsidRPr="00CD63DC" w14:paraId="48FE3DB7" w14:textId="77777777" w:rsidTr="000614F4">
        <w:trPr>
          <w:trHeight w:val="576"/>
        </w:trPr>
        <w:tc>
          <w:tcPr>
            <w:tcW w:w="1772" w:type="dxa"/>
            <w:shd w:val="clear" w:color="auto" w:fill="3F9C35"/>
            <w:vAlign w:val="center"/>
          </w:tcPr>
          <w:p w14:paraId="689B7D0D" w14:textId="77777777" w:rsidR="000614F4" w:rsidRPr="00CD63DC" w:rsidRDefault="000614F4" w:rsidP="000614F4">
            <w:pPr>
              <w:jc w:val="center"/>
              <w:rPr>
                <w:b/>
                <w:color w:val="FFFFFF" w:themeColor="background1"/>
                <w:lang w:val="en-US"/>
              </w:rPr>
            </w:pPr>
            <w:r>
              <w:t>Assets</w:t>
            </w:r>
          </w:p>
        </w:tc>
        <w:tc>
          <w:tcPr>
            <w:tcW w:w="3029" w:type="dxa"/>
            <w:shd w:val="clear" w:color="auto" w:fill="3F9C35"/>
            <w:vAlign w:val="center"/>
          </w:tcPr>
          <w:p w14:paraId="30193DCE" w14:textId="4F4495B6" w:rsidR="000614F4" w:rsidRPr="00CD63DC" w:rsidRDefault="000614F4" w:rsidP="000614F4">
            <w:pPr>
              <w:jc w:val="center"/>
              <w:rPr>
                <w:b/>
                <w:color w:val="FFFFFF" w:themeColor="background1"/>
                <w:lang w:val="en-US"/>
              </w:rPr>
            </w:pPr>
            <w:proofErr w:type="spellStart"/>
            <w:proofErr w:type="spellEnd"/>
            <w:r>
              <w:t>SofarSolar Netherlands B.V.</w:t>
            </w:r>
          </w:p>
        </w:tc>
        <w:tc>
          <w:tcPr>
            <w:tcW w:w="3744" w:type="dxa"/>
            <w:shd w:val="clear" w:color="auto" w:fill="3F9C35"/>
            <w:vAlign w:val="center"/>
          </w:tcPr>
          <w:p w14:paraId="5364D8C2" w14:textId="6E27721C" w:rsidR="000614F4" w:rsidRPr="00CD63DC" w:rsidRDefault="00C0496D" w:rsidP="000614F4">
            <w:pPr>
              <w:jc w:val="center"/>
              <w:rPr>
                <w:b/>
                <w:color w:val="FFFFFF" w:themeColor="background1"/>
                <w:lang w:val="en-US"/>
              </w:rPr>
            </w:pPr>
            <w:proofErr w:type="spellStart"/>
            <w:proofErr w:type="spellEnd"/>
            <w:r>
              <w:t xml:space="preserve">Shenzhen SofarSolar Co. Ltd. </w:t>
            </w:r>
          </w:p>
        </w:tc>
      </w:tr>
      <w:tr w:rsidR="000614F4" w:rsidRPr="00CD63DC" w14:paraId="7BD90B06" w14:textId="77777777">
        <w:trPr>
          <w:trHeight w:val="317"/>
        </w:trPr>
        <w:tc>
          <w:tcPr>
            <w:tcW w:w="8545" w:type="dxa"/>
            <w:gridSpan w:val="3"/>
            <w:shd w:val="clear" w:color="auto" w:fill="D9D9D9" w:themeFill="background1" w:themeFillShade="D9"/>
            <w:vAlign w:val="center"/>
          </w:tcPr>
          <w:p w14:paraId="518B8D7E" w14:textId="1D2988E2" w:rsidR="000614F4" w:rsidRPr="00CD63DC" w:rsidRDefault="000614F4">
            <w:pPr>
              <w:rPr>
                <w:b/>
                <w:lang w:val="en-US"/>
              </w:rPr>
            </w:pPr>
            <w:r>
              <w:t>Tangible assets</w:t>
            </w:r>
          </w:p>
        </w:tc>
      </w:tr>
      <w:tr w:rsidR="000614F4" w:rsidRPr="00CD63DC" w14:paraId="1DAE81DB" w14:textId="77777777" w:rsidTr="000614F4">
        <w:trPr>
          <w:trHeight w:val="317"/>
        </w:trPr>
        <w:tc>
          <w:tcPr>
            <w:tcW w:w="1772" w:type="dxa"/>
            <w:vAlign w:val="center"/>
          </w:tcPr>
          <w:p w14:paraId="5088D44C" w14:textId="77777777" w:rsidR="000614F4" w:rsidRPr="00CD63DC" w:rsidRDefault="000614F4">
            <w:pPr>
              <w:rPr>
                <w:lang w:val="en-US"/>
              </w:rPr>
            </w:pPr>
            <w:r>
              <w:t>Office building / equipment</w:t>
            </w:r>
          </w:p>
        </w:tc>
        <w:tc>
          <w:tcPr>
            <w:tcW w:w="3029" w:type="dxa"/>
            <w:vAlign w:val="center"/>
          </w:tcPr>
          <w:p w14:paraId="2C454FD6" w14:textId="324F327B" w:rsidR="000614F4" w:rsidRPr="00CD63DC" w:rsidRDefault="00D36949">
            <w:pPr>
              <w:jc w:val="center"/>
              <w:rPr>
                <w:lang w:val="en-US"/>
              </w:rPr>
            </w:pPr>
            <w:r>
              <w:t>NI</w:t>
            </w:r>
          </w:p>
        </w:tc>
        <w:tc>
          <w:tcPr>
            <w:tcW w:w="3744" w:type="dxa"/>
            <w:vAlign w:val="center"/>
          </w:tcPr>
          <w:p w14:paraId="7A14919E" w14:textId="77777777" w:rsidR="000614F4" w:rsidRPr="00CD63DC" w:rsidRDefault="000614F4">
            <w:pPr>
              <w:jc w:val="center"/>
              <w:rPr>
                <w:lang w:val="en-US"/>
              </w:rPr>
            </w:pPr>
            <w:r>
              <w:t>X</w:t>
            </w:r>
          </w:p>
        </w:tc>
      </w:tr>
      <w:tr w:rsidR="000614F4" w:rsidRPr="00CD63DC" w14:paraId="6563C016" w14:textId="77777777" w:rsidTr="000614F4">
        <w:trPr>
          <w:trHeight w:val="317"/>
        </w:trPr>
        <w:tc>
          <w:tcPr>
            <w:tcW w:w="1772" w:type="dxa"/>
            <w:vAlign w:val="center"/>
          </w:tcPr>
          <w:p w14:paraId="4AB8694E" w14:textId="77777777" w:rsidR="000614F4" w:rsidRPr="00CD63DC" w:rsidRDefault="000614F4">
            <w:pPr>
              <w:rPr>
                <w:lang w:val="en-US"/>
              </w:rPr>
            </w:pPr>
            <w:r>
              <w:t>Manufacturing equipment</w:t>
            </w:r>
          </w:p>
        </w:tc>
        <w:tc>
          <w:tcPr>
            <w:tcW w:w="3029" w:type="dxa"/>
            <w:vAlign w:val="center"/>
          </w:tcPr>
          <w:p w14:paraId="1FACAF67" w14:textId="3916CF0C" w:rsidR="000614F4" w:rsidRPr="00CD63DC" w:rsidRDefault="006C4032">
            <w:pPr>
              <w:jc w:val="center"/>
              <w:rPr>
                <w:lang w:val="en-US"/>
              </w:rPr>
            </w:pPr>
            <w:r>
              <w:t>NI</w:t>
            </w:r>
          </w:p>
        </w:tc>
        <w:tc>
          <w:tcPr>
            <w:tcW w:w="3744" w:type="dxa"/>
            <w:vAlign w:val="center"/>
          </w:tcPr>
          <w:p w14:paraId="3ED1C2A2" w14:textId="77777777" w:rsidR="000614F4" w:rsidRPr="00CD63DC" w:rsidRDefault="000614F4">
            <w:pPr>
              <w:jc w:val="center"/>
              <w:rPr>
                <w:lang w:val="en-US"/>
              </w:rPr>
            </w:pPr>
            <w:r>
              <w:t>X</w:t>
            </w:r>
          </w:p>
        </w:tc>
      </w:tr>
      <w:tr w:rsidR="000614F4" w:rsidRPr="00CD63DC" w14:paraId="302E991F" w14:textId="77777777" w:rsidTr="000614F4">
        <w:trPr>
          <w:trHeight w:val="317"/>
        </w:trPr>
        <w:tc>
          <w:tcPr>
            <w:tcW w:w="1772" w:type="dxa"/>
            <w:vAlign w:val="center"/>
          </w:tcPr>
          <w:p w14:paraId="3ECCF38B" w14:textId="77777777" w:rsidR="000614F4" w:rsidRPr="00CD63DC" w:rsidRDefault="000614F4">
            <w:pPr>
              <w:rPr>
                <w:lang w:val="en-US"/>
              </w:rPr>
            </w:pPr>
            <w:r>
              <w:t>Inventory</w:t>
            </w:r>
          </w:p>
        </w:tc>
        <w:tc>
          <w:tcPr>
            <w:tcW w:w="3029" w:type="dxa"/>
            <w:vAlign w:val="center"/>
          </w:tcPr>
          <w:p w14:paraId="57A7F662" w14:textId="4B23E6D9" w:rsidR="000614F4" w:rsidRPr="00CD63DC" w:rsidRDefault="006C4032">
            <w:pPr>
              <w:jc w:val="center"/>
              <w:rPr>
                <w:lang w:val="en-US"/>
              </w:rPr>
            </w:pPr>
            <w:r>
              <w:t>NI</w:t>
            </w:r>
          </w:p>
        </w:tc>
        <w:tc>
          <w:tcPr>
            <w:tcW w:w="3744" w:type="dxa"/>
            <w:vAlign w:val="center"/>
          </w:tcPr>
          <w:p w14:paraId="61A3F41A" w14:textId="77777777" w:rsidR="000614F4" w:rsidRPr="00CD63DC" w:rsidRDefault="000614F4">
            <w:pPr>
              <w:jc w:val="center"/>
              <w:rPr>
                <w:lang w:val="en-US"/>
              </w:rPr>
            </w:pPr>
            <w:r>
              <w:t>X</w:t>
            </w:r>
          </w:p>
        </w:tc>
      </w:tr>
      <w:tr w:rsidR="000614F4" w:rsidRPr="00CD63DC" w14:paraId="6810E64F" w14:textId="77777777" w:rsidTr="000614F4">
        <w:trPr>
          <w:trHeight w:val="317"/>
        </w:trPr>
        <w:tc>
          <w:tcPr>
            <w:tcW w:w="8545" w:type="dxa"/>
            <w:gridSpan w:val="3"/>
            <w:shd w:val="clear" w:color="auto" w:fill="D9D9D9" w:themeFill="background1" w:themeFillShade="D9"/>
            <w:vAlign w:val="center"/>
          </w:tcPr>
          <w:p w14:paraId="6363E3F1" w14:textId="4110CB15" w:rsidR="000614F4" w:rsidRPr="00CD63DC" w:rsidRDefault="000614F4">
            <w:pPr>
              <w:rPr>
                <w:b/>
                <w:lang w:val="en-US"/>
              </w:rPr>
            </w:pPr>
            <w:r>
              <w:t>Intangible assets</w:t>
            </w:r>
          </w:p>
        </w:tc>
      </w:tr>
      <w:tr w:rsidR="000614F4" w:rsidRPr="00CD63DC" w14:paraId="64D61ED9" w14:textId="77777777" w:rsidTr="000614F4">
        <w:trPr>
          <w:trHeight w:val="317"/>
        </w:trPr>
        <w:tc>
          <w:tcPr>
            <w:tcW w:w="1772" w:type="dxa"/>
            <w:vAlign w:val="center"/>
          </w:tcPr>
          <w:p w14:paraId="6B605FCE" w14:textId="77777777" w:rsidR="000614F4" w:rsidRPr="00CD63DC" w:rsidRDefault="000614F4">
            <w:pPr>
              <w:tabs>
                <w:tab w:val="left" w:pos="1017"/>
              </w:tabs>
              <w:rPr>
                <w:lang w:val="en-US"/>
              </w:rPr>
            </w:pPr>
            <w:r>
              <w:t>Manufacturing and technology know-how</w:t>
            </w:r>
          </w:p>
        </w:tc>
        <w:tc>
          <w:tcPr>
            <w:tcW w:w="3029" w:type="dxa"/>
            <w:vAlign w:val="center"/>
          </w:tcPr>
          <w:p w14:paraId="6B484C62" w14:textId="134FC64C" w:rsidR="000614F4" w:rsidRPr="00CD63DC" w:rsidRDefault="00D54551">
            <w:pPr>
              <w:jc w:val="center"/>
              <w:rPr>
                <w:lang w:val="en-US"/>
              </w:rPr>
            </w:pPr>
            <w:r>
              <w:t>NI</w:t>
            </w:r>
          </w:p>
        </w:tc>
        <w:tc>
          <w:tcPr>
            <w:tcW w:w="3744" w:type="dxa"/>
            <w:vAlign w:val="center"/>
          </w:tcPr>
          <w:p w14:paraId="4FA730D4" w14:textId="77777777" w:rsidR="000614F4" w:rsidRPr="00CD63DC" w:rsidRDefault="000614F4">
            <w:pPr>
              <w:jc w:val="center"/>
              <w:rPr>
                <w:lang w:val="en-US"/>
              </w:rPr>
            </w:pPr>
            <w:r>
              <w:t>X</w:t>
            </w:r>
          </w:p>
        </w:tc>
      </w:tr>
      <w:tr w:rsidR="000614F4" w:rsidRPr="00CD63DC" w14:paraId="55178B25" w14:textId="77777777" w:rsidTr="000614F4">
        <w:trPr>
          <w:trHeight w:val="317"/>
        </w:trPr>
        <w:tc>
          <w:tcPr>
            <w:tcW w:w="1772" w:type="dxa"/>
            <w:vAlign w:val="center"/>
          </w:tcPr>
          <w:p w14:paraId="056A4786" w14:textId="77777777" w:rsidR="000614F4" w:rsidRPr="00CD63DC" w:rsidRDefault="000614F4">
            <w:pPr>
              <w:tabs>
                <w:tab w:val="left" w:pos="1017"/>
              </w:tabs>
              <w:rPr>
                <w:lang w:val="en-US"/>
              </w:rPr>
            </w:pPr>
            <w:r>
              <w:t>Product (compounding standards etc.)</w:t>
            </w:r>
          </w:p>
        </w:tc>
        <w:tc>
          <w:tcPr>
            <w:tcW w:w="3029" w:type="dxa"/>
            <w:vAlign w:val="center"/>
          </w:tcPr>
          <w:p w14:paraId="5946873E" w14:textId="4F4AEF88" w:rsidR="000614F4" w:rsidRPr="00CD63DC" w:rsidRDefault="00D54551">
            <w:pPr>
              <w:jc w:val="center"/>
              <w:rPr>
                <w:lang w:val="en-US"/>
              </w:rPr>
            </w:pPr>
            <w:r>
              <w:t>NI</w:t>
            </w:r>
          </w:p>
        </w:tc>
        <w:tc>
          <w:tcPr>
            <w:tcW w:w="3744" w:type="dxa"/>
            <w:vAlign w:val="center"/>
          </w:tcPr>
          <w:p w14:paraId="01BF2BC5" w14:textId="77777777" w:rsidR="000614F4" w:rsidRPr="00CD63DC" w:rsidRDefault="000614F4">
            <w:pPr>
              <w:jc w:val="center"/>
              <w:rPr>
                <w:lang w:val="en-US"/>
              </w:rPr>
            </w:pPr>
            <w:r>
              <w:t>X</w:t>
            </w:r>
          </w:p>
        </w:tc>
      </w:tr>
      <w:tr w:rsidR="000614F4" w:rsidRPr="00CD63DC" w14:paraId="7521154D" w14:textId="77777777" w:rsidTr="000614F4">
        <w:trPr>
          <w:trHeight w:val="317"/>
        </w:trPr>
        <w:tc>
          <w:tcPr>
            <w:tcW w:w="1772" w:type="dxa"/>
            <w:vAlign w:val="center"/>
          </w:tcPr>
          <w:p w14:paraId="0341DDB1" w14:textId="77777777" w:rsidR="000614F4" w:rsidRPr="00CD63DC" w:rsidRDefault="000614F4">
            <w:pPr>
              <w:tabs>
                <w:tab w:val="left" w:pos="1017"/>
              </w:tabs>
              <w:rPr>
                <w:lang w:val="en-US"/>
              </w:rPr>
            </w:pPr>
            <w:r>
              <w:t>Patents</w:t>
            </w:r>
          </w:p>
        </w:tc>
        <w:tc>
          <w:tcPr>
            <w:tcW w:w="3029" w:type="dxa"/>
            <w:vAlign w:val="center"/>
          </w:tcPr>
          <w:p w14:paraId="10E27B36" w14:textId="77777777" w:rsidR="000614F4" w:rsidRPr="00CD63DC" w:rsidRDefault="000614F4">
            <w:pPr>
              <w:jc w:val="center"/>
              <w:rPr>
                <w:lang w:val="en-US"/>
              </w:rPr>
            </w:pPr>
            <w:r>
              <w:t>NI</w:t>
            </w:r>
          </w:p>
        </w:tc>
        <w:tc>
          <w:tcPr>
            <w:tcW w:w="3744" w:type="dxa"/>
            <w:vAlign w:val="center"/>
          </w:tcPr>
          <w:p w14:paraId="5B9D8B07" w14:textId="77777777" w:rsidR="000614F4" w:rsidRPr="00CD63DC" w:rsidRDefault="000614F4">
            <w:pPr>
              <w:jc w:val="center"/>
              <w:rPr>
                <w:lang w:val="en-US"/>
              </w:rPr>
            </w:pPr>
            <w:r>
              <w:t>X</w:t>
            </w:r>
          </w:p>
        </w:tc>
      </w:tr>
      <w:tr w:rsidR="000614F4" w:rsidRPr="00CD63DC" w14:paraId="3B8E019E" w14:textId="77777777" w:rsidTr="000614F4">
        <w:trPr>
          <w:trHeight w:val="317"/>
        </w:trPr>
        <w:tc>
          <w:tcPr>
            <w:tcW w:w="1772" w:type="dxa"/>
            <w:vAlign w:val="center"/>
          </w:tcPr>
          <w:p w14:paraId="113B2855" w14:textId="77777777" w:rsidR="000614F4" w:rsidRPr="00CD63DC" w:rsidRDefault="000614F4">
            <w:pPr>
              <w:tabs>
                <w:tab w:val="left" w:pos="1017"/>
              </w:tabs>
              <w:rPr>
                <w:lang w:val="en-US"/>
              </w:rPr>
            </w:pPr>
            <w:r>
              <w:t>Trademark</w:t>
            </w:r>
          </w:p>
        </w:tc>
        <w:tc>
          <w:tcPr>
            <w:tcW w:w="3029" w:type="dxa"/>
            <w:vAlign w:val="center"/>
          </w:tcPr>
          <w:p w14:paraId="2586F403" w14:textId="2889019D" w:rsidR="000614F4" w:rsidRPr="00CD63DC" w:rsidRDefault="00D54551">
            <w:pPr>
              <w:jc w:val="center"/>
              <w:rPr>
                <w:lang w:val="en-US"/>
              </w:rPr>
            </w:pPr>
            <w:r>
              <w:t>NI</w:t>
            </w:r>
          </w:p>
        </w:tc>
        <w:tc>
          <w:tcPr>
            <w:tcW w:w="3744" w:type="dxa"/>
            <w:vAlign w:val="center"/>
          </w:tcPr>
          <w:p w14:paraId="454BD43B" w14:textId="77777777" w:rsidR="000614F4" w:rsidRPr="00CD63DC" w:rsidRDefault="000614F4">
            <w:pPr>
              <w:jc w:val="center"/>
              <w:rPr>
                <w:lang w:val="en-US"/>
              </w:rPr>
            </w:pPr>
            <w:r>
              <w:t>X</w:t>
            </w:r>
          </w:p>
        </w:tc>
      </w:tr>
      <w:tr w:rsidR="000614F4" w:rsidRPr="00CD63DC" w14:paraId="3B618CAE" w14:textId="77777777" w:rsidTr="000614F4">
        <w:trPr>
          <w:trHeight w:val="317"/>
        </w:trPr>
        <w:tc>
          <w:tcPr>
            <w:tcW w:w="8545" w:type="dxa"/>
            <w:gridSpan w:val="3"/>
            <w:vAlign w:val="center"/>
          </w:tcPr>
          <w:p w14:paraId="79E3806E" w14:textId="12C8DF3D" w:rsidR="000614F4" w:rsidRPr="00CD63DC" w:rsidRDefault="000614F4">
            <w:pPr>
              <w:rPr>
                <w:lang w:val="en-US"/>
              </w:rPr>
            </w:pPr>
            <w:r>
              <w:t>X – Assets employed; NI – Not involved</w:t>
            </w:r>
          </w:p>
        </w:tc>
      </w:tr>
    </w:tbl>
    <w:p w14:paraId="285EB02D" w14:textId="77777777" w:rsidR="0018078F" w:rsidRPr="00CD63DC" w:rsidRDefault="00361F29">
      <w:pPr>
        <w:pStyle w:val="Heading3"/>
        <w:numPr>
          <w:ilvl w:val="2"/>
          <w:numId w:val="9"/>
        </w:numPr>
        <w:spacing w:line="276" w:lineRule="auto"/>
        <w:ind w:left="1166" w:hanging="1166"/>
        <w:rPr>
          <w:color w:val="3F9C35"/>
          <w14:textFill>
            <w14:solidFill>
              <w14:srgbClr w14:val="3F9C35">
                <w14:lumMod w14:val="50000"/>
                <w14:lumOff w14:val="50000"/>
              </w14:srgbClr>
            </w14:solidFill>
          </w14:textFill>
        </w:rPr>
      </w:pPr>
      <w:bookmarkStart w:id="113" w:name="_Toc31968634"/>
      <w:bookmarkStart w:id="114" w:name="_Toc31896730"/>
      <w:bookmarkStart w:id="115" w:name="_Toc31896865"/>
      <w:bookmarkEnd w:id="113"/>
      <w:bookmarkEnd w:id="114"/>
      <w:bookmarkEnd w:id="115"/>
      <w:r>
        <w:t xml:space="preserve">Conclusion on functional and risk profile </w:t>
      </w:r>
    </w:p>
    <w:p w14:paraId="53997454" w14:textId="77777777" w:rsidR="0018078F" w:rsidRPr="00CD63DC" w:rsidRDefault="00361F29">
      <w:r>
        <w:t>Below is a summary of the functions performed, and risks borne by the entities under review.</w:t>
      </w:r>
    </w:p>
    <w:p w14:paraId="4110AD62" w14:textId="5A55664F" w:rsidR="0018078F" w:rsidRPr="00CD63DC" w:rsidRDefault="00CA3263">
      <w:pPr>
        <w:rPr>
          <w:b/>
        </w:rPr>
      </w:pPr>
      <w:proofErr w:type="spellStart"/>
      <w:proofErr w:type="spellEnd"/>
      <w:r>
        <w:t xml:space="preserve">Shenzhen SofarSolar Co. Ltd. </w:t>
      </w:r>
    </w:p>
    <w:p w14:paraId="37D84D89" w14:textId="3368E537" w:rsidR="0018078F" w:rsidRPr="00CD63DC" w:rsidRDefault="00361F29">
      <w:pPr>
        <w:pStyle w:val="BodyText"/>
        <w:spacing w:line="276" w:lineRule="auto"/>
      </w:pPr>
      <w:proofErr w:type="spellStart"/>
      <w:proofErr w:type="spellEnd"/>
      <w:r>
        <w:t>Based on the functions performed, the risks assumed, and the assets employed, Shenzhen SofarSolar Co. Ltd.  can be characterized as an entrepreneur.</w:t>
      </w:r>
    </w:p>
    <w:p w14:paraId="00235ECF" w14:textId="54DC0DFA" w:rsidR="0018078F" w:rsidRPr="00CD63DC" w:rsidRDefault="00232B60">
      <w:pPr>
        <w:rPr>
          <w:b/>
        </w:rPr>
      </w:pPr>
      <w:r>
        <w:t>{{reporting _company}}</w:t>
      </w:r>
    </w:p>
    <w:p w14:paraId="67F8DD19" w14:textId="5B97A9AB" w:rsidR="0018078F" w:rsidRPr="00CD63DC" w:rsidRDefault="00361F29">
      <w:pPr>
        <w:pStyle w:val="BodyText"/>
        <w:spacing w:line="276" w:lineRule="auto"/>
        <w:rPr>
          <w:lang w:val="en-US"/>
        </w:rPr>
      </w:pPr>
      <w:proofErr w:type="spellStart"/>
      <w:proofErr w:type="spellEnd"/>
      <w:proofErr w:type="gramStart"/>
      <w:proofErr w:type="gramEnd"/>
      <w:r>
        <w:t>Based on the functions performed, the risks assumed, and the assets employed, it can be concluded that SofarSolar Netherlands B.V.  can be characterized as a service entity performing re-invoicing activities.</w:t>
      </w:r>
    </w:p>
    <w:p w14:paraId="5147073C" w14:textId="77777777" w:rsidR="0018078F" w:rsidRPr="00CD63DC" w:rsidRDefault="00361F29">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116" w:name="_Toc116411356"/>
      <w:bookmarkStart w:id="117" w:name="_Toc203039405"/>
      <w:bookmarkEnd w:id="116"/>
      <w:bookmarkEnd w:id="117"/>
      <w:r>
        <w:t>Selection of TP methods</w:t>
      </w:r>
    </w:p>
    <w:p w14:paraId="2CED7A64" w14:textId="77777777" w:rsidR="0018078F" w:rsidRPr="00CD63DC" w:rsidRDefault="00361F29">
      <w:pPr>
        <w:rPr>
          <w:rFonts w:eastAsia="YouYuan"/>
        </w:rPr>
      </w:pPr>
      <w:r>
        <w:t>This section provides an overview of the specific TP methods recognised by the OECD Guidelines and the main considerations for selecting the most appropriate TP method to assess the arm’s length nature of the controlled transactions in scope of this report. In addition, this section provides the analysis of which method is the most appropriate to test the arm’s length nature of the controlled transactions.</w:t>
      </w:r>
    </w:p>
    <w:p w14:paraId="2D7D0FE4" w14:textId="77777777" w:rsidR="0018078F" w:rsidRPr="00CD63DC" w:rsidRDefault="00361F29">
      <w:pPr>
        <w:pStyle w:val="Heading3"/>
        <w:numPr>
          <w:ilvl w:val="2"/>
          <w:numId w:val="9"/>
        </w:numPr>
        <w:spacing w:line="276" w:lineRule="auto"/>
        <w:ind w:left="1166" w:hanging="1166"/>
        <w:rPr>
          <w:color w:val="3F9C35"/>
          <w14:textFill>
            <w14:solidFill>
              <w14:srgbClr w14:val="3F9C35">
                <w14:lumMod w14:val="50000"/>
                <w14:lumOff w14:val="50000"/>
              </w14:srgbClr>
            </w14:solidFill>
          </w14:textFill>
        </w:rPr>
      </w:pPr>
      <w:r>
        <w:t>Available methods for price testing</w:t>
      </w:r>
    </w:p>
    <w:p w14:paraId="31D77532" w14:textId="77777777" w:rsidR="0018078F" w:rsidRPr="00CD63DC" w:rsidRDefault="00361F29">
      <w:pPr>
        <w:rPr>
          <w:rFonts w:eastAsia="YouYuan"/>
        </w:rPr>
      </w:pPr>
      <w:r>
        <w:t>The OECD Guidelines provide specific methods for testing the arm’s length nature of inter-company transactions. The OECD Guidelines group TP methods into two categories; the “traditional transaction methods” and the “transactional profit methods”. The OECD Guidelines require an inquiry into the availability and the reliability of data, the degree of comparability between the controlled and uncontrolled transactions and the sensitivity of the assumptions to data deficiencies to determine which method should be used for the particular transaction or group of transactions under review. The arm’s length character of the controlled transactions can be determined by applying one of the following methods:</w:t>
      </w:r>
    </w:p>
    <w:p w14:paraId="31B7D110" w14:textId="77777777" w:rsidR="0018078F" w:rsidRPr="00CD63DC" w:rsidRDefault="00361F29">
      <w:pPr>
        <w:rPr>
          <w:rFonts w:eastAsia="YouYuan"/>
        </w:rPr>
      </w:pPr>
      <w:r>
        <w:t>Traditional transaction methods:</w:t>
      </w:r>
    </w:p>
    <w:p w14:paraId="73DC1ABE" w14:textId="77777777" w:rsidR="0018078F" w:rsidRPr="00CD63DC" w:rsidRDefault="00361F29">
      <w:pPr>
        <w:numPr>
          <w:ilvl w:val="0"/>
          <w:numId w:val="10"/>
        </w:numPr>
        <w:autoSpaceDE w:val="0"/>
        <w:autoSpaceDN w:val="0"/>
        <w:adjustRightInd w:val="0"/>
        <w:rPr>
          <w:rFonts w:eastAsia="YouYuan"/>
        </w:rPr>
      </w:pPr>
      <w:proofErr w:type="gramStart"/>
      <w:proofErr w:type="gramEnd"/>
      <w:r>
        <w:t>Comparable uncontrolled price (“CUP”) method;</w:t>
      </w:r>
    </w:p>
    <w:p w14:paraId="5DFAD33F" w14:textId="77777777" w:rsidR="0018078F" w:rsidRPr="00CD63DC" w:rsidRDefault="00361F29">
      <w:pPr>
        <w:numPr>
          <w:ilvl w:val="0"/>
          <w:numId w:val="10"/>
        </w:numPr>
        <w:autoSpaceDE w:val="0"/>
        <w:autoSpaceDN w:val="0"/>
        <w:adjustRightInd w:val="0"/>
        <w:rPr>
          <w:rFonts w:eastAsia="YouYuan"/>
        </w:rPr>
      </w:pPr>
      <w:r>
        <w:t>Resale price method (“RPM”); and</w:t>
      </w:r>
    </w:p>
    <w:p w14:paraId="7A870B33" w14:textId="77777777" w:rsidR="0018078F" w:rsidRPr="00CD63DC" w:rsidRDefault="00361F29">
      <w:pPr>
        <w:numPr>
          <w:ilvl w:val="0"/>
          <w:numId w:val="10"/>
        </w:numPr>
        <w:autoSpaceDE w:val="0"/>
        <w:autoSpaceDN w:val="0"/>
        <w:adjustRightInd w:val="0"/>
        <w:rPr>
          <w:rFonts w:eastAsia="YouYuan"/>
        </w:rPr>
      </w:pPr>
      <w:r>
        <w:t>Cost plus (“CP”) method.</w:t>
      </w:r>
    </w:p>
    <w:p w14:paraId="29C59246" w14:textId="77777777" w:rsidR="0018078F" w:rsidRPr="00CD63DC" w:rsidRDefault="00361F29">
      <w:pPr>
        <w:rPr>
          <w:rFonts w:eastAsia="YouYuan"/>
        </w:rPr>
      </w:pPr>
      <w:r>
        <w:t>Transactional profit methods:</w:t>
      </w:r>
    </w:p>
    <w:p w14:paraId="1B894CE4" w14:textId="77777777" w:rsidR="0018078F" w:rsidRPr="00CD63DC" w:rsidRDefault="00361F29">
      <w:pPr>
        <w:numPr>
          <w:ilvl w:val="0"/>
          <w:numId w:val="10"/>
        </w:numPr>
        <w:autoSpaceDE w:val="0"/>
        <w:autoSpaceDN w:val="0"/>
        <w:adjustRightInd w:val="0"/>
        <w:rPr>
          <w:rFonts w:eastAsia="YouYuan"/>
        </w:rPr>
      </w:pPr>
      <w:r>
        <w:t>Transactional net margin method (“TNMM”); and</w:t>
      </w:r>
    </w:p>
    <w:p w14:paraId="7D5788E9" w14:textId="77777777" w:rsidR="0018078F" w:rsidRPr="00CD63DC" w:rsidRDefault="00361F29">
      <w:pPr>
        <w:numPr>
          <w:ilvl w:val="0"/>
          <w:numId w:val="10"/>
        </w:numPr>
        <w:autoSpaceDE w:val="0"/>
        <w:autoSpaceDN w:val="0"/>
        <w:adjustRightInd w:val="0"/>
        <w:rPr>
          <w:rFonts w:eastAsia="YouYuan"/>
        </w:rPr>
      </w:pPr>
      <w:r>
        <w:t>Profit split method (“PSM”).</w:t>
      </w:r>
    </w:p>
    <w:p w14:paraId="222C5ACB" w14:textId="77777777" w:rsidR="0018078F" w:rsidRPr="00CD63DC" w:rsidRDefault="00361F29">
      <w:pPr>
        <w:rPr>
          <w:rFonts w:eastAsia="YouYuan"/>
        </w:rPr>
      </w:pPr>
      <w:r>
        <w:t>The following sections provide the analysis of which method is the most appropriate to test the arm’s length nature of the controlled transactions.</w:t>
      </w:r>
    </w:p>
    <w:p w14:paraId="1AA3D2DF" w14:textId="77777777" w:rsidR="0018078F" w:rsidRPr="00CD63DC" w:rsidRDefault="00361F29">
      <w:pPr>
        <w:pStyle w:val="Heading3"/>
        <w:numPr>
          <w:ilvl w:val="2"/>
          <w:numId w:val="9"/>
        </w:numPr>
        <w:spacing w:line="276" w:lineRule="auto"/>
        <w:ind w:left="1166" w:hanging="1166"/>
        <w:rPr>
          <w:color w:val="3F9C35"/>
          <w14:textFill>
            <w14:solidFill>
              <w14:srgbClr w14:val="3F9C35">
                <w14:lumMod w14:val="50000"/>
                <w14:lumOff w14:val="50000"/>
              </w14:srgbClr>
            </w14:solidFill>
          </w14:textFill>
        </w:rPr>
      </w:pPr>
      <w:r>
        <w:t>CUP method</w:t>
      </w:r>
    </w:p>
    <w:p w14:paraId="19DD8689" w14:textId="77777777" w:rsidR="0018078F" w:rsidRPr="00CD63DC" w:rsidRDefault="00361F29">
      <w:pPr>
        <w:keepNext/>
        <w:keepLines/>
        <w:rPr>
          <w:rFonts w:eastAsia="YouYuan"/>
        </w:rPr>
      </w:pPr>
      <w:r>
        <w:t>The CUP method evaluates whether the amount charged in a controlled transaction is at arm’s length, by reference to the amount charged in comparable uncontrolled transactions under similar circumstances.</w:t>
      </w:r>
    </w:p>
    <w:p w14:paraId="627F0138" w14:textId="77777777" w:rsidR="0018078F" w:rsidRPr="00CD63DC" w:rsidRDefault="00361F29">
      <w:pPr>
        <w:rPr>
          <w:rFonts w:eastAsia="YouYuan"/>
        </w:rPr>
      </w:pPr>
      <w:r>
        <w:t xml:space="preserve">Applicability of the CUP method requires comparability between the controlled and uncontrolled transactions in terms of both products transferred and other terms of arrangements. For example, some of the arrangement terms that should be considered in determining a potential CUP include the terms of the transaction, volume of sales, time of transaction, geographic markets and the level of the market. </w:t>
      </w:r>
    </w:p>
    <w:p w14:paraId="3D5EBE2D" w14:textId="77777777" w:rsidR="0018078F" w:rsidRPr="00CD63DC" w:rsidRDefault="00361F29">
      <w:pPr>
        <w:rPr>
          <w:rFonts w:eastAsia="YouYuan"/>
        </w:rPr>
      </w:pPr>
      <w:r>
        <w:t>For the purposes of the CUP method, an uncontrolled transaction is considered comparable to a controlled transaction if reasonably accurate adjustments can be made to eliminate the effects of any material differences between the controlled and uncontrolled transactions. The extent and reliability of any such adjustments will affect the relative reliability of the analysis under the CUP method.</w:t>
      </w:r>
    </w:p>
    <w:p w14:paraId="76B28F59" w14:textId="77777777" w:rsidR="0018078F" w:rsidRPr="00CD63DC" w:rsidRDefault="00361F29">
      <w:pPr>
        <w:rPr>
          <w:rFonts w:eastAsia="YouYuan"/>
        </w:rPr>
      </w:pPr>
      <w:r>
        <w:t>When it is possible to identify comparable uncontrolled transactions, the CUP method is the most direct and reliable way to apply the arm’s length standard. However, if reasonably accurate adjustments cannot be made to eliminate any product or functional differences between the controlled and uncontrolled transactions, the reliability of the CUP method will be reduced. Therefore, it might be necessary to combine the CUP method with other less direct methods or to use another more appropriate method instead.</w:t>
      </w:r>
    </w:p>
    <w:p w14:paraId="3B3242B7" w14:textId="77777777" w:rsidR="0018078F" w:rsidRPr="00CD63DC" w:rsidRDefault="00361F29">
      <w:pPr>
        <w:rPr>
          <w:rFonts w:eastAsia="YouYuan"/>
        </w:rPr>
      </w:pPr>
      <w:r>
        <w:t>There are two types of comparable uncontrolled transactions:</w:t>
      </w:r>
    </w:p>
    <w:p w14:paraId="12364A37" w14:textId="77777777" w:rsidR="0018078F" w:rsidRPr="00CD63DC" w:rsidRDefault="00361F29">
      <w:pPr>
        <w:numPr>
          <w:ilvl w:val="0"/>
          <w:numId w:val="10"/>
        </w:numPr>
        <w:autoSpaceDE w:val="0"/>
        <w:autoSpaceDN w:val="0"/>
        <w:adjustRightInd w:val="0"/>
        <w:rPr>
          <w:rFonts w:eastAsia="YouYuan"/>
        </w:rPr>
      </w:pPr>
      <w:proofErr w:type="spellStart"/>
      <w:proofErr w:type="spellEnd"/>
      <w:proofErr w:type="gramStart"/>
      <w:proofErr w:type="gramEnd"/>
      <w:r>
        <w:t xml:space="preserve">External comparables: external CUPs are prices for transactions between two third parties in which the property transferred or services rendered and circumstances of the transaction are very similar or identical to the property and circumstances of the controlled transaction; and </w:t>
      </w:r>
    </w:p>
    <w:p w14:paraId="47C9CA64" w14:textId="77777777" w:rsidR="0018078F" w:rsidRPr="00CD63DC" w:rsidRDefault="00361F29">
      <w:pPr>
        <w:numPr>
          <w:ilvl w:val="0"/>
          <w:numId w:val="10"/>
        </w:numPr>
        <w:autoSpaceDE w:val="0"/>
        <w:autoSpaceDN w:val="0"/>
        <w:adjustRightInd w:val="0"/>
        <w:rPr>
          <w:rFonts w:eastAsia="YouYuan"/>
        </w:rPr>
      </w:pPr>
      <w:proofErr w:type="spellStart"/>
      <w:proofErr w:type="spellEnd"/>
      <w:proofErr w:type="gramStart"/>
      <w:proofErr w:type="gramEnd"/>
      <w:r>
        <w:t xml:space="preserve">Internal comparables: internal CUPs are prices for transactions between one of the related parties with a third-party in which the property transferred or services rendered and circumstances of the transaction are very similar or identical to the property and circumstances of the controlled transaction. </w:t>
      </w:r>
    </w:p>
    <w:p w14:paraId="236630D4" w14:textId="77777777" w:rsidR="0018078F" w:rsidRPr="00CD63DC" w:rsidRDefault="00361F29">
      <w:pPr>
        <w:pStyle w:val="Heading3"/>
        <w:keepNext w:val="0"/>
        <w:numPr>
          <w:ilvl w:val="2"/>
          <w:numId w:val="9"/>
        </w:numPr>
        <w:tabs>
          <w:tab w:val="left" w:pos="1134"/>
        </w:tabs>
        <w:autoSpaceDE w:val="0"/>
        <w:autoSpaceDN w:val="0"/>
        <w:adjustRightInd w:val="0"/>
        <w:spacing w:line="276" w:lineRule="auto"/>
        <w:ind w:left="1134" w:hanging="1134"/>
        <w:rPr>
          <w:rFonts w:eastAsiaTheme="minorHAnsi"/>
          <w:bCs/>
          <w:color w:val="3F9C35"/>
          <w14:textFill>
            <w14:solidFill>
              <w14:srgbClr w14:val="3F9C35">
                <w14:lumMod w14:val="50000"/>
                <w14:lumOff w14:val="50000"/>
              </w14:srgbClr>
            </w14:solidFill>
          </w14:textFill>
        </w:rPr>
      </w:pPr>
      <w:r>
        <w:t>RPM</w:t>
      </w:r>
    </w:p>
    <w:p w14:paraId="226BE7F8" w14:textId="77777777" w:rsidR="0018078F" w:rsidRPr="00CD63DC" w:rsidRDefault="00361F29">
      <w:pPr>
        <w:rPr>
          <w:rFonts w:eastAsia="YouYuan"/>
          <w:color w:val="7F7F7F"/>
          <w14:textFill>
            <w14:solidFill>
              <w14:srgbClr w14:val="7F7F7F">
                <w14:lumMod w14:val="50000"/>
                <w14:lumOff w14:val="50000"/>
              </w14:srgbClr>
            </w14:solidFill>
          </w14:textFill>
        </w:rPr>
      </w:pPr>
      <w:r>
        <w:t>The RPM evaluates the arm’s length nature of the transfer price in a controlled transaction by reference to the gross profit margin (the ratio of gross profit to net sales) realised in comparable uncontrolled transactions. The RPM is ordinarily used in situations in which one entity (the reseller) purchases tangible goods from a related entity and the reseller does not physically alter the tangible goods or use any intangible assets to add substantial value to the goods.</w:t>
      </w:r>
    </w:p>
    <w:p w14:paraId="20AEDC5A" w14:textId="77777777" w:rsidR="0018078F" w:rsidRPr="00CD63DC" w:rsidRDefault="00361F29">
      <w:pPr>
        <w:rPr>
          <w:rFonts w:eastAsia="YouYuan"/>
          <w:color w:val="7F7F7F"/>
          <w14:textFill>
            <w14:solidFill>
              <w14:srgbClr w14:val="7F7F7F">
                <w14:lumMod w14:val="50000"/>
                <w14:lumOff w14:val="50000"/>
              </w14:srgbClr>
            </w14:solidFill>
          </w14:textFill>
        </w:rPr>
      </w:pPr>
      <w:r>
        <w:t>An analysis using the RPM begins with the price at which a product that has been purchased from a related entity is resold to an independent entity. The (resale) price is then reduced by an appropriate discount (i.e. gross margin), which should cover the selling and other operating expenses of the reseller, and represent, considering the functions performed, an appropriate profit.</w:t>
      </w:r>
    </w:p>
    <w:p w14:paraId="6F483891" w14:textId="77777777" w:rsidR="0018078F" w:rsidRPr="00CD63DC" w:rsidRDefault="00361F29">
      <w:pPr>
        <w:rPr>
          <w:rFonts w:eastAsia="YouYuan"/>
          <w:color w:val="7F7F7F"/>
          <w14:textFill>
            <w14:solidFill>
              <w14:srgbClr w14:val="7F7F7F">
                <w14:lumMod w14:val="50000"/>
                <w14:lumOff w14:val="50000"/>
              </w14:srgbClr>
            </w14:solidFill>
          </w14:textFill>
        </w:rPr>
      </w:pPr>
      <w:r>
        <w:t>The resale price margin of the reseller in the controlled transaction may be determined in two ways:</w:t>
      </w:r>
    </w:p>
    <w:p w14:paraId="40AF04A4" w14:textId="77777777" w:rsidR="0018078F" w:rsidRPr="00CD63DC" w:rsidRDefault="00361F29">
      <w:pPr>
        <w:numPr>
          <w:ilvl w:val="0"/>
          <w:numId w:val="10"/>
        </w:numPr>
        <w:autoSpaceDE w:val="0"/>
        <w:autoSpaceDN w:val="0"/>
        <w:adjustRightInd w:val="0"/>
        <w:rPr>
          <w:rFonts w:eastAsia="YouYuan"/>
          <w:color w:val="7F7F7F"/>
          <w14:textFill>
            <w14:solidFill>
              <w14:srgbClr w14:val="7F7F7F">
                <w14:lumMod w14:val="50000"/>
                <w14:lumOff w14:val="50000"/>
              </w14:srgbClr>
            </w14:solidFill>
          </w14:textFill>
        </w:rPr>
      </w:pPr>
      <w:proofErr w:type="spellStart"/>
      <w:proofErr w:type="spellEnd"/>
      <w:r>
        <w:t>External comparables: the resale price margin of the reseller in the controlled transaction can be determined by using the resale price margin earned by an independent entity in comparable uncontrolled transactions; and</w:t>
      </w:r>
    </w:p>
    <w:p w14:paraId="1551EC0F" w14:textId="77777777" w:rsidR="0018078F" w:rsidRPr="00CD63DC" w:rsidRDefault="00361F29">
      <w:pPr>
        <w:numPr>
          <w:ilvl w:val="0"/>
          <w:numId w:val="10"/>
        </w:numPr>
        <w:autoSpaceDE w:val="0"/>
        <w:autoSpaceDN w:val="0"/>
        <w:adjustRightInd w:val="0"/>
        <w:rPr>
          <w:rFonts w:eastAsia="YouYuan"/>
          <w:color w:val="7F7F7F"/>
          <w14:textFill>
            <w14:solidFill>
              <w14:srgbClr w14:val="7F7F7F">
                <w14:lumMod w14:val="50000"/>
                <w14:lumOff w14:val="50000"/>
              </w14:srgbClr>
            </w14:solidFill>
          </w14:textFill>
        </w:rPr>
      </w:pPr>
      <w:proofErr w:type="spellStart"/>
      <w:proofErr w:type="spellEnd"/>
      <w:r>
        <w:t xml:space="preserve">Internal comparables: the resale price margin of the reseller in the controlled transaction can be determined by using the resale price margin that the same reseller earns on items purchased and sold in comparable uncontrolled transactions. </w:t>
      </w:r>
    </w:p>
    <w:p w14:paraId="02D9C52F" w14:textId="77777777" w:rsidR="0018078F" w:rsidRPr="00CD63DC" w:rsidRDefault="00361F29">
      <w:pPr>
        <w:pStyle w:val="Heading3"/>
        <w:keepNext w:val="0"/>
        <w:numPr>
          <w:ilvl w:val="2"/>
          <w:numId w:val="9"/>
        </w:numPr>
        <w:tabs>
          <w:tab w:val="left" w:pos="1134"/>
        </w:tabs>
        <w:autoSpaceDE w:val="0"/>
        <w:autoSpaceDN w:val="0"/>
        <w:adjustRightInd w:val="0"/>
        <w:spacing w:line="276" w:lineRule="auto"/>
        <w:ind w:left="1134" w:hanging="1134"/>
        <w:rPr>
          <w:rFonts w:eastAsiaTheme="minorHAnsi"/>
          <w:bCs/>
          <w:color w:val="3F9C35"/>
          <w14:textFill>
            <w14:solidFill>
              <w14:srgbClr w14:val="3F9C35">
                <w14:lumMod w14:val="50000"/>
                <w14:lumOff w14:val="50000"/>
              </w14:srgbClr>
            </w14:solidFill>
          </w14:textFill>
        </w:rPr>
      </w:pPr>
      <w:r>
        <w:t>CP method</w:t>
      </w:r>
    </w:p>
    <w:p w14:paraId="776E455B" w14:textId="77777777" w:rsidR="0018078F" w:rsidRPr="00CD63DC" w:rsidRDefault="00361F29">
      <w:pPr>
        <w:rPr>
          <w:rFonts w:eastAsia="YouYuan"/>
          <w:color w:val="7F7F7F"/>
          <w14:textFill>
            <w14:solidFill>
              <w14:srgbClr w14:val="7F7F7F">
                <w14:lumMod w14:val="50000"/>
                <w14:lumOff w14:val="50000"/>
              </w14:srgbClr>
            </w14:solidFill>
          </w14:textFill>
        </w:rPr>
      </w:pPr>
      <w:r>
        <w:t>The CP method tests the arm’s length character of a transfer price in a controlled transaction by reference to the gross profit mark-up (the ratio of gross profit to cost of sales) realised in a comparable uncontrolled transaction. The CP method measures the value of the functions performed and is ordinarily appropriate in cases involving the manufacture or assembly of tangible goods, which are sold to a related party, or the provision of services for a related party.</w:t>
      </w:r>
    </w:p>
    <w:p w14:paraId="5C67B77C" w14:textId="77777777" w:rsidR="0018078F" w:rsidRPr="00CD63DC" w:rsidRDefault="00361F29">
      <w:pPr>
        <w:rPr>
          <w:rFonts w:eastAsia="YouYuan"/>
          <w:color w:val="7F7F7F"/>
          <w14:textFill>
            <w14:solidFill>
              <w14:srgbClr w14:val="7F7F7F">
                <w14:lumMod w14:val="50000"/>
                <w14:lumOff w14:val="50000"/>
              </w14:srgbClr>
            </w14:solidFill>
          </w14:textFill>
        </w:rPr>
      </w:pPr>
      <w:r>
        <w:t>An analysis based on the CP method begins with the costs incurred by the supplier of property or services in a controlled transaction for property transferred or services provided to a related purchaser. An appropriate mark-up is then added to these costs to make an appropriate profit considering the functions performed and the market conditions.</w:t>
      </w:r>
    </w:p>
    <w:p w14:paraId="11F6F188" w14:textId="77777777" w:rsidR="0018078F" w:rsidRPr="00CD63DC" w:rsidRDefault="00361F29">
      <w:pPr>
        <w:rPr>
          <w:rFonts w:eastAsia="YouYuan"/>
          <w:color w:val="7F7F7F"/>
          <w14:textFill>
            <w14:solidFill>
              <w14:srgbClr w14:val="7F7F7F">
                <w14:lumMod w14:val="50000"/>
                <w14:lumOff w14:val="50000"/>
              </w14:srgbClr>
            </w14:solidFill>
          </w14:textFill>
        </w:rPr>
      </w:pPr>
      <w:r>
        <w:t>The cost-plus mark-up of the supplier in the controlled transaction may be determined in two ways:</w:t>
      </w:r>
    </w:p>
    <w:p w14:paraId="499CADF2" w14:textId="77777777" w:rsidR="0018078F" w:rsidRPr="00CD63DC" w:rsidRDefault="00361F29">
      <w:pPr>
        <w:numPr>
          <w:ilvl w:val="0"/>
          <w:numId w:val="10"/>
        </w:numPr>
        <w:autoSpaceDE w:val="0"/>
        <w:autoSpaceDN w:val="0"/>
        <w:adjustRightInd w:val="0"/>
        <w:rPr>
          <w:rFonts w:eastAsia="YouYuan"/>
          <w:color w:val="7F7F7F"/>
          <w14:textFill>
            <w14:solidFill>
              <w14:srgbClr w14:val="7F7F7F">
                <w14:lumMod w14:val="50000"/>
                <w14:lumOff w14:val="50000"/>
              </w14:srgbClr>
            </w14:solidFill>
          </w14:textFill>
        </w:rPr>
      </w:pPr>
      <w:proofErr w:type="spellStart"/>
      <w:proofErr w:type="spellEnd"/>
      <w:r>
        <w:t>External comparables: the cost-plus mark-up of the supplier in the controlled transaction may be established by reference to the cost-plus mark-up that would have been earned in comparable transactions by independent entities; and</w:t>
      </w:r>
    </w:p>
    <w:p w14:paraId="1AC9F7F4" w14:textId="77777777" w:rsidR="0018078F" w:rsidRPr="00CD63DC" w:rsidRDefault="00361F29">
      <w:pPr>
        <w:numPr>
          <w:ilvl w:val="0"/>
          <w:numId w:val="10"/>
        </w:numPr>
        <w:autoSpaceDE w:val="0"/>
        <w:autoSpaceDN w:val="0"/>
        <w:adjustRightInd w:val="0"/>
        <w:rPr>
          <w:rFonts w:eastAsia="YouYuan"/>
          <w:color w:val="7F7F7F"/>
          <w14:textFill>
            <w14:solidFill>
              <w14:srgbClr w14:val="7F7F7F">
                <w14:lumMod w14:val="50000"/>
                <w14:lumOff w14:val="50000"/>
              </w14:srgbClr>
            </w14:solidFill>
          </w14:textFill>
        </w:rPr>
      </w:pPr>
      <w:proofErr w:type="spellStart"/>
      <w:proofErr w:type="spellEnd"/>
      <w:r>
        <w:t>Internal comparables: the cost-plus mark-up of the supplier in the controlled transaction may be established by reference to the cost-plus mark-up that the same supplier earns in comparable uncontrolled transactions.</w:t>
      </w:r>
    </w:p>
    <w:p w14:paraId="513A19B7" w14:textId="77777777" w:rsidR="0018078F" w:rsidRPr="00CD63DC" w:rsidRDefault="00361F29">
      <w:pPr>
        <w:pStyle w:val="Heading3"/>
        <w:keepNext w:val="0"/>
        <w:numPr>
          <w:ilvl w:val="2"/>
          <w:numId w:val="9"/>
        </w:numPr>
        <w:tabs>
          <w:tab w:val="left" w:pos="1134"/>
        </w:tabs>
        <w:autoSpaceDE w:val="0"/>
        <w:autoSpaceDN w:val="0"/>
        <w:adjustRightInd w:val="0"/>
        <w:spacing w:line="276" w:lineRule="auto"/>
        <w:ind w:left="1134" w:hanging="1134"/>
        <w:rPr>
          <w:rFonts w:eastAsiaTheme="minorHAnsi"/>
          <w:bCs/>
          <w:color w:val="3F9C35"/>
          <w14:textFill>
            <w14:solidFill>
              <w14:srgbClr w14:val="3F9C35">
                <w14:lumMod w14:val="50000"/>
                <w14:lumOff w14:val="50000"/>
              </w14:srgbClr>
            </w14:solidFill>
          </w14:textFill>
        </w:rPr>
      </w:pPr>
      <w:r>
        <w:t>PSM</w:t>
      </w:r>
    </w:p>
    <w:p w14:paraId="3CF965A9" w14:textId="77777777" w:rsidR="0018078F" w:rsidRPr="00CD63DC" w:rsidRDefault="00361F29">
      <w:pPr>
        <w:rPr>
          <w:rFonts w:eastAsia="YouYuan"/>
          <w:color w:val="7F7F7F"/>
          <w14:textFill>
            <w14:solidFill>
              <w14:srgbClr w14:val="7F7F7F">
                <w14:lumMod w14:val="50000"/>
                <w14:lumOff w14:val="50000"/>
              </w14:srgbClr>
            </w14:solidFill>
          </w14:textFill>
        </w:rPr>
      </w:pPr>
      <w:r>
        <w:t>The PSM evaluates whether the allocation of combined operating profit or loss attributable to one or more controlled transactions is arm’s length by reference to the relative value of each participant’s contribution to that profit or loss. This method is generally the most appropriate method when both parties to the transaction own valuable, non-routine intangibles, which contribute to the profit earned with the transaction, or when the activities and contributions made by the parties engaged in a controlled transaction are highly integrated.</w:t>
      </w:r>
    </w:p>
    <w:p w14:paraId="46BDD89D" w14:textId="77777777" w:rsidR="0018078F" w:rsidRPr="00CD63DC" w:rsidRDefault="00361F29">
      <w:pPr>
        <w:rPr>
          <w:rFonts w:eastAsia="YouYuan"/>
          <w:color w:val="7F7F7F"/>
          <w14:textFill>
            <w14:solidFill>
              <w14:srgbClr w14:val="7F7F7F">
                <w14:lumMod w14:val="50000"/>
                <w14:lumOff w14:val="50000"/>
              </w14:srgbClr>
            </w14:solidFill>
          </w14:textFill>
        </w:rPr>
      </w:pPr>
      <w:proofErr w:type="gramStart"/>
      <w:proofErr w:type="gramEnd"/>
      <w:r>
        <w:t>The PSM involves either the identification of a comparable profit-sharing arrangement between two unrelated parties performing similar functions and bearing similar risks as the controlled taxpayers; or the allocation of combined operating income, first to routine activities through application of a specified method, and then to other non-routine activities performed. Therefore, the PSM consists of two methods; the comparable PSM and the residual PSM.</w:t>
      </w:r>
    </w:p>
    <w:p w14:paraId="7C2BDF2A" w14:textId="77777777" w:rsidR="0018078F" w:rsidRPr="00CD63DC" w:rsidRDefault="00361F29">
      <w:pPr>
        <w:numPr>
          <w:ilvl w:val="0"/>
          <w:numId w:val="10"/>
        </w:numPr>
        <w:autoSpaceDE w:val="0"/>
        <w:autoSpaceDN w:val="0"/>
        <w:adjustRightInd w:val="0"/>
        <w:rPr>
          <w:rFonts w:eastAsia="YouYuan"/>
          <w:color w:val="7F7F7F"/>
          <w14:textFill>
            <w14:solidFill>
              <w14:srgbClr w14:val="7F7F7F">
                <w14:lumMod w14:val="50000"/>
                <w14:lumOff w14:val="50000"/>
              </w14:srgbClr>
            </w14:solidFill>
          </w14:textFill>
        </w:rPr>
      </w:pPr>
      <w:r>
        <w:t>Comparable PSM: this requires detailed data about the division of profits between unrelated parties. In practice, it is very unlikely that companies would be able to obtain such data concerning unrelated parties; and</w:t>
      </w:r>
    </w:p>
    <w:p w14:paraId="3A1D502F" w14:textId="77777777" w:rsidR="0018078F" w:rsidRPr="00CD63DC" w:rsidRDefault="00361F29">
      <w:pPr>
        <w:numPr>
          <w:ilvl w:val="0"/>
          <w:numId w:val="10"/>
        </w:numPr>
        <w:autoSpaceDE w:val="0"/>
        <w:autoSpaceDN w:val="0"/>
        <w:adjustRightInd w:val="0"/>
        <w:rPr>
          <w:rFonts w:eastAsia="YouYuan"/>
          <w:color w:val="7F7F7F"/>
          <w14:textFill>
            <w14:solidFill>
              <w14:srgbClr w14:val="7F7F7F">
                <w14:lumMod w14:val="50000"/>
                <w14:lumOff w14:val="50000"/>
              </w14:srgbClr>
            </w14:solidFill>
          </w14:textFill>
        </w:rPr>
      </w:pPr>
      <w:r>
        <w:t>Residual PSM: this requires allocations of routine and non-routine contributions. The arm’s length return for the routine contribution is determined by using a method such as the TNMM, while the residual return is allocated based on the relative value of the related party’s contributions to the combined intangible capital.</w:t>
      </w:r>
    </w:p>
    <w:p w14:paraId="1199F3B8" w14:textId="77777777" w:rsidR="0018078F" w:rsidRPr="00CD63DC" w:rsidRDefault="00361F29">
      <w:pPr>
        <w:pStyle w:val="Heading3"/>
        <w:keepNext w:val="0"/>
        <w:numPr>
          <w:ilvl w:val="2"/>
          <w:numId w:val="9"/>
        </w:numPr>
        <w:tabs>
          <w:tab w:val="left" w:pos="1134"/>
        </w:tabs>
        <w:autoSpaceDE w:val="0"/>
        <w:autoSpaceDN w:val="0"/>
        <w:adjustRightInd w:val="0"/>
        <w:spacing w:line="276" w:lineRule="auto"/>
        <w:ind w:left="1134" w:hanging="1134"/>
        <w:rPr>
          <w:rFonts w:eastAsiaTheme="minorHAnsi"/>
          <w:bCs/>
          <w:color w:val="3F9C35"/>
          <w14:textFill>
            <w14:solidFill>
              <w14:srgbClr w14:val="3F9C35">
                <w14:lumMod w14:val="50000"/>
                <w14:lumOff w14:val="50000"/>
              </w14:srgbClr>
            </w14:solidFill>
          </w14:textFill>
        </w:rPr>
      </w:pPr>
      <w:r>
        <w:t>TNMM</w:t>
      </w:r>
    </w:p>
    <w:p w14:paraId="5A2788BF" w14:textId="77777777" w:rsidR="0018078F" w:rsidRPr="00CD63DC" w:rsidRDefault="00361F29">
      <w:pPr>
        <w:rPr>
          <w:rFonts w:eastAsia="YouYuan"/>
          <w:color w:val="7F7F7F"/>
          <w14:textFill>
            <w14:solidFill>
              <w14:srgbClr w14:val="7F7F7F">
                <w14:lumMod w14:val="50000"/>
                <w14:lumOff w14:val="50000"/>
              </w14:srgbClr>
            </w14:solidFill>
          </w14:textFill>
        </w:rPr>
      </w:pPr>
      <w:r>
        <w:t>The TNMM evaluates the arm’s length character of a controlled transaction by comparing the operating profits earned by the party engaged in the controlled transaction to the operating profits earned by uncontrolled parties engaged in similar business activities. The TNMM evaluates the net margin of the taxpayer from the controlled transaction (or transactions that are appropriate to aggregate) by reference to the net margin that the same taxpayer earns in comparable uncontrolled transactions. Where this is not possible, the operating profit that would have been earned in comparable transactions by an independent entity may be used.</w:t>
      </w:r>
    </w:p>
    <w:p w14:paraId="39B5FC5A" w14:textId="77777777" w:rsidR="0018078F" w:rsidRPr="00CD63DC" w:rsidRDefault="00361F29">
      <w:pPr>
        <w:rPr>
          <w:rFonts w:eastAsia="YouYuan"/>
          <w:color w:val="7F7F7F"/>
          <w14:textFill>
            <w14:solidFill>
              <w14:srgbClr w14:val="7F7F7F">
                <w14:lumMod w14:val="50000"/>
                <w14:lumOff w14:val="50000"/>
              </w14:srgbClr>
            </w14:solidFill>
          </w14:textFill>
        </w:rPr>
      </w:pPr>
      <w:r>
        <w:t>The TNMM is applied to the entity for which reliable data and the most closely comparable transactions can be identified. It is usually the entity that is the least complex of the entities involved in the controlled transaction and that does not own valuable intangible property or unique assets.</w:t>
      </w:r>
    </w:p>
    <w:p w14:paraId="159ED0EE" w14:textId="77777777" w:rsidR="0018078F" w:rsidRPr="00CD63DC" w:rsidRDefault="00361F29">
      <w:pPr>
        <w:rPr>
          <w:rFonts w:eastAsia="YouYuan"/>
          <w:color w:val="7F7F7F"/>
          <w14:textFill>
            <w14:solidFill>
              <w14:srgbClr w14:val="7F7F7F">
                <w14:lumMod w14:val="50000"/>
                <w14:lumOff w14:val="50000"/>
              </w14:srgbClr>
            </w14:solidFill>
          </w14:textFill>
        </w:rPr>
      </w:pPr>
      <w:proofErr w:type="gramStart"/>
      <w:proofErr w:type="gramEnd"/>
      <w:proofErr w:type="gramStart"/>
      <w:proofErr w:type="gramEnd"/>
      <w:r>
        <w:t>To be applied reliably, the TNMM must be applied in a manner consistent with the manner in which the RPM or CP method would be applied. In particular, comparability under the TNMM is primarily dependent upon the similarity of capital invested and risks assumed by the controlled parties with respect to their activities. Under the TNMM, comparable companies need only be broadly similar and significant product diversity and some functional diversity between the controlled and uncontrolled parties is acceptable.</w:t>
      </w:r>
    </w:p>
    <w:p w14:paraId="08C1F1D6" w14:textId="77777777" w:rsidR="0018078F" w:rsidRPr="00CD63DC" w:rsidRDefault="00361F29">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118" w:name="_Toc116411357"/>
      <w:bookmarkStart w:id="119" w:name="_Toc203039406"/>
      <w:bookmarkEnd w:id="118"/>
      <w:bookmarkEnd w:id="119"/>
      <w:r>
        <w:t>Application of TP methods</w:t>
      </w:r>
    </w:p>
    <w:p w14:paraId="13675B23" w14:textId="1E1D4694" w:rsidR="0018078F" w:rsidRPr="00CD63DC" w:rsidRDefault="00361F29">
      <w:pPr>
        <w:autoSpaceDE w:val="0"/>
        <w:autoSpaceDN w:val="0"/>
        <w:adjustRightInd w:val="0"/>
        <w:rPr>
          <w:rFonts w:eastAsia="YouYuan"/>
          <w:color w:val="7F7F7F"/>
          <w14:textFill>
            <w14:solidFill>
              <w14:srgbClr w14:val="7F7F7F">
                <w14:lumMod w14:val="50000"/>
                <w14:lumOff w14:val="50000"/>
              </w14:srgbClr>
            </w14:solidFill>
          </w14:textFill>
        </w:rPr>
      </w:pPr>
      <w:proofErr w:type="spellStart"/>
      <w:proofErr w:type="spellEnd"/>
      <w:proofErr w:type="gramStart"/>
      <w:proofErr w:type="gramEnd"/>
      <w:r>
        <w:t>For the reasons previously stated, the TNMM is considered the most appropriate method to test the arm’s length nature of distribution activities performed by SofarSolar Netherlands B.V. . For applying the TNMM, the following steps should be completed:</w:t>
      </w:r>
    </w:p>
    <w:p w14:paraId="7F20109F" w14:textId="77777777" w:rsidR="0018078F" w:rsidRPr="00CD63DC" w:rsidRDefault="00361F29">
      <w:pPr>
        <w:numPr>
          <w:ilvl w:val="0"/>
          <w:numId w:val="10"/>
        </w:numPr>
        <w:autoSpaceDE w:val="0"/>
        <w:autoSpaceDN w:val="0"/>
        <w:adjustRightInd w:val="0"/>
        <w:rPr>
          <w:rFonts w:eastAsia="YouYuan"/>
          <w:iCs/>
          <w:color w:val="7F7F7F"/>
          <w14:textFill>
            <w14:solidFill>
              <w14:srgbClr w14:val="7F7F7F">
                <w14:lumMod w14:val="50000"/>
                <w14:lumOff w14:val="50000"/>
              </w14:srgbClr>
            </w14:solidFill>
          </w14:textFill>
        </w:rPr>
      </w:pPr>
      <w:proofErr w:type="gramStart"/>
      <w:proofErr w:type="gramEnd"/>
      <w:r>
        <w:t>Select a tested party;</w:t>
      </w:r>
    </w:p>
    <w:p w14:paraId="0C2AABD6" w14:textId="77777777" w:rsidR="0018078F" w:rsidRPr="00CD63DC" w:rsidRDefault="00361F29">
      <w:pPr>
        <w:numPr>
          <w:ilvl w:val="0"/>
          <w:numId w:val="10"/>
        </w:numPr>
        <w:autoSpaceDE w:val="0"/>
        <w:autoSpaceDN w:val="0"/>
        <w:adjustRightInd w:val="0"/>
        <w:rPr>
          <w:rFonts w:eastAsia="YouYuan"/>
          <w:iCs/>
          <w:color w:val="7F7F7F"/>
          <w14:textFill>
            <w14:solidFill>
              <w14:srgbClr w14:val="7F7F7F">
                <w14:lumMod w14:val="50000"/>
                <w14:lumOff w14:val="50000"/>
              </w14:srgbClr>
            </w14:solidFill>
          </w14:textFill>
        </w:rPr>
      </w:pPr>
      <w:proofErr w:type="gramStart"/>
      <w:proofErr w:type="gramEnd"/>
      <w:r>
        <w:t>Select a profit level indicator;</w:t>
      </w:r>
    </w:p>
    <w:p w14:paraId="5C0EDED2" w14:textId="77777777" w:rsidR="0018078F" w:rsidRPr="00CD63DC" w:rsidRDefault="00361F29">
      <w:pPr>
        <w:numPr>
          <w:ilvl w:val="0"/>
          <w:numId w:val="10"/>
        </w:numPr>
        <w:autoSpaceDE w:val="0"/>
        <w:autoSpaceDN w:val="0"/>
        <w:adjustRightInd w:val="0"/>
        <w:rPr>
          <w:rFonts w:eastAsia="YouYuan"/>
          <w:iCs/>
          <w:color w:val="7F7F7F"/>
          <w14:textFill>
            <w14:solidFill>
              <w14:srgbClr w14:val="7F7F7F">
                <w14:lumMod w14:val="50000"/>
                <w14:lumOff w14:val="50000"/>
              </w14:srgbClr>
            </w14:solidFill>
          </w14:textFill>
        </w:rPr>
      </w:pPr>
      <w:proofErr w:type="gramStart"/>
      <w:proofErr w:type="gramEnd"/>
      <w:r>
        <w:t>Perform a comparability study (i.e., search for comparable companies and select a PLI);</w:t>
      </w:r>
    </w:p>
    <w:p w14:paraId="41871354" w14:textId="77777777" w:rsidR="0018078F" w:rsidRPr="00CD63DC" w:rsidRDefault="00361F29">
      <w:pPr>
        <w:numPr>
          <w:ilvl w:val="0"/>
          <w:numId w:val="10"/>
        </w:numPr>
        <w:autoSpaceDE w:val="0"/>
        <w:autoSpaceDN w:val="0"/>
        <w:adjustRightInd w:val="0"/>
        <w:rPr>
          <w:rFonts w:eastAsia="YouYuan"/>
          <w:iCs/>
          <w:color w:val="7F7F7F"/>
          <w14:textFill>
            <w14:solidFill>
              <w14:srgbClr w14:val="7F7F7F">
                <w14:lumMod w14:val="50000"/>
                <w14:lumOff w14:val="50000"/>
              </w14:srgbClr>
            </w14:solidFill>
          </w14:textFill>
        </w:rPr>
      </w:pPr>
      <w:r>
        <w:t>Construct a range of arm's length results; and</w:t>
      </w:r>
    </w:p>
    <w:p w14:paraId="75FD4CB6" w14:textId="77777777" w:rsidR="0018078F" w:rsidRPr="00CD63DC" w:rsidRDefault="00361F29">
      <w:pPr>
        <w:numPr>
          <w:ilvl w:val="0"/>
          <w:numId w:val="10"/>
        </w:numPr>
        <w:autoSpaceDE w:val="0"/>
        <w:autoSpaceDN w:val="0"/>
        <w:adjustRightInd w:val="0"/>
        <w:rPr>
          <w:rFonts w:eastAsia="YouYuan"/>
          <w:iCs/>
          <w:color w:val="7F7F7F"/>
          <w14:textFill>
            <w14:solidFill>
              <w14:srgbClr w14:val="7F7F7F">
                <w14:lumMod w14:val="50000"/>
                <w14:lumOff w14:val="50000"/>
              </w14:srgbClr>
            </w14:solidFill>
          </w14:textFill>
        </w:rPr>
      </w:pPr>
      <w:r>
        <w:t xml:space="preserve">Compare the tested party's measure of operating profit to the arm's length range. </w:t>
      </w:r>
    </w:p>
    <w:p w14:paraId="1174E219" w14:textId="77777777" w:rsidR="0018078F" w:rsidRPr="00CD63DC" w:rsidRDefault="00361F29">
      <w:pPr>
        <w:pStyle w:val="Heading3"/>
        <w:keepNext w:val="0"/>
        <w:numPr>
          <w:ilvl w:val="2"/>
          <w:numId w:val="9"/>
        </w:numPr>
        <w:tabs>
          <w:tab w:val="left" w:pos="1134"/>
        </w:tabs>
        <w:autoSpaceDE w:val="0"/>
        <w:autoSpaceDN w:val="0"/>
        <w:adjustRightInd w:val="0"/>
        <w:spacing w:line="276" w:lineRule="auto"/>
        <w:ind w:left="1134" w:hanging="1134"/>
        <w:rPr>
          <w:rFonts w:eastAsiaTheme="minorHAnsi"/>
          <w:bCs/>
          <w:color w:val="3F9C35"/>
          <w14:textFill>
            <w14:solidFill>
              <w14:srgbClr w14:val="3F9C35">
                <w14:lumMod w14:val="50000"/>
                <w14:lumOff w14:val="50000"/>
              </w14:srgbClr>
            </w14:solidFill>
          </w14:textFill>
        </w:rPr>
      </w:pPr>
      <w:r>
        <w:t>Selection of a tested party</w:t>
      </w:r>
    </w:p>
    <w:p w14:paraId="4C1295D9" w14:textId="3C33B765" w:rsidR="0018078F" w:rsidRPr="00CD63DC" w:rsidRDefault="00232B60">
      <w:pPr>
        <w:autoSpaceDE w:val="0"/>
        <w:autoSpaceDN w:val="0"/>
        <w:adjustRightInd w:val="0"/>
        <w:rPr>
          <w:rFonts w:eastAsia="YouYuan"/>
          <w:color w:val="7F7F7F"/>
          <w14:textFill>
            <w14:solidFill>
              <w14:srgbClr w14:val="7F7F7F">
                <w14:lumMod w14:val="50000"/>
                <w14:lumOff w14:val="50000"/>
              </w14:srgbClr>
            </w14:solidFill>
          </w14:textFill>
        </w:rPr>
      </w:pPr>
      <w:proofErr w:type="spellStart"/>
      <w:proofErr w:type="spellEnd"/>
      <w:proofErr w:type="gramStart"/>
      <w:proofErr w:type="gramEnd"/>
      <w:proofErr w:type="spellStart"/>
      <w:proofErr w:type="spellEnd"/>
      <w:proofErr w:type="gramStart"/>
      <w:proofErr w:type="gramEnd"/>
      <w:proofErr w:type="spellStart"/>
      <w:proofErr w:type="spellEnd"/>
      <w:proofErr w:type="gramStart"/>
      <w:proofErr w:type="gramEnd"/>
      <w:proofErr w:type="gramStart"/>
      <w:proofErr w:type="gramEnd"/>
      <w:proofErr w:type="spellStart"/>
      <w:proofErr w:type="spellEnd"/>
      <w:r>
        <w:t>SofarSolar Netherlands B.V.  has been selected as a tested party for the purpose of testing the re-invoicing activities performed. SofarSolar Netherlands B.V.  is the party that has the less complex functional profile in relation to the transaction. This is because SofarSolar Netherlands B.V.  performs less complex functions when compared to Shenzhen SofarSolar Co. Ltd.  and does not make any valuable, unique contribution in relation to activities performed.</w:t>
      </w:r>
    </w:p>
    <w:p w14:paraId="000B8B97" w14:textId="77777777" w:rsidR="0018078F" w:rsidRPr="00CD63DC" w:rsidRDefault="00361F29">
      <w:pPr>
        <w:pStyle w:val="Heading3"/>
        <w:keepNext w:val="0"/>
        <w:numPr>
          <w:ilvl w:val="2"/>
          <w:numId w:val="9"/>
        </w:numPr>
        <w:tabs>
          <w:tab w:val="left" w:pos="1134"/>
        </w:tabs>
        <w:autoSpaceDE w:val="0"/>
        <w:autoSpaceDN w:val="0"/>
        <w:adjustRightInd w:val="0"/>
        <w:spacing w:line="276" w:lineRule="auto"/>
        <w:ind w:left="1134" w:hanging="1134"/>
        <w:rPr>
          <w:rFonts w:eastAsiaTheme="minorHAnsi"/>
          <w:bCs/>
          <w:color w:val="3F9C35"/>
          <w14:textFill>
            <w14:solidFill>
              <w14:srgbClr w14:val="3F9C35">
                <w14:lumMod w14:val="50000"/>
                <w14:lumOff w14:val="50000"/>
              </w14:srgbClr>
            </w14:solidFill>
          </w14:textFill>
        </w:rPr>
      </w:pPr>
      <w:r>
        <w:t>Selection of a profit level indicator</w:t>
      </w:r>
    </w:p>
    <w:p w14:paraId="55F6C698" w14:textId="0B93B0BA" w:rsidR="0018078F" w:rsidRPr="00CD63DC" w:rsidRDefault="00361F29">
      <w:pPr>
        <w:autoSpaceDE w:val="0"/>
        <w:autoSpaceDN w:val="0"/>
        <w:adjustRightInd w:val="0"/>
        <w:rPr>
          <w:rFonts w:eastAsia="YouYuan"/>
          <w:color w:val="7F7F7F"/>
          <w14:textFill>
            <w14:solidFill>
              <w14:srgbClr w14:val="7F7F7F">
                <w14:lumMod w14:val="50000"/>
                <w14:lumOff w14:val="50000"/>
              </w14:srgbClr>
            </w14:solidFill>
          </w14:textFill>
        </w:rPr>
      </w:pPr>
      <w:proofErr w:type="spellStart"/>
      <w:proofErr w:type="spellEnd"/>
      <w:proofErr w:type="gramStart"/>
      <w:proofErr w:type="gramEnd"/>
      <w:r>
        <w:t xml:space="preserve">Under the TNMM, the net profit margin is measured by use of an appropriate PLI such as the ratio of operating profits to sales, the ratio of gross profit to operating costs, or the rate of return on capital employed or return on assets, and finally in some designated cases the mark-up on total costs. Following the identification of the TNMM as an appropriate TP method, the mark-up on total costs was identified as the most appropriate PLI to provide a reliable measure of the arm’s length remuneration for the distribution activities of SofarSolar Netherlands B.V. . </w:t>
      </w:r>
    </w:p>
    <w:p w14:paraId="294EF7D7" w14:textId="77777777" w:rsidR="0018078F" w:rsidRPr="00CD63DC" w:rsidRDefault="00361F29">
      <w:pPr>
        <w:autoSpaceDE w:val="0"/>
        <w:autoSpaceDN w:val="0"/>
        <w:adjustRightInd w:val="0"/>
        <w:rPr>
          <w:rFonts w:eastAsia="YouYuan"/>
          <w:color w:val="7F7F7F"/>
          <w14:textFill>
            <w14:solidFill>
              <w14:srgbClr w14:val="7F7F7F">
                <w14:lumMod w14:val="50000"/>
                <w14:lumOff w14:val="50000"/>
              </w14:srgbClr>
            </w14:solidFill>
          </w14:textFill>
        </w:rPr>
      </w:pPr>
      <w:r>
        <w:t xml:space="preserve">This PLI is calculated by dividing the net operating profit or earnings before tax by revenue. The operating profit is relatively objective and consistently calculated among accounting systems, and it is a frequently used measure and can be calculated from publicly available data. A mark-up on total costs refers to an additional amount added to the actual costs incurred by a business to cover its operational activities. This mark-up is intended to ensure that the intermediary or service provider earns a profit over and above their costs. </w:t>
      </w:r>
    </w:p>
    <w:p w14:paraId="5586AA54" w14:textId="77777777" w:rsidR="0018078F" w:rsidRPr="00CD63DC" w:rsidRDefault="00361F29">
      <w:pPr>
        <w:pStyle w:val="Heading3"/>
        <w:keepNext w:val="0"/>
        <w:numPr>
          <w:ilvl w:val="2"/>
          <w:numId w:val="9"/>
        </w:numPr>
        <w:tabs>
          <w:tab w:val="left" w:pos="1134"/>
        </w:tabs>
        <w:autoSpaceDE w:val="0"/>
        <w:autoSpaceDN w:val="0"/>
        <w:adjustRightInd w:val="0"/>
        <w:spacing w:line="276" w:lineRule="auto"/>
        <w:ind w:left="1134" w:hanging="1134"/>
        <w:rPr>
          <w:rFonts w:eastAsiaTheme="minorHAnsi"/>
          <w:bCs/>
          <w:color w:val="3F9C35"/>
          <w14:textFill>
            <w14:solidFill>
              <w14:srgbClr w14:val="3F9C35">
                <w14:lumMod w14:val="50000"/>
                <w14:lumOff w14:val="50000"/>
              </w14:srgbClr>
            </w14:solidFill>
          </w14:textFill>
        </w:rPr>
      </w:pPr>
      <w:r>
        <w:t>Comparability study</w:t>
      </w:r>
    </w:p>
    <w:p w14:paraId="2A412D56" w14:textId="70BC5B6C" w:rsidR="0018078F" w:rsidRPr="00CD63DC" w:rsidRDefault="00361F29">
      <w:pPr>
        <w:autoSpaceDE w:val="0"/>
        <w:autoSpaceDN w:val="0"/>
        <w:adjustRightInd w:val="0"/>
        <w:rPr>
          <w:rFonts w:eastAsia="YouYuan"/>
          <w:color w:val="7F7F7F"/>
          <w14:textFill>
            <w14:solidFill>
              <w14:srgbClr w14:val="7F7F7F">
                <w14:lumMod w14:val="50000"/>
                <w14:lumOff w14:val="50000"/>
              </w14:srgbClr>
            </w14:solidFill>
          </w14:textFill>
        </w:rPr>
      </w:pPr>
      <w:proofErr w:type="spellStart"/>
      <w:proofErr w:type="spellEnd"/>
      <w:proofErr w:type="spellStart"/>
      <w:proofErr w:type="spellEnd"/>
      <w:proofErr w:type="gramStart"/>
      <w:proofErr w:type="gramEnd"/>
      <w:proofErr w:type="spellStart"/>
      <w:proofErr w:type="spellEnd"/>
      <w:proofErr w:type="gramStart"/>
      <w:proofErr w:type="gramEnd"/>
      <w:proofErr w:type="spellStart"/>
      <w:proofErr w:type="spellEnd"/>
      <w:r>
        <w:t xml:space="preserve">A search for comparables to assess the arm’s length remuneration for the distribution activities performed by SofarSolar Netherlands B.V.   was conducted. The comparables search performed aimed to identify a sufficient number of comparable companies, which therefore implied to broaden the search process as much as possible when conducting the quantitative screening process. The qualitative screening of each of the comparables search led to reject all companies considered not comparable to the tested party based on their activities. A report documenting this search is attached in Appendix VI to this Local File. </w:t>
      </w:r>
    </w:p>
    <w:p w14:paraId="21750766" w14:textId="77777777" w:rsidR="0018078F" w:rsidRPr="00CD63DC" w:rsidRDefault="00361F29">
      <w:pPr>
        <w:pStyle w:val="Heading3"/>
        <w:keepNext w:val="0"/>
        <w:numPr>
          <w:ilvl w:val="2"/>
          <w:numId w:val="9"/>
        </w:numPr>
        <w:tabs>
          <w:tab w:val="left" w:pos="1134"/>
        </w:tabs>
        <w:autoSpaceDE w:val="0"/>
        <w:autoSpaceDN w:val="0"/>
        <w:adjustRightInd w:val="0"/>
        <w:spacing w:line="276" w:lineRule="auto"/>
        <w:ind w:left="1134" w:hanging="1134"/>
        <w:rPr>
          <w:rFonts w:eastAsiaTheme="minorHAnsi"/>
          <w:bCs/>
          <w:color w:val="3F9C35"/>
          <w14:textFill>
            <w14:solidFill>
              <w14:srgbClr w14:val="3F9C35">
                <w14:lumMod w14:val="50000"/>
                <w14:lumOff w14:val="50000"/>
              </w14:srgbClr>
            </w14:solidFill>
          </w14:textFill>
        </w:rPr>
      </w:pPr>
      <w:r>
        <w:t>Arm’s length range</w:t>
      </w:r>
    </w:p>
    <w:p w14:paraId="21A98EA7" w14:textId="77777777" w:rsidR="0018078F" w:rsidRPr="00CD63DC" w:rsidRDefault="00361F29">
      <w:pPr>
        <w:autoSpaceDE w:val="0"/>
        <w:autoSpaceDN w:val="0"/>
        <w:adjustRightInd w:val="0"/>
        <w:rPr>
          <w:rFonts w:eastAsia="YouYuan"/>
          <w:color w:val="7F7F7F"/>
          <w14:textFill>
            <w14:solidFill>
              <w14:srgbClr w14:val="7F7F7F">
                <w14:lumMod w14:val="50000"/>
                <w14:lumOff w14:val="50000"/>
              </w14:srgbClr>
            </w14:solidFill>
          </w14:textFill>
        </w:rPr>
      </w:pPr>
      <w:r>
        <w:t>As a result of the search performed to identify the arm’s length range of results for similar activities, a comparable set of 34 companies was identified. As described above, to assess the arm’s length remuneration for the distribution activities, the mark-up on total costs was used as a PLI.</w:t>
      </w:r>
    </w:p>
    <w:p w14:paraId="00D251CC" w14:textId="77777777" w:rsidR="0018078F" w:rsidRPr="00CD63DC" w:rsidRDefault="00361F29">
      <w:pPr>
        <w:autoSpaceDE w:val="0"/>
        <w:autoSpaceDN w:val="0"/>
        <w:adjustRightInd w:val="0"/>
        <w:rPr>
          <w:rFonts w:eastAsia="YouYuan"/>
          <w:color w:val="7F7F7F"/>
          <w14:textFill>
            <w14:solidFill>
              <w14:srgbClr w14:val="7F7F7F">
                <w14:lumMod w14:val="50000"/>
                <w14:lumOff w14:val="50000"/>
              </w14:srgbClr>
            </w14:solidFill>
          </w14:textFill>
        </w:rPr>
      </w:pPr>
      <w:r>
        <w:t xml:space="preserve">Because levels of profitability for different companies within an industry sample will vary, summary statistics indicating a "typical" or expected level of profitability for each sample are calculated. Further, the OECD Guidelines recommend the calculation and application of a range to increase the reliability of the outcome of the sample. They also advocate the use of multiple year data analysis. Consequently, the financial ratios for the years for which data was available (i.e., 2021-2023) were calculated and used for application of the average method described above for the sample of independent companies. Moreover, there were calculated the full and the interquartile ranges (i.e., the 25th to the 75th percentile) of a sample’s observations and the median for the final sample of comparable companies of each of the searches performed. </w:t>
      </w:r>
    </w:p>
    <w:p w14:paraId="1F98AA45" w14:textId="4587DCDC" w:rsidR="0018078F" w:rsidRPr="00CD63DC" w:rsidRDefault="00361F29">
      <w:pPr>
        <w:autoSpaceDE w:val="0"/>
        <w:autoSpaceDN w:val="0"/>
        <w:adjustRightInd w:val="0"/>
        <w:rPr>
          <w:rFonts w:eastAsia="YouYuan"/>
          <w:color w:val="7F7F7F"/>
          <w14:textFill>
            <w14:solidFill>
              <w14:srgbClr w14:val="7F7F7F">
                <w14:lumMod w14:val="50000"/>
                <w14:lumOff w14:val="50000"/>
              </w14:srgbClr>
            </w14:solidFill>
          </w14:textFill>
        </w:rPr>
      </w:pPr>
      <w:proofErr w:type="spellStart"/>
      <w:proofErr w:type="spellEnd"/>
      <w:r>
        <w:t>A range of mark-up on total costs achieved by companies engaged in comparable activities to those undertaken by SofarSolar Netherlands B.V. over the 2021-2023 three-year period is summarised in the following table.</w:t>
      </w:r>
    </w:p>
    <w:p w14:paraId="3EC8E485" w14:textId="77777777" w:rsidR="0018078F" w:rsidRPr="00CD63DC" w:rsidRDefault="00361F29">
      <w:pPr>
        <w:keepNext/>
        <w:autoSpaceDE w:val="0"/>
        <w:autoSpaceDN w:val="0"/>
        <w:adjustRightInd w:val="0"/>
        <w:rPr>
          <w:rFonts w:eastAsia="Century Gothic" w:cs="Prelo-Light"/>
          <w:b/>
          <w:bCs/>
          <w:color w:val="3F9C35"/>
          <w:szCs w:val="18"/>
          <w:lang w:val="en-US"/>
          <w14:textFill>
            <w14:solidFill>
              <w14:srgbClr w14:val="3F9C35">
                <w14:lumMod w14:val="50000"/>
                <w14:lumOff w14:val="50000"/>
              </w14:srgbClr>
            </w14:solidFill>
          </w14:textFill>
        </w:rPr>
      </w:pPr>
      <w:r>
        <w:t>Table 4. MOTCs over a three-year period and weighted average</w:t>
      </w:r>
    </w:p>
    <w:tbl>
      <w:tblPr>
        <w:tblStyle w:val="Style21"/>
        <w:tblW w:w="9085" w:type="dxa"/>
        <w:tblBorders>
          <w:top w:val="dotted" w:sz="4" w:space="0" w:color="009CDE"/>
          <w:left w:val="dotted" w:sz="4" w:space="0" w:color="009CDE"/>
          <w:bottom w:val="dotted" w:sz="4" w:space="0" w:color="009CDE"/>
          <w:right w:val="dotted" w:sz="4" w:space="0" w:color="009CDE"/>
          <w:insideH w:val="dotted" w:sz="4" w:space="0" w:color="009CDE"/>
          <w:insideV w:val="dotted" w:sz="4" w:space="0" w:color="009CDE"/>
        </w:tblBorders>
        <w:tblLook w:val="04A0" w:firstRow="1" w:lastRow="0" w:firstColumn="1" w:lastColumn="0" w:noHBand="0" w:noVBand="1"/>
      </w:tblPr>
      <w:tblGrid>
        <w:gridCol w:w="2155"/>
        <w:gridCol w:w="1680"/>
        <w:gridCol w:w="1680"/>
        <w:gridCol w:w="1680"/>
        <w:gridCol w:w="1890"/>
      </w:tblGrid>
      <w:tr w:rsidR="0018078F" w:rsidRPr="00CD63DC" w14:paraId="3BC7D5B3" w14:textId="77777777" w:rsidTr="0018078F">
        <w:trPr>
          <w:cnfStyle w:val="100000000000" w:firstRow="1" w:lastRow="0" w:firstColumn="0" w:lastColumn="0" w:oddVBand="0" w:evenVBand="0" w:oddHBand="0"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155" w:type="dxa"/>
          </w:tcPr>
          <w:p w14:paraId="3BF3A449" w14:textId="77777777" w:rsidR="0018078F" w:rsidRPr="00CD63DC" w:rsidRDefault="0018078F">
            <w:pPr>
              <w:autoSpaceDE w:val="0"/>
              <w:autoSpaceDN w:val="0"/>
              <w:adjustRightInd w:val="0"/>
              <w:rPr>
                <w:rFonts w:eastAsia="Century Gothic" w:cs="Prelo-Light"/>
                <w:b w:val="0"/>
                <w:bCs/>
                <w:color w:val="FFFFFF"/>
                <w14:textFill>
                  <w14:solidFill>
                    <w14:srgbClr w14:val="FFFFFF">
                      <w14:lumMod w14:val="50000"/>
                      <w14:lumOff w14:val="50000"/>
                    </w14:srgbClr>
                  </w14:solidFill>
                </w14:textFill>
              </w:rPr>
            </w:pPr>
            <w:r/>
          </w:p>
        </w:tc>
        <w:tc>
          <w:tcPr>
            <w:tcW w:w="1680" w:type="dxa"/>
          </w:tcPr>
          <w:p w14:paraId="0CF25E23" w14:textId="77777777" w:rsidR="0018078F" w:rsidRPr="00CD63DC" w:rsidRDefault="00361F2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Century Gothic" w:cs="Prelo-Light"/>
                <w:b w:val="0"/>
                <w:bCs/>
                <w:color w:val="FFFFFF"/>
                <w14:textFill>
                  <w14:solidFill>
                    <w14:srgbClr w14:val="FFFFFF">
                      <w14:lumMod w14:val="50000"/>
                      <w14:lumOff w14:val="50000"/>
                    </w14:srgbClr>
                  </w14:solidFill>
                </w14:textFill>
              </w:rPr>
            </w:pPr>
            <w:proofErr w:type="spellStart"/>
            <w:proofErr w:type="spellEnd"/>
            <w:r>
              <w:t>MOtC 2021</w:t>
            </w:r>
          </w:p>
        </w:tc>
        <w:tc>
          <w:tcPr>
            <w:tcW w:w="1680" w:type="dxa"/>
          </w:tcPr>
          <w:p w14:paraId="4912217B" w14:textId="77777777" w:rsidR="0018078F" w:rsidRPr="00CD63DC" w:rsidRDefault="00361F2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Century Gothic" w:cs="Prelo-Light"/>
                <w:b w:val="0"/>
                <w:bCs/>
                <w:color w:val="FFFFFF"/>
                <w14:textFill>
                  <w14:solidFill>
                    <w14:srgbClr w14:val="FFFFFF">
                      <w14:lumMod w14:val="50000"/>
                      <w14:lumOff w14:val="50000"/>
                    </w14:srgbClr>
                  </w14:solidFill>
                </w14:textFill>
              </w:rPr>
            </w:pPr>
            <w:r>
              <w:t>MOTC 2022</w:t>
            </w:r>
          </w:p>
        </w:tc>
        <w:tc>
          <w:tcPr>
            <w:tcW w:w="1680" w:type="dxa"/>
          </w:tcPr>
          <w:p w14:paraId="579B516F" w14:textId="77777777" w:rsidR="0018078F" w:rsidRPr="00CD63DC" w:rsidRDefault="00361F2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Century Gothic" w:cs="Prelo-Light"/>
                <w:b w:val="0"/>
                <w:bCs/>
                <w:color w:val="FFFFFF"/>
                <w14:textFill>
                  <w14:solidFill>
                    <w14:srgbClr w14:val="FFFFFF">
                      <w14:lumMod w14:val="50000"/>
                      <w14:lumOff w14:val="50000"/>
                    </w14:srgbClr>
                  </w14:solidFill>
                </w14:textFill>
              </w:rPr>
            </w:pPr>
            <w:r>
              <w:t>MOTC 2023</w:t>
            </w:r>
          </w:p>
        </w:tc>
        <w:tc>
          <w:tcPr>
            <w:tcW w:w="1890" w:type="dxa"/>
          </w:tcPr>
          <w:p w14:paraId="7C9002C9" w14:textId="77777777" w:rsidR="0018078F" w:rsidRPr="00CD63DC" w:rsidRDefault="00361F2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Century Gothic" w:cs="Prelo-Light"/>
                <w:b w:val="0"/>
                <w:bCs/>
                <w:color w:val="FFFFFF"/>
                <w14:textFill>
                  <w14:solidFill>
                    <w14:srgbClr w14:val="FFFFFF">
                      <w14:lumMod w14:val="50000"/>
                      <w14:lumOff w14:val="50000"/>
                    </w14:srgbClr>
                  </w14:solidFill>
                </w14:textFill>
              </w:rPr>
            </w:pPr>
            <w:r>
              <w:t>Weighted Average Markup on total costs (2021 – 2023)</w:t>
            </w:r>
          </w:p>
        </w:tc>
      </w:tr>
      <w:tr w:rsidR="0018078F" w:rsidRPr="00CD63DC" w14:paraId="173BE7F6" w14:textId="77777777" w:rsidTr="0018078F">
        <w:trPr>
          <w:trHeight w:val="317"/>
        </w:trPr>
        <w:tc>
          <w:tcPr>
            <w:cnfStyle w:val="001000000000" w:firstRow="0" w:lastRow="0" w:firstColumn="1" w:lastColumn="0" w:oddVBand="0" w:evenVBand="0" w:oddHBand="0" w:evenHBand="0" w:firstRowFirstColumn="0" w:firstRowLastColumn="0" w:lastRowFirstColumn="0" w:lastRowLastColumn="0"/>
            <w:tcW w:w="2155" w:type="dxa"/>
          </w:tcPr>
          <w:p w14:paraId="7C5E1774" w14:textId="77777777" w:rsidR="0018078F" w:rsidRPr="00CD63DC" w:rsidRDefault="00361F29">
            <w:pPr>
              <w:autoSpaceDE w:val="0"/>
              <w:autoSpaceDN w:val="0"/>
              <w:adjustRightInd w:val="0"/>
              <w:rPr>
                <w:rFonts w:eastAsia="Century Gothic" w:cs="Prelo-Light"/>
                <w:b w:val="0"/>
                <w:bCs/>
              </w:rPr>
            </w:pPr>
            <w:r>
              <w:t>Minimum</w:t>
            </w:r>
          </w:p>
        </w:tc>
        <w:tc>
          <w:tcPr>
            <w:tcW w:w="1680" w:type="dxa"/>
            <w:vAlign w:val="top"/>
          </w:tcPr>
          <w:p w14:paraId="40B6BEC4"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color w:val="63666A"/>
                <w14:textFill>
                  <w14:solidFill>
                    <w14:srgbClr w14:val="63666A">
                      <w14:lumMod w14:val="50000"/>
                      <w14:lumOff w14:val="50000"/>
                    </w14:srgbClr>
                  </w14:solidFill>
                </w14:textFill>
              </w:rPr>
            </w:pPr>
            <w:r>
              <w:t>-24.13%</w:t>
            </w:r>
          </w:p>
        </w:tc>
        <w:tc>
          <w:tcPr>
            <w:tcW w:w="1680" w:type="dxa"/>
            <w:vAlign w:val="top"/>
          </w:tcPr>
          <w:p w14:paraId="3DC14855"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color w:val="63666A"/>
                <w14:textFill>
                  <w14:solidFill>
                    <w14:srgbClr w14:val="63666A">
                      <w14:lumMod w14:val="50000"/>
                      <w14:lumOff w14:val="50000"/>
                    </w14:srgbClr>
                  </w14:solidFill>
                </w14:textFill>
              </w:rPr>
            </w:pPr>
            <w:r>
              <w:t>-13.91%</w:t>
            </w:r>
          </w:p>
        </w:tc>
        <w:tc>
          <w:tcPr>
            <w:tcW w:w="1680" w:type="dxa"/>
            <w:vAlign w:val="top"/>
          </w:tcPr>
          <w:p w14:paraId="3B00CAA2"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color w:val="63666A"/>
                <w14:textFill>
                  <w14:solidFill>
                    <w14:srgbClr w14:val="63666A">
                      <w14:lumMod w14:val="50000"/>
                      <w14:lumOff w14:val="50000"/>
                    </w14:srgbClr>
                  </w14:solidFill>
                </w14:textFill>
              </w:rPr>
            </w:pPr>
            <w:r>
              <w:t>-10.18%</w:t>
            </w:r>
          </w:p>
        </w:tc>
        <w:tc>
          <w:tcPr>
            <w:tcW w:w="1890" w:type="dxa"/>
            <w:vAlign w:val="top"/>
          </w:tcPr>
          <w:p w14:paraId="286A75F4"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color w:val="63666A"/>
                <w14:textFill>
                  <w14:solidFill>
                    <w14:srgbClr w14:val="63666A">
                      <w14:lumMod w14:val="50000"/>
                      <w14:lumOff w14:val="50000"/>
                    </w14:srgbClr>
                  </w14:solidFill>
                </w14:textFill>
              </w:rPr>
            </w:pPr>
            <w:r>
              <w:t>-1.85%</w:t>
            </w:r>
          </w:p>
        </w:tc>
      </w:tr>
      <w:tr w:rsidR="0018078F" w:rsidRPr="00CD63DC" w14:paraId="68B15067" w14:textId="77777777" w:rsidTr="0018078F">
        <w:trPr>
          <w:trHeight w:val="317"/>
        </w:trPr>
        <w:tc>
          <w:tcPr>
            <w:cnfStyle w:val="001000000000" w:firstRow="0" w:lastRow="0" w:firstColumn="1" w:lastColumn="0" w:oddVBand="0" w:evenVBand="0" w:oddHBand="0" w:evenHBand="0" w:firstRowFirstColumn="0" w:firstRowLastColumn="0" w:lastRowFirstColumn="0" w:lastRowLastColumn="0"/>
            <w:tcW w:w="2155" w:type="dxa"/>
          </w:tcPr>
          <w:p w14:paraId="703E856E" w14:textId="77777777" w:rsidR="0018078F" w:rsidRPr="00CD63DC" w:rsidRDefault="00361F29">
            <w:pPr>
              <w:autoSpaceDE w:val="0"/>
              <w:autoSpaceDN w:val="0"/>
              <w:adjustRightInd w:val="0"/>
              <w:rPr>
                <w:rFonts w:eastAsia="Century Gothic" w:cs="Prelo-Light"/>
                <w:b w:val="0"/>
              </w:rPr>
            </w:pPr>
            <w:r>
              <w:t>Lower quartile</w:t>
            </w:r>
          </w:p>
        </w:tc>
        <w:tc>
          <w:tcPr>
            <w:tcW w:w="1680" w:type="dxa"/>
            <w:vAlign w:val="top"/>
          </w:tcPr>
          <w:p w14:paraId="2991CE97"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b/>
                <w:bCs/>
                <w:color w:val="63666A"/>
                <w14:textFill>
                  <w14:solidFill>
                    <w14:srgbClr w14:val="63666A">
                      <w14:lumMod w14:val="50000"/>
                      <w14:lumOff w14:val="50000"/>
                    </w14:srgbClr>
                  </w14:solidFill>
                </w14:textFill>
              </w:rPr>
            </w:pPr>
            <w:r>
              <w:t>0.26%</w:t>
            </w:r>
          </w:p>
        </w:tc>
        <w:tc>
          <w:tcPr>
            <w:tcW w:w="1680" w:type="dxa"/>
            <w:vAlign w:val="top"/>
          </w:tcPr>
          <w:p w14:paraId="59AF339F"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b/>
                <w:bCs/>
                <w:color w:val="63666A"/>
                <w14:textFill>
                  <w14:solidFill>
                    <w14:srgbClr w14:val="63666A">
                      <w14:lumMod w14:val="50000"/>
                      <w14:lumOff w14:val="50000"/>
                    </w14:srgbClr>
                  </w14:solidFill>
                </w14:textFill>
              </w:rPr>
            </w:pPr>
            <w:r>
              <w:t>0.96%</w:t>
            </w:r>
          </w:p>
        </w:tc>
        <w:tc>
          <w:tcPr>
            <w:tcW w:w="1680" w:type="dxa"/>
            <w:vAlign w:val="top"/>
          </w:tcPr>
          <w:p w14:paraId="315C4084"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b/>
                <w:bCs/>
                <w:color w:val="63666A"/>
                <w14:textFill>
                  <w14:solidFill>
                    <w14:srgbClr w14:val="63666A">
                      <w14:lumMod w14:val="50000"/>
                      <w14:lumOff w14:val="50000"/>
                    </w14:srgbClr>
                  </w14:solidFill>
                </w14:textFill>
              </w:rPr>
            </w:pPr>
            <w:r>
              <w:t>1.83%</w:t>
            </w:r>
          </w:p>
        </w:tc>
        <w:tc>
          <w:tcPr>
            <w:tcW w:w="1890" w:type="dxa"/>
            <w:vAlign w:val="top"/>
          </w:tcPr>
          <w:p w14:paraId="3B23D50E"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b/>
                <w:bCs/>
                <w:color w:val="63666A"/>
                <w14:textFill>
                  <w14:solidFill>
                    <w14:srgbClr w14:val="63666A">
                      <w14:lumMod w14:val="50000"/>
                      <w14:lumOff w14:val="50000"/>
                    </w14:srgbClr>
                  </w14:solidFill>
                </w14:textFill>
              </w:rPr>
            </w:pPr>
            <w:r>
              <w:t>0.96%</w:t>
            </w:r>
          </w:p>
        </w:tc>
      </w:tr>
      <w:tr w:rsidR="0018078F" w:rsidRPr="00CD63DC" w14:paraId="4B858D6D" w14:textId="77777777" w:rsidTr="0018078F">
        <w:trPr>
          <w:trHeight w:val="317"/>
        </w:trPr>
        <w:tc>
          <w:tcPr>
            <w:cnfStyle w:val="001000000000" w:firstRow="0" w:lastRow="0" w:firstColumn="1" w:lastColumn="0" w:oddVBand="0" w:evenVBand="0" w:oddHBand="0" w:evenHBand="0" w:firstRowFirstColumn="0" w:firstRowLastColumn="0" w:lastRowFirstColumn="0" w:lastRowLastColumn="0"/>
            <w:tcW w:w="2155" w:type="dxa"/>
          </w:tcPr>
          <w:p w14:paraId="756662D8" w14:textId="77777777" w:rsidR="0018078F" w:rsidRPr="00CD63DC" w:rsidRDefault="00361F29">
            <w:pPr>
              <w:autoSpaceDE w:val="0"/>
              <w:autoSpaceDN w:val="0"/>
              <w:adjustRightInd w:val="0"/>
              <w:rPr>
                <w:rFonts w:eastAsia="Century Gothic" w:cs="Prelo-Light"/>
                <w:b w:val="0"/>
              </w:rPr>
            </w:pPr>
            <w:r>
              <w:t>Median</w:t>
            </w:r>
          </w:p>
        </w:tc>
        <w:tc>
          <w:tcPr>
            <w:tcW w:w="1680" w:type="dxa"/>
            <w:vAlign w:val="top"/>
          </w:tcPr>
          <w:p w14:paraId="73EAFA18"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b/>
                <w:bCs/>
                <w:color w:val="63666A"/>
                <w14:textFill>
                  <w14:solidFill>
                    <w14:srgbClr w14:val="63666A">
                      <w14:lumMod w14:val="50000"/>
                      <w14:lumOff w14:val="50000"/>
                    </w14:srgbClr>
                  </w14:solidFill>
                </w14:textFill>
              </w:rPr>
            </w:pPr>
            <w:r>
              <w:t>1.92%</w:t>
            </w:r>
          </w:p>
        </w:tc>
        <w:tc>
          <w:tcPr>
            <w:tcW w:w="1680" w:type="dxa"/>
            <w:vAlign w:val="top"/>
          </w:tcPr>
          <w:p w14:paraId="18894DDA"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b/>
                <w:bCs/>
                <w:color w:val="63666A"/>
                <w14:textFill>
                  <w14:solidFill>
                    <w14:srgbClr w14:val="63666A">
                      <w14:lumMod w14:val="50000"/>
                      <w14:lumOff w14:val="50000"/>
                    </w14:srgbClr>
                  </w14:solidFill>
                </w14:textFill>
              </w:rPr>
            </w:pPr>
            <w:r>
              <w:t>4.66%</w:t>
            </w:r>
          </w:p>
        </w:tc>
        <w:tc>
          <w:tcPr>
            <w:tcW w:w="1680" w:type="dxa"/>
            <w:vAlign w:val="top"/>
          </w:tcPr>
          <w:p w14:paraId="667C63A8"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b/>
                <w:bCs/>
                <w:color w:val="63666A"/>
                <w14:textFill>
                  <w14:solidFill>
                    <w14:srgbClr w14:val="63666A">
                      <w14:lumMod w14:val="50000"/>
                      <w14:lumOff w14:val="50000"/>
                    </w14:srgbClr>
                  </w14:solidFill>
                </w14:textFill>
              </w:rPr>
            </w:pPr>
            <w:r>
              <w:t>7.28%</w:t>
            </w:r>
          </w:p>
        </w:tc>
        <w:tc>
          <w:tcPr>
            <w:tcW w:w="1890" w:type="dxa"/>
            <w:vAlign w:val="top"/>
          </w:tcPr>
          <w:p w14:paraId="4D081E77"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b/>
                <w:bCs/>
                <w:color w:val="63666A"/>
                <w14:textFill>
                  <w14:solidFill>
                    <w14:srgbClr w14:val="63666A">
                      <w14:lumMod w14:val="50000"/>
                      <w14:lumOff w14:val="50000"/>
                    </w14:srgbClr>
                  </w14:solidFill>
                </w14:textFill>
              </w:rPr>
            </w:pPr>
            <w:r>
              <w:t>3.83%</w:t>
            </w:r>
          </w:p>
        </w:tc>
      </w:tr>
      <w:tr w:rsidR="0018078F" w:rsidRPr="00CD63DC" w14:paraId="5512A73F" w14:textId="77777777" w:rsidTr="0018078F">
        <w:trPr>
          <w:trHeight w:val="317"/>
        </w:trPr>
        <w:tc>
          <w:tcPr>
            <w:cnfStyle w:val="001000000000" w:firstRow="0" w:lastRow="0" w:firstColumn="1" w:lastColumn="0" w:oddVBand="0" w:evenVBand="0" w:oddHBand="0" w:evenHBand="0" w:firstRowFirstColumn="0" w:firstRowLastColumn="0" w:lastRowFirstColumn="0" w:lastRowLastColumn="0"/>
            <w:tcW w:w="2155" w:type="dxa"/>
          </w:tcPr>
          <w:p w14:paraId="5D8F7267" w14:textId="77777777" w:rsidR="0018078F" w:rsidRPr="00CD63DC" w:rsidRDefault="00361F29">
            <w:pPr>
              <w:autoSpaceDE w:val="0"/>
              <w:autoSpaceDN w:val="0"/>
              <w:adjustRightInd w:val="0"/>
              <w:rPr>
                <w:rFonts w:eastAsia="Century Gothic" w:cs="Prelo-Light"/>
                <w:b w:val="0"/>
              </w:rPr>
            </w:pPr>
            <w:r>
              <w:t>Upper quartile</w:t>
            </w:r>
          </w:p>
        </w:tc>
        <w:tc>
          <w:tcPr>
            <w:tcW w:w="1680" w:type="dxa"/>
            <w:vAlign w:val="top"/>
          </w:tcPr>
          <w:p w14:paraId="6324B128"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b/>
                <w:bCs/>
                <w:color w:val="63666A"/>
                <w14:textFill>
                  <w14:solidFill>
                    <w14:srgbClr w14:val="63666A">
                      <w14:lumMod w14:val="50000"/>
                      <w14:lumOff w14:val="50000"/>
                    </w14:srgbClr>
                  </w14:solidFill>
                </w14:textFill>
              </w:rPr>
            </w:pPr>
            <w:r>
              <w:t>10.44%</w:t>
            </w:r>
          </w:p>
        </w:tc>
        <w:tc>
          <w:tcPr>
            <w:tcW w:w="1680" w:type="dxa"/>
            <w:vAlign w:val="top"/>
          </w:tcPr>
          <w:p w14:paraId="11AD4046"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b/>
                <w:bCs/>
                <w:color w:val="63666A"/>
                <w14:textFill>
                  <w14:solidFill>
                    <w14:srgbClr w14:val="63666A">
                      <w14:lumMod w14:val="50000"/>
                      <w14:lumOff w14:val="50000"/>
                    </w14:srgbClr>
                  </w14:solidFill>
                </w14:textFill>
              </w:rPr>
            </w:pPr>
            <w:r>
              <w:t>10.55%</w:t>
            </w:r>
          </w:p>
        </w:tc>
        <w:tc>
          <w:tcPr>
            <w:tcW w:w="1680" w:type="dxa"/>
            <w:vAlign w:val="top"/>
          </w:tcPr>
          <w:p w14:paraId="3E8770C2"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b/>
                <w:bCs/>
                <w:color w:val="63666A"/>
                <w14:textFill>
                  <w14:solidFill>
                    <w14:srgbClr w14:val="63666A">
                      <w14:lumMod w14:val="50000"/>
                      <w14:lumOff w14:val="50000"/>
                    </w14:srgbClr>
                  </w14:solidFill>
                </w14:textFill>
              </w:rPr>
            </w:pPr>
            <w:r>
              <w:t>11.87%</w:t>
            </w:r>
          </w:p>
        </w:tc>
        <w:tc>
          <w:tcPr>
            <w:tcW w:w="1890" w:type="dxa"/>
            <w:vAlign w:val="top"/>
          </w:tcPr>
          <w:p w14:paraId="6CFD8636"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b/>
                <w:bCs/>
                <w:color w:val="63666A"/>
                <w14:textFill>
                  <w14:solidFill>
                    <w14:srgbClr w14:val="63666A">
                      <w14:lumMod w14:val="50000"/>
                      <w14:lumOff w14:val="50000"/>
                    </w14:srgbClr>
                  </w14:solidFill>
                </w14:textFill>
              </w:rPr>
            </w:pPr>
            <w:r>
              <w:t>9.85%</w:t>
            </w:r>
          </w:p>
        </w:tc>
      </w:tr>
      <w:tr w:rsidR="0018078F" w:rsidRPr="00CD63DC" w14:paraId="67176788" w14:textId="77777777" w:rsidTr="0018078F">
        <w:trPr>
          <w:trHeight w:val="317"/>
        </w:trPr>
        <w:tc>
          <w:tcPr>
            <w:cnfStyle w:val="001000000000" w:firstRow="0" w:lastRow="0" w:firstColumn="1" w:lastColumn="0" w:oddVBand="0" w:evenVBand="0" w:oddHBand="0" w:evenHBand="0" w:firstRowFirstColumn="0" w:firstRowLastColumn="0" w:lastRowFirstColumn="0" w:lastRowLastColumn="0"/>
            <w:tcW w:w="2155" w:type="dxa"/>
          </w:tcPr>
          <w:p w14:paraId="47A70FCD" w14:textId="77777777" w:rsidR="0018078F" w:rsidRPr="00CD63DC" w:rsidRDefault="00361F29">
            <w:pPr>
              <w:autoSpaceDE w:val="0"/>
              <w:autoSpaceDN w:val="0"/>
              <w:adjustRightInd w:val="0"/>
              <w:rPr>
                <w:rFonts w:eastAsia="Century Gothic" w:cs="Prelo-Light"/>
                <w:b w:val="0"/>
                <w:bCs/>
              </w:rPr>
            </w:pPr>
            <w:r>
              <w:t>Maximum</w:t>
            </w:r>
          </w:p>
        </w:tc>
        <w:tc>
          <w:tcPr>
            <w:tcW w:w="1680" w:type="dxa"/>
            <w:vAlign w:val="top"/>
          </w:tcPr>
          <w:p w14:paraId="6F16053C"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color w:val="63666A"/>
                <w14:textFill>
                  <w14:solidFill>
                    <w14:srgbClr w14:val="63666A">
                      <w14:lumMod w14:val="50000"/>
                      <w14:lumOff w14:val="50000"/>
                    </w14:srgbClr>
                  </w14:solidFill>
                </w14:textFill>
              </w:rPr>
            </w:pPr>
            <w:r>
              <w:t>39.70%</w:t>
            </w:r>
          </w:p>
        </w:tc>
        <w:tc>
          <w:tcPr>
            <w:tcW w:w="1680" w:type="dxa"/>
            <w:vAlign w:val="top"/>
          </w:tcPr>
          <w:p w14:paraId="3AD3BFDD"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color w:val="63666A"/>
                <w14:textFill>
                  <w14:solidFill>
                    <w14:srgbClr w14:val="63666A">
                      <w14:lumMod w14:val="50000"/>
                      <w14:lumOff w14:val="50000"/>
                    </w14:srgbClr>
                  </w14:solidFill>
                </w14:textFill>
              </w:rPr>
            </w:pPr>
            <w:r>
              <w:t>45.75%</w:t>
            </w:r>
          </w:p>
        </w:tc>
        <w:tc>
          <w:tcPr>
            <w:tcW w:w="1680" w:type="dxa"/>
            <w:vAlign w:val="top"/>
          </w:tcPr>
          <w:p w14:paraId="68745EDE"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color w:val="63666A"/>
                <w14:textFill>
                  <w14:solidFill>
                    <w14:srgbClr w14:val="63666A">
                      <w14:lumMod w14:val="50000"/>
                      <w14:lumOff w14:val="50000"/>
                    </w14:srgbClr>
                  </w14:solidFill>
                </w14:textFill>
              </w:rPr>
            </w:pPr>
            <w:r>
              <w:t>96.00%</w:t>
            </w:r>
          </w:p>
        </w:tc>
        <w:tc>
          <w:tcPr>
            <w:tcW w:w="1890" w:type="dxa"/>
            <w:vAlign w:val="top"/>
          </w:tcPr>
          <w:p w14:paraId="536865D4"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color w:val="63666A"/>
                <w14:textFill>
                  <w14:solidFill>
                    <w14:srgbClr w14:val="63666A">
                      <w14:lumMod w14:val="50000"/>
                      <w14:lumOff w14:val="50000"/>
                    </w14:srgbClr>
                  </w14:solidFill>
                </w14:textFill>
              </w:rPr>
            </w:pPr>
            <w:r>
              <w:t>44.33%</w:t>
            </w:r>
          </w:p>
        </w:tc>
      </w:tr>
      <w:tr w:rsidR="0018078F" w:rsidRPr="00CD63DC" w14:paraId="1C5FF571" w14:textId="77777777" w:rsidTr="0018078F">
        <w:trPr>
          <w:trHeight w:val="317"/>
        </w:trPr>
        <w:tc>
          <w:tcPr>
            <w:cnfStyle w:val="001000000000" w:firstRow="0" w:lastRow="0" w:firstColumn="1" w:lastColumn="0" w:oddVBand="0" w:evenVBand="0" w:oddHBand="0" w:evenHBand="0" w:firstRowFirstColumn="0" w:firstRowLastColumn="0" w:lastRowFirstColumn="0" w:lastRowLastColumn="0"/>
            <w:tcW w:w="2155" w:type="dxa"/>
          </w:tcPr>
          <w:p w14:paraId="07EBAD5E" w14:textId="77777777" w:rsidR="0018078F" w:rsidRPr="00CD63DC" w:rsidRDefault="00361F29">
            <w:pPr>
              <w:autoSpaceDE w:val="0"/>
              <w:autoSpaceDN w:val="0"/>
              <w:adjustRightInd w:val="0"/>
              <w:rPr>
                <w:rFonts w:eastAsia="Century Gothic" w:cs="Prelo-Light"/>
                <w:b w:val="0"/>
              </w:rPr>
            </w:pPr>
            <w:r>
              <w:t>Count</w:t>
            </w:r>
          </w:p>
        </w:tc>
        <w:tc>
          <w:tcPr>
            <w:tcW w:w="1680" w:type="dxa"/>
            <w:vAlign w:val="top"/>
          </w:tcPr>
          <w:p w14:paraId="7766A445"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color w:val="63666A"/>
                <w14:textFill>
                  <w14:solidFill>
                    <w14:srgbClr w14:val="63666A">
                      <w14:lumMod w14:val="50000"/>
                      <w14:lumOff w14:val="50000"/>
                    </w14:srgbClr>
                  </w14:solidFill>
                </w14:textFill>
              </w:rPr>
            </w:pPr>
            <w:r>
              <w:t>34</w:t>
            </w:r>
          </w:p>
        </w:tc>
        <w:tc>
          <w:tcPr>
            <w:tcW w:w="1680" w:type="dxa"/>
            <w:vAlign w:val="top"/>
          </w:tcPr>
          <w:p w14:paraId="37B8E2F4"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color w:val="63666A"/>
                <w14:textFill>
                  <w14:solidFill>
                    <w14:srgbClr w14:val="63666A">
                      <w14:lumMod w14:val="50000"/>
                      <w14:lumOff w14:val="50000"/>
                    </w14:srgbClr>
                  </w14:solidFill>
                </w14:textFill>
              </w:rPr>
            </w:pPr>
            <w:r>
              <w:t>34</w:t>
            </w:r>
          </w:p>
        </w:tc>
        <w:tc>
          <w:tcPr>
            <w:tcW w:w="1680" w:type="dxa"/>
            <w:vAlign w:val="top"/>
          </w:tcPr>
          <w:p w14:paraId="4AE77618"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color w:val="63666A"/>
                <w14:textFill>
                  <w14:solidFill>
                    <w14:srgbClr w14:val="63666A">
                      <w14:lumMod w14:val="50000"/>
                      <w14:lumOff w14:val="50000"/>
                    </w14:srgbClr>
                  </w14:solidFill>
                </w14:textFill>
              </w:rPr>
            </w:pPr>
            <w:r>
              <w:t>34</w:t>
            </w:r>
          </w:p>
        </w:tc>
        <w:tc>
          <w:tcPr>
            <w:tcW w:w="1890" w:type="dxa"/>
            <w:vAlign w:val="top"/>
          </w:tcPr>
          <w:p w14:paraId="2CAA4D30" w14:textId="77777777" w:rsidR="0018078F" w:rsidRPr="00CD63DC" w:rsidRDefault="00361F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Century Gothic" w:cs="Prelo-Light"/>
                <w:color w:val="63666A"/>
                <w14:textFill>
                  <w14:solidFill>
                    <w14:srgbClr w14:val="63666A">
                      <w14:lumMod w14:val="50000"/>
                      <w14:lumOff w14:val="50000"/>
                    </w14:srgbClr>
                  </w14:solidFill>
                </w14:textFill>
              </w:rPr>
            </w:pPr>
            <w:r>
              <w:t>34</w:t>
            </w:r>
          </w:p>
        </w:tc>
      </w:tr>
    </w:tbl>
    <w:p w14:paraId="2857C313" w14:textId="49DB407B" w:rsidR="0018078F" w:rsidRPr="00CD63DC" w:rsidRDefault="00361F29">
      <w:pPr>
        <w:autoSpaceDE w:val="0"/>
        <w:autoSpaceDN w:val="0"/>
        <w:adjustRightInd w:val="0"/>
        <w:rPr>
          <w:rFonts w:eastAsia="YouYuan"/>
          <w:color w:val="7F7F7F"/>
          <w14:textFill>
            <w14:solidFill>
              <w14:srgbClr w14:val="7F7F7F">
                <w14:lumMod w14:val="50000"/>
                <w14:lumOff w14:val="50000"/>
              </w14:srgbClr>
            </w14:solidFill>
          </w14:textFill>
        </w:rPr>
      </w:pPr>
      <w:proofErr w:type="spellStart"/>
      <w:proofErr w:type="spellEnd"/>
      <w:proofErr w:type="gramStart"/>
      <w:proofErr w:type="gramEnd"/>
      <w:r>
        <w:t xml:space="preserve">Based on the outcome of the benchmarking study, the interquartile range of mark-up on total costs achieved by companies engaged in comparable activities to those undertaken by SofarSolar Netherlands B.V.  is from 0,96% to 9.85%, with a median at 3.83%. </w:t>
      </w:r>
    </w:p>
    <w:p w14:paraId="000FAE32" w14:textId="34C73789" w:rsidR="0018078F" w:rsidRPr="00CD63DC" w:rsidRDefault="00361F29">
      <w:pPr>
        <w:pStyle w:val="BodyText"/>
        <w:spacing w:line="240" w:lineRule="auto"/>
      </w:pPr>
      <w:proofErr w:type="spellStart"/>
      <w:proofErr w:type="spellEnd"/>
      <w:proofErr w:type="gramStart"/>
      <w:proofErr w:type="gramEnd"/>
      <w:r>
        <w:t xml:space="preserve">A mark-up on total costs of 3,83% was considered for the purpose of assessing the remuneration of SofarSolar Netherlands B.V. . This margin falls within the interquartile range of the results of the benchmarking study. </w:t>
      </w:r>
    </w:p>
    <w:p w14:paraId="2069CA9B" w14:textId="77777777" w:rsidR="0018078F" w:rsidRPr="00CD63DC" w:rsidRDefault="00361F29">
      <w:pPr>
        <w:pStyle w:val="Heading2"/>
        <w:numPr>
          <w:ilvl w:val="1"/>
          <w:numId w:val="9"/>
        </w:numPr>
        <w:tabs>
          <w:tab w:val="left" w:pos="1134"/>
        </w:tabs>
        <w:autoSpaceDE w:val="0"/>
        <w:autoSpaceDN w:val="0"/>
        <w:adjustRightInd w:val="0"/>
        <w:ind w:left="1134" w:hanging="1134"/>
        <w:rPr>
          <w:rFonts w:cs="Arial"/>
          <w:color w:val="009CDE"/>
          <w14:textFill>
            <w14:solidFill>
              <w14:srgbClr w14:val="009CDE">
                <w14:lumMod w14:val="50000"/>
                <w14:lumOff w14:val="50000"/>
              </w14:srgbClr>
            </w14:solidFill>
          </w14:textFill>
        </w:rPr>
      </w:pPr>
      <w:bookmarkStart w:id="120" w:name="_Toc116411358"/>
      <w:bookmarkStart w:id="121" w:name="_Toc203039407"/>
      <w:bookmarkEnd w:id="120"/>
      <w:bookmarkEnd w:id="121"/>
      <w:r>
        <w:t>Financial analysis</w:t>
      </w:r>
    </w:p>
    <w:p w14:paraId="1D403F4B" w14:textId="14898F30" w:rsidR="005D6777" w:rsidRPr="00CD63DC" w:rsidRDefault="005D6777" w:rsidP="005D6777">
      <w:pPr>
        <w:rPr>
          <w:rFonts w:eastAsia="YouYuan"/>
          <w:color w:val="7F7F7F"/>
          <w:lang w:val="en-US"/>
          <w14:textFill>
            <w14:solidFill>
              <w14:srgbClr w14:val="7F7F7F">
                <w14:lumMod w14:val="50000"/>
                <w14:lumOff w14:val="50000"/>
              </w14:srgbClr>
            </w14:solidFill>
          </w14:textFill>
        </w:rPr>
      </w:pPr>
      <w:proofErr w:type="spellStart"/>
      <w:proofErr w:type="spellEnd"/>
      <w:proofErr w:type="spellStart"/>
      <w:proofErr w:type="spellEnd"/>
      <w:proofErr w:type="spellStart"/>
      <w:proofErr w:type="spellEnd"/>
      <w:r>
        <w:t>During FY2024, SofarSolar Netherlands B.V. engaged in re-invoicing activities involving the purchase of goods from Shenzhen SofarSolar Co. Ltd.  for distribution across the Dutch and broader European markets. The entity did not employ any personnel and did not perform or control any economically significant functions, nor did it assume any material risks related to the transaction.</w:t>
      </w:r>
    </w:p>
    <w:p w14:paraId="44C8F25E" w14:textId="275C0709" w:rsidR="005D6777" w:rsidRPr="00CD63DC" w:rsidRDefault="005D6777" w:rsidP="005D6777">
      <w:pPr>
        <w:rPr>
          <w:rFonts w:eastAsia="YouYuan"/>
          <w:color w:val="7F7F7F"/>
          <w:lang w:val="en-US"/>
          <w14:textFill>
            <w14:solidFill>
              <w14:srgbClr w14:val="7F7F7F">
                <w14:lumMod w14:val="50000"/>
                <w14:lumOff w14:val="50000"/>
              </w14:srgbClr>
            </w14:solidFill>
          </w14:textFill>
        </w:rPr>
      </w:pPr>
      <w:proofErr w:type="spellStart"/>
      <w:proofErr w:type="gramStart"/>
      <w:proofErr w:type="spellEnd"/>
      <w:proofErr w:type="gramEnd"/>
      <w:proofErr w:type="gramStart"/>
      <w:proofErr w:type="spellStart"/>
      <w:proofErr w:type="gramEnd"/>
      <w:proofErr w:type="spellEnd"/>
      <w:r>
        <w:t>All strategic, operational, and risk-related responsibilities—including decisions related to inventory, market exposure, and credit risk—were fully managed by Shenzhen SofarSolar Co. Ltd. . As such, SofarSolar Netherlands B.V. operated as a limited-risk service entity, solely executing re-invoicing functions without involvement in the underlying commercial or logistical processes.</w:t>
      </w:r>
    </w:p>
    <w:p w14:paraId="500689F8" w14:textId="2C989FA9" w:rsidR="0053426E" w:rsidRPr="00CD63DC" w:rsidRDefault="005D6777">
      <w:pPr>
        <w:rPr>
          <w:rFonts w:eastAsia="YouYuan"/>
          <w:color w:val="7F7F7F"/>
          <w:lang w:val="en-US"/>
          <w14:textFill>
            <w14:solidFill>
              <w14:srgbClr w14:val="7F7F7F">
                <w14:lumMod w14:val="50000"/>
                <w14:lumOff w14:val="50000"/>
              </w14:srgbClr>
            </w14:solidFill>
          </w14:textFill>
        </w:rPr>
      </w:pPr>
      <w:proofErr w:type="spellStart"/>
      <w:proofErr w:type="spellEnd"/>
      <w:r>
        <w:t>The financial outcomes of SofarSolar Netherlands B.V. should therefore reflect a routine return appropriate for its limited functional and risk profile.</w:t>
      </w:r>
    </w:p>
    <w:p w14:paraId="3E337A00" w14:textId="31375EB0" w:rsidR="00806619" w:rsidRPr="00CD63DC" w:rsidRDefault="00361F29" w:rsidP="005D6777">
      <w:pPr>
        <w:widowControl w:val="0"/>
        <w:rPr>
          <w:rFonts w:eastAsia="YouYuan"/>
          <w:color w:val="7F7F7F"/>
          <w14:textFill>
            <w14:solidFill>
              <w14:srgbClr w14:val="7F7F7F">
                <w14:lumMod w14:val="50000"/>
                <w14:lumOff w14:val="50000"/>
              </w14:srgbClr>
            </w14:solidFill>
          </w14:textFill>
        </w:rPr>
      </w:pPr>
      <w:proofErr w:type="spellStart"/>
      <w:proofErr w:type="spellEnd"/>
      <w:proofErr w:type="spellStart"/>
      <w:proofErr w:type="spellEnd"/>
      <w:r>
        <w:t>The financial results of SofarSolar Netherlands B.V. in FY2024 are as follows:</w:t>
      </w:r>
    </w:p>
    <w:p w14:paraId="61E5ED70" w14:textId="77777777" w:rsidR="00134655" w:rsidRPr="00CD63DC" w:rsidRDefault="00134655">
      <w:pPr>
        <w:pStyle w:val="Caption"/>
        <w:autoSpaceDE w:val="0"/>
        <w:autoSpaceDN w:val="0"/>
        <w:adjustRightInd w:val="0"/>
        <w:spacing w:after="0"/>
        <w:rPr>
          <w:rFonts w:eastAsiaTheme="minorHAnsi"/>
          <w:color w:val="3F9C35"/>
          <w:lang w:val="en-US"/>
          <w14:textFill>
            <w14:solidFill>
              <w14:srgbClr w14:val="3F9C35">
                <w14:lumMod w14:val="50000"/>
                <w14:lumOff w14:val="50000"/>
              </w14:srgbClr>
            </w14:solidFill>
          </w14:textFill>
        </w:rPr>
      </w:pPr>
      <w:r/>
    </w:p>
    <w:p w14:paraId="4BF535C4" w14:textId="77777777" w:rsidR="00134655" w:rsidRPr="00CD63DC" w:rsidRDefault="00134655">
      <w:pPr>
        <w:pStyle w:val="Caption"/>
        <w:autoSpaceDE w:val="0"/>
        <w:autoSpaceDN w:val="0"/>
        <w:adjustRightInd w:val="0"/>
        <w:spacing w:after="0"/>
        <w:rPr>
          <w:rFonts w:eastAsiaTheme="minorHAnsi"/>
          <w:color w:val="3F9C35"/>
          <w:lang w:val="en-US"/>
          <w14:textFill>
            <w14:solidFill>
              <w14:srgbClr w14:val="3F9C35">
                <w14:lumMod w14:val="50000"/>
                <w14:lumOff w14:val="50000"/>
              </w14:srgbClr>
            </w14:solidFill>
          </w14:textFill>
        </w:rPr>
      </w:pPr>
      <w:r/>
    </w:p>
    <w:p w14:paraId="1E0575E6" w14:textId="3CC9AFA3" w:rsidR="00134655" w:rsidRPr="00CD63DC" w:rsidRDefault="00361F29" w:rsidP="005D6777">
      <w:pPr>
        <w:pStyle w:val="Caption"/>
        <w:autoSpaceDE w:val="0"/>
        <w:autoSpaceDN w:val="0"/>
        <w:adjustRightInd w:val="0"/>
        <w:spacing w:after="0"/>
        <w:rPr>
          <w:rFonts w:eastAsiaTheme="minorHAnsi"/>
          <w:color w:val="3F9C35"/>
          <w:lang w:val="en-US"/>
          <w14:textFill>
            <w14:solidFill>
              <w14:srgbClr w14:val="3F9C35">
                <w14:lumMod w14:val="50000"/>
                <w14:lumOff w14:val="50000"/>
              </w14:srgbClr>
            </w14:solidFill>
          </w14:textFill>
        </w:rPr>
      </w:pPr>
      <w:proofErr w:type="spellStart"/>
      <w:proofErr w:type="spellEnd"/>
      <w:proofErr w:type="spellStart"/>
      <w:proofErr w:type="spellEnd"/>
      <w:r>
        <w:t>Table 7. Financial results achieved by SofarSolar Netherlands B.V. for FY2024</w:t>
      </w:r>
    </w:p>
    <w:p w14:paraId="45AC40FF" w14:textId="77777777" w:rsidR="00C86B62" w:rsidRPr="00CD63DC" w:rsidRDefault="00C86B62" w:rsidP="00134655">
      <w:pPr>
        <w:rPr>
          <w:lang w:val="en-US"/>
        </w:rPr>
      </w:pPr>
      <w:r/>
    </w:p>
    <w:tbl>
      <w:tblPr>
        <w:tblStyle w:val="TableGrid"/>
        <w:tblW w:w="0" w:type="auto"/>
        <w:jc w:val="center"/>
        <w:tblBorders>
          <w:top w:val="dotted" w:sz="4" w:space="0" w:color="009CDE"/>
          <w:left w:val="dotted" w:sz="4" w:space="0" w:color="009CDE"/>
          <w:bottom w:val="dotted" w:sz="4" w:space="0" w:color="009CDE"/>
          <w:right w:val="dotted" w:sz="4" w:space="0" w:color="009CDE"/>
          <w:insideH w:val="dotted" w:sz="4" w:space="0" w:color="009CDE"/>
          <w:insideV w:val="dotted" w:sz="4" w:space="0" w:color="009CDE"/>
        </w:tblBorders>
        <w:tblLook w:val="04A0" w:firstRow="1" w:lastRow="0" w:firstColumn="1" w:lastColumn="0" w:noHBand="0" w:noVBand="1"/>
      </w:tblPr>
      <w:tblGrid>
        <w:gridCol w:w="3964"/>
        <w:gridCol w:w="3842"/>
      </w:tblGrid>
      <w:tr w:rsidR="00134655" w:rsidRPr="00CD63DC" w14:paraId="114E1C70" w14:textId="77777777" w:rsidTr="00134655">
        <w:trPr>
          <w:trHeight w:val="317"/>
          <w:jc w:val="center"/>
        </w:trPr>
        <w:tc>
          <w:tcPr>
            <w:tcW w:w="3964" w:type="dxa"/>
            <w:shd w:val="clear" w:color="auto" w:fill="3F9C35"/>
            <w:vAlign w:val="center"/>
          </w:tcPr>
          <w:p w14:paraId="02D76D37" w14:textId="77777777" w:rsidR="00134655" w:rsidRPr="00CD63DC" w:rsidRDefault="00134655">
            <w:pPr>
              <w:rPr>
                <w:rFonts w:eastAsia="YouYuan"/>
                <w:b/>
                <w:color w:val="FFFFFF"/>
                <w14:textFill>
                  <w14:solidFill>
                    <w14:srgbClr w14:val="FFFFFF">
                      <w14:lumMod w14:val="50000"/>
                      <w14:lumOff w14:val="50000"/>
                    </w14:srgbClr>
                  </w14:solidFill>
                </w14:textFill>
              </w:rPr>
            </w:pPr>
            <w:r>
              <w:t>Financial results</w:t>
            </w:r>
          </w:p>
        </w:tc>
        <w:tc>
          <w:tcPr>
            <w:tcW w:w="3842" w:type="dxa"/>
            <w:shd w:val="clear" w:color="auto" w:fill="3F9C35"/>
            <w:vAlign w:val="center"/>
          </w:tcPr>
          <w:p w14:paraId="1D8599BE" w14:textId="6E95CC2D" w:rsidR="00134655" w:rsidRPr="00CD63DC" w:rsidRDefault="00134655">
            <w:pPr>
              <w:jc w:val="right"/>
              <w:rPr>
                <w:rFonts w:eastAsia="YouYuan"/>
                <w:b/>
                <w:color w:val="FFFFFF"/>
                <w14:textFill>
                  <w14:solidFill>
                    <w14:srgbClr w14:val="FFFFFF">
                      <w14:lumMod w14:val="50000"/>
                      <w14:lumOff w14:val="50000"/>
                    </w14:srgbClr>
                  </w14:solidFill>
                </w14:textFill>
              </w:rPr>
            </w:pPr>
            <w:proofErr w:type="spellStart"/>
            <w:proofErr w:type="spellEnd"/>
            <w:r>
              <w:t>FY2024, in EUR</w:t>
            </w:r>
          </w:p>
        </w:tc>
      </w:tr>
      <w:tr w:rsidR="00134655" w:rsidRPr="00CD63DC" w14:paraId="4096C347" w14:textId="77777777" w:rsidTr="00134655">
        <w:trPr>
          <w:trHeight w:val="317"/>
          <w:jc w:val="center"/>
        </w:trPr>
        <w:tc>
          <w:tcPr>
            <w:tcW w:w="3964" w:type="dxa"/>
            <w:vAlign w:val="center"/>
          </w:tcPr>
          <w:p w14:paraId="7CA5B98B" w14:textId="77777777" w:rsidR="00134655" w:rsidRPr="00CD63DC" w:rsidRDefault="00134655">
            <w:pPr>
              <w:jc w:val="left"/>
              <w:rPr>
                <w:rFonts w:eastAsia="YouYuan"/>
                <w:color w:val="7F7F7F"/>
                <w14:textFill>
                  <w14:solidFill>
                    <w14:srgbClr w14:val="7F7F7F">
                      <w14:lumMod w14:val="50000"/>
                      <w14:lumOff w14:val="50000"/>
                    </w14:srgbClr>
                  </w14:solidFill>
                </w14:textFill>
              </w:rPr>
            </w:pPr>
            <w:r>
              <w:t xml:space="preserve">Revenue </w:t>
            </w:r>
          </w:p>
        </w:tc>
        <w:tc>
          <w:tcPr>
            <w:tcW w:w="3842" w:type="dxa"/>
            <w:vAlign w:val="center"/>
          </w:tcPr>
          <w:p w14:paraId="7CCC06EC" w14:textId="1BB8D5F7" w:rsidR="00134655" w:rsidRPr="002D33A3" w:rsidRDefault="00421976">
            <w:pPr>
              <w:jc w:val="right"/>
              <w:rPr>
                <w:rFonts w:eastAsia="YouYuan"/>
                <w:color w:val="EE0000"/>
              </w:rPr>
            </w:pPr>
            <w:proofErr w:type="spellStart"/>
            <w:proofErr w:type="spellEnd"/>
            <w:r>
              <w:t>FS: revenue</w:t>
            </w:r>
          </w:p>
        </w:tc>
      </w:tr>
      <w:tr w:rsidR="00134655" w:rsidRPr="00CD63DC" w14:paraId="1F10E224" w14:textId="77777777" w:rsidTr="00134655">
        <w:trPr>
          <w:trHeight w:val="317"/>
          <w:jc w:val="center"/>
        </w:trPr>
        <w:tc>
          <w:tcPr>
            <w:tcW w:w="3964" w:type="dxa"/>
            <w:vAlign w:val="center"/>
          </w:tcPr>
          <w:p w14:paraId="72CE603E" w14:textId="77777777" w:rsidR="00134655" w:rsidRPr="00CD63DC" w:rsidRDefault="00134655">
            <w:pPr>
              <w:jc w:val="left"/>
              <w:rPr>
                <w:rFonts w:eastAsia="YouYuan"/>
                <w:color w:val="7F7F7F"/>
                <w14:textFill>
                  <w14:solidFill>
                    <w14:srgbClr w14:val="7F7F7F">
                      <w14:lumMod w14:val="50000"/>
                      <w14:lumOff w14:val="50000"/>
                    </w14:srgbClr>
                  </w14:solidFill>
                </w14:textFill>
              </w:rPr>
            </w:pPr>
            <w:r>
              <w:t>Other operating expense</w:t>
            </w:r>
          </w:p>
        </w:tc>
        <w:tc>
          <w:tcPr>
            <w:tcW w:w="3842" w:type="dxa"/>
            <w:vAlign w:val="center"/>
          </w:tcPr>
          <w:p w14:paraId="724F287A" w14:textId="158488F2" w:rsidR="00134655" w:rsidRPr="002D33A3" w:rsidRDefault="00B50977">
            <w:pPr>
              <w:jc w:val="right"/>
              <w:rPr>
                <w:rFonts w:eastAsia="YouYuan"/>
                <w:color w:val="EE0000"/>
              </w:rPr>
            </w:pPr>
            <w:proofErr w:type="spellStart"/>
            <w:proofErr w:type="spellEnd"/>
            <w:r>
              <w:t>FS: opex</w:t>
            </w:r>
          </w:p>
        </w:tc>
      </w:tr>
      <w:tr w:rsidR="00134655" w:rsidRPr="00CD63DC" w14:paraId="757FEA0C" w14:textId="77777777" w:rsidTr="00134655">
        <w:trPr>
          <w:trHeight w:val="317"/>
          <w:jc w:val="center"/>
        </w:trPr>
        <w:tc>
          <w:tcPr>
            <w:tcW w:w="3964" w:type="dxa"/>
            <w:vAlign w:val="center"/>
          </w:tcPr>
          <w:p w14:paraId="65C044E9" w14:textId="77777777" w:rsidR="00134655" w:rsidRPr="00CD63DC" w:rsidRDefault="00134655">
            <w:pPr>
              <w:jc w:val="left"/>
              <w:rPr>
                <w:rFonts w:eastAsia="YouYuan"/>
                <w:color w:val="7F7F7F"/>
                <w14:textFill>
                  <w14:solidFill>
                    <w14:srgbClr w14:val="7F7F7F">
                      <w14:lumMod w14:val="50000"/>
                      <w14:lumOff w14:val="50000"/>
                    </w14:srgbClr>
                  </w14:solidFill>
                </w14:textFill>
              </w:rPr>
            </w:pPr>
            <w:r>
              <w:t xml:space="preserve">Cost of sales </w:t>
            </w:r>
          </w:p>
        </w:tc>
        <w:tc>
          <w:tcPr>
            <w:tcW w:w="3842" w:type="dxa"/>
            <w:vAlign w:val="center"/>
          </w:tcPr>
          <w:p w14:paraId="1C208393" w14:textId="1EF3130C" w:rsidR="00134655" w:rsidRPr="002D33A3" w:rsidRDefault="00F00252">
            <w:pPr>
              <w:jc w:val="right"/>
              <w:rPr>
                <w:rFonts w:eastAsia="YouYuan"/>
                <w:color w:val="EE0000"/>
              </w:rPr>
            </w:pPr>
            <w:proofErr w:type="spellStart"/>
            <w:proofErr w:type="spellEnd"/>
            <w:r>
              <w:t>FS: cogs</w:t>
            </w:r>
          </w:p>
        </w:tc>
      </w:tr>
      <w:tr w:rsidR="00134655" w:rsidRPr="00CD63DC" w14:paraId="5D4EA337" w14:textId="77777777" w:rsidTr="00134655">
        <w:trPr>
          <w:trHeight w:val="317"/>
          <w:jc w:val="center"/>
        </w:trPr>
        <w:tc>
          <w:tcPr>
            <w:tcW w:w="3964" w:type="dxa"/>
            <w:vAlign w:val="center"/>
          </w:tcPr>
          <w:p w14:paraId="4742D408" w14:textId="77777777" w:rsidR="00134655" w:rsidRPr="00CD63DC" w:rsidRDefault="00134655">
            <w:pPr>
              <w:jc w:val="left"/>
              <w:rPr>
                <w:rFonts w:eastAsia="YouYuan"/>
                <w:color w:val="7F7F7F"/>
                <w14:textFill>
                  <w14:solidFill>
                    <w14:srgbClr w14:val="7F7F7F">
                      <w14:lumMod w14:val="50000"/>
                      <w14:lumOff w14:val="50000"/>
                    </w14:srgbClr>
                  </w14:solidFill>
                </w14:textFill>
              </w:rPr>
            </w:pPr>
            <w:r>
              <w:t>Gross profit</w:t>
            </w:r>
          </w:p>
        </w:tc>
        <w:tc>
          <w:tcPr>
            <w:tcW w:w="3842" w:type="dxa"/>
            <w:vAlign w:val="center"/>
          </w:tcPr>
          <w:p w14:paraId="69CD128B" w14:textId="212BEA66" w:rsidR="00134655" w:rsidRPr="002D33A3" w:rsidRDefault="00027FB8">
            <w:pPr>
              <w:jc w:val="right"/>
              <w:rPr>
                <w:rFonts w:eastAsia="YouYuan"/>
                <w:color w:val="EE0000"/>
              </w:rPr>
            </w:pPr>
            <w:proofErr w:type="spellStart"/>
            <w:proofErr w:type="spellEnd"/>
            <w:r>
              <w:t>FS: gross margin</w:t>
            </w:r>
          </w:p>
        </w:tc>
      </w:tr>
      <w:tr w:rsidR="00134655" w:rsidRPr="00CD63DC" w14:paraId="12EE2ED0" w14:textId="77777777" w:rsidTr="00134655">
        <w:trPr>
          <w:trHeight w:val="317"/>
          <w:jc w:val="center"/>
        </w:trPr>
        <w:tc>
          <w:tcPr>
            <w:tcW w:w="3964" w:type="dxa"/>
            <w:vAlign w:val="center"/>
          </w:tcPr>
          <w:p w14:paraId="2CD84C46" w14:textId="77777777" w:rsidR="00134655" w:rsidRPr="00CD63DC" w:rsidRDefault="00134655">
            <w:pPr>
              <w:jc w:val="left"/>
              <w:rPr>
                <w:rFonts w:eastAsia="YouYuan"/>
                <w:b/>
                <w:bCs/>
                <w:color w:val="7F7F7F"/>
                <w14:textFill>
                  <w14:solidFill>
                    <w14:srgbClr w14:val="7F7F7F">
                      <w14:lumMod w14:val="50000"/>
                      <w14:lumOff w14:val="50000"/>
                    </w14:srgbClr>
                  </w14:solidFill>
                </w14:textFill>
              </w:rPr>
            </w:pPr>
            <w:r>
              <w:t>Gross margin, %</w:t>
            </w:r>
          </w:p>
        </w:tc>
        <w:tc>
          <w:tcPr>
            <w:tcW w:w="3842" w:type="dxa"/>
            <w:vAlign w:val="center"/>
          </w:tcPr>
          <w:p w14:paraId="00F2E45D" w14:textId="6A265EA2" w:rsidR="00134655" w:rsidRPr="002D33A3" w:rsidRDefault="00C8664C">
            <w:pPr>
              <w:jc w:val="right"/>
              <w:rPr>
                <w:rFonts w:eastAsia="YouYuan"/>
                <w:b/>
                <w:bCs/>
                <w:color w:val="EE0000"/>
              </w:rPr>
            </w:pPr>
            <w:proofErr w:type="spellStart"/>
            <w:proofErr w:type="spellEnd"/>
            <w:r>
              <w:t>{{key_financials_gross_margin}}</w:t>
            </w:r>
          </w:p>
        </w:tc>
      </w:tr>
      <w:tr w:rsidR="00134655" w:rsidRPr="00CD63DC" w14:paraId="56BF05DF" w14:textId="77777777" w:rsidTr="00134655">
        <w:trPr>
          <w:trHeight w:val="317"/>
          <w:jc w:val="center"/>
        </w:trPr>
        <w:tc>
          <w:tcPr>
            <w:tcW w:w="3964" w:type="dxa"/>
            <w:vAlign w:val="center"/>
          </w:tcPr>
          <w:p w14:paraId="56869718" w14:textId="77777777" w:rsidR="00134655" w:rsidRPr="00CD63DC" w:rsidRDefault="00134655">
            <w:pPr>
              <w:jc w:val="left"/>
              <w:rPr>
                <w:rFonts w:eastAsia="YouYuan"/>
                <w:color w:val="7F7F7F"/>
                <w14:textFill>
                  <w14:solidFill>
                    <w14:srgbClr w14:val="7F7F7F">
                      <w14:lumMod w14:val="50000"/>
                      <w14:lumOff w14:val="50000"/>
                    </w14:srgbClr>
                  </w14:solidFill>
                </w14:textFill>
              </w:rPr>
            </w:pPr>
            <w:r>
              <w:t>Personnel expenses</w:t>
            </w:r>
          </w:p>
        </w:tc>
        <w:tc>
          <w:tcPr>
            <w:tcW w:w="3842" w:type="dxa"/>
            <w:vAlign w:val="center"/>
          </w:tcPr>
          <w:p w14:paraId="045F67C0" w14:textId="22DAD647" w:rsidR="00134655" w:rsidRPr="002D33A3" w:rsidRDefault="00CD52C7" w:rsidP="00CD52C7">
            <w:pPr>
              <w:jc w:val="right"/>
              <w:rPr>
                <w:rFonts w:eastAsia="YouYuan"/>
                <w:color w:val="EE0000"/>
              </w:rPr>
            </w:pPr>
            <w:proofErr w:type="spellStart"/>
            <w:proofErr w:type="spellEnd"/>
            <w:r>
              <w:t>FS: personnel expenses</w:t>
            </w:r>
          </w:p>
        </w:tc>
      </w:tr>
      <w:tr w:rsidR="00134655" w:rsidRPr="00CD63DC" w14:paraId="747B2284" w14:textId="77777777" w:rsidTr="00134655">
        <w:trPr>
          <w:trHeight w:val="317"/>
          <w:jc w:val="center"/>
        </w:trPr>
        <w:tc>
          <w:tcPr>
            <w:tcW w:w="3964" w:type="dxa"/>
            <w:vAlign w:val="center"/>
          </w:tcPr>
          <w:p w14:paraId="79512B34" w14:textId="77777777" w:rsidR="00134655" w:rsidRPr="00CD63DC" w:rsidRDefault="00134655">
            <w:pPr>
              <w:jc w:val="left"/>
              <w:rPr>
                <w:rFonts w:eastAsia="YouYuan"/>
                <w:color w:val="7F7F7F"/>
                <w14:textFill>
                  <w14:solidFill>
                    <w14:srgbClr w14:val="7F7F7F">
                      <w14:lumMod w14:val="50000"/>
                      <w14:lumOff w14:val="50000"/>
                    </w14:srgbClr>
                  </w14:solidFill>
                </w14:textFill>
              </w:rPr>
            </w:pPr>
            <w:r>
              <w:t>Depreciation of tangible fixed assets</w:t>
            </w:r>
          </w:p>
        </w:tc>
        <w:tc>
          <w:tcPr>
            <w:tcW w:w="3842" w:type="dxa"/>
            <w:vAlign w:val="center"/>
          </w:tcPr>
          <w:p w14:paraId="39F35903" w14:textId="16536559" w:rsidR="00134655" w:rsidRPr="002D33A3" w:rsidRDefault="00CD52C7">
            <w:pPr>
              <w:jc w:val="right"/>
              <w:rPr>
                <w:rFonts w:eastAsia="YouYuan"/>
                <w:color w:val="EE0000"/>
              </w:rPr>
            </w:pPr>
            <w:proofErr w:type="spellStart"/>
            <w:proofErr w:type="spellEnd"/>
            <w:r>
              <w:t>FS: depreciation</w:t>
            </w:r>
          </w:p>
        </w:tc>
      </w:tr>
      <w:tr w:rsidR="00134655" w:rsidRPr="00CD63DC" w14:paraId="71756E2B" w14:textId="77777777" w:rsidTr="00134655">
        <w:trPr>
          <w:trHeight w:val="317"/>
          <w:jc w:val="center"/>
        </w:trPr>
        <w:tc>
          <w:tcPr>
            <w:tcW w:w="3964" w:type="dxa"/>
            <w:vAlign w:val="center"/>
          </w:tcPr>
          <w:p w14:paraId="32E809BB" w14:textId="77777777" w:rsidR="00134655" w:rsidRPr="00CD63DC" w:rsidRDefault="00134655">
            <w:pPr>
              <w:jc w:val="left"/>
              <w:rPr>
                <w:rFonts w:eastAsia="YouYuan"/>
                <w:color w:val="7F7F7F"/>
                <w14:textFill>
                  <w14:solidFill>
                    <w14:srgbClr w14:val="7F7F7F">
                      <w14:lumMod w14:val="50000"/>
                      <w14:lumOff w14:val="50000"/>
                    </w14:srgbClr>
                  </w14:solidFill>
                </w14:textFill>
              </w:rPr>
            </w:pPr>
            <w:r>
              <w:t>Other operating expenses</w:t>
            </w:r>
          </w:p>
        </w:tc>
        <w:tc>
          <w:tcPr>
            <w:tcW w:w="3842" w:type="dxa"/>
            <w:vAlign w:val="center"/>
          </w:tcPr>
          <w:p w14:paraId="0ACA1471" w14:textId="117DA679" w:rsidR="00134655" w:rsidRPr="002D33A3" w:rsidRDefault="00CD52C7">
            <w:pPr>
              <w:jc w:val="right"/>
              <w:rPr>
                <w:rFonts w:eastAsia="YouYuan"/>
                <w:color w:val="EE0000"/>
              </w:rPr>
            </w:pPr>
            <w:proofErr w:type="spellStart"/>
            <w:proofErr w:type="spellEnd"/>
            <w:r>
              <w:t>FS: other expenses</w:t>
            </w:r>
          </w:p>
        </w:tc>
      </w:tr>
      <w:tr w:rsidR="00134655" w:rsidRPr="00CD63DC" w14:paraId="6730B1B0" w14:textId="77777777" w:rsidTr="00134655">
        <w:trPr>
          <w:trHeight w:val="317"/>
          <w:jc w:val="center"/>
        </w:trPr>
        <w:tc>
          <w:tcPr>
            <w:tcW w:w="3964" w:type="dxa"/>
            <w:vAlign w:val="center"/>
          </w:tcPr>
          <w:p w14:paraId="41105744" w14:textId="77777777" w:rsidR="00134655" w:rsidRPr="00CD63DC" w:rsidRDefault="00134655">
            <w:pPr>
              <w:jc w:val="left"/>
              <w:rPr>
                <w:rFonts w:eastAsia="YouYuan"/>
                <w:color w:val="7F7F7F"/>
                <w14:textFill>
                  <w14:solidFill>
                    <w14:srgbClr w14:val="7F7F7F">
                      <w14:lumMod w14:val="50000"/>
                      <w14:lumOff w14:val="50000"/>
                    </w14:srgbClr>
                  </w14:solidFill>
                </w14:textFill>
              </w:rPr>
            </w:pPr>
            <w:r>
              <w:t>Operating profit (loss)</w:t>
            </w:r>
          </w:p>
        </w:tc>
        <w:tc>
          <w:tcPr>
            <w:tcW w:w="3842" w:type="dxa"/>
            <w:vAlign w:val="center"/>
          </w:tcPr>
          <w:p w14:paraId="2AF0980F" w14:textId="4B068DAA" w:rsidR="00134655" w:rsidRPr="002D33A3" w:rsidRDefault="00CD52C7">
            <w:pPr>
              <w:jc w:val="right"/>
              <w:rPr>
                <w:rFonts w:eastAsia="YouYuan"/>
                <w:color w:val="EE0000"/>
              </w:rPr>
            </w:pPr>
            <w:proofErr w:type="spellStart"/>
            <w:proofErr w:type="spellEnd"/>
            <w:r>
              <w:t>FS: Operating profit</w:t>
            </w:r>
          </w:p>
        </w:tc>
      </w:tr>
      <w:tr w:rsidR="00134655" w:rsidRPr="00CD63DC" w14:paraId="21C05739" w14:textId="77777777" w:rsidTr="00134655">
        <w:trPr>
          <w:trHeight w:val="317"/>
          <w:jc w:val="center"/>
        </w:trPr>
        <w:tc>
          <w:tcPr>
            <w:tcW w:w="3964" w:type="dxa"/>
            <w:vAlign w:val="center"/>
          </w:tcPr>
          <w:p w14:paraId="521DAAE4" w14:textId="77777777" w:rsidR="00134655" w:rsidRPr="00CD63DC" w:rsidRDefault="00134655">
            <w:pPr>
              <w:jc w:val="left"/>
              <w:rPr>
                <w:rFonts w:eastAsia="YouYuan"/>
                <w:b/>
                <w:color w:val="7F7F7F"/>
                <w14:textFill>
                  <w14:solidFill>
                    <w14:srgbClr w14:val="7F7F7F">
                      <w14:lumMod w14:val="50000"/>
                      <w14:lumOff w14:val="50000"/>
                    </w14:srgbClr>
                  </w14:solidFill>
                </w14:textFill>
              </w:rPr>
            </w:pPr>
            <w:r>
              <w:t>Operating margin, %</w:t>
            </w:r>
          </w:p>
        </w:tc>
        <w:tc>
          <w:tcPr>
            <w:tcW w:w="3842" w:type="dxa"/>
            <w:vAlign w:val="center"/>
          </w:tcPr>
          <w:p w14:paraId="5731D3A1" w14:textId="399ADC7A" w:rsidR="00134655" w:rsidRPr="002D33A3" w:rsidRDefault="00B25100">
            <w:pPr>
              <w:jc w:val="right"/>
              <w:rPr>
                <w:rFonts w:eastAsia="YouYuan"/>
                <w:b/>
                <w:color w:val="EE0000"/>
              </w:rPr>
            </w:pPr>
            <w:proofErr w:type="spellStart"/>
            <w:proofErr w:type="spellEnd"/>
            <w:r>
              <w:t>FS: operating margin</w:t>
            </w:r>
          </w:p>
        </w:tc>
      </w:tr>
    </w:tbl>
    <w:p w14:paraId="24D36740" w14:textId="1CD43FB5" w:rsidR="0018078F" w:rsidRPr="00CD63DC" w:rsidRDefault="00361F29">
      <w:pPr>
        <w:widowControl w:val="0"/>
        <w:rPr>
          <w:rFonts w:eastAsia="YouYuan"/>
        </w:rPr>
      </w:pPr>
      <w:bookmarkStart w:id="122" w:name="_Hlk166599478"/>
      <w:proofErr w:type="spellStart"/>
      <w:proofErr w:type="spellEnd"/>
      <w:proofErr w:type="spellStart"/>
      <w:proofErr w:type="spellEnd"/>
      <w:r>
        <w:t>As it is seen in the table above, SofarSolar Netherlands B.V. achieved an EBIT margin of X% and during FY2024.</w:t>
      </w:r>
    </w:p>
    <w:p w14:paraId="74BE4ED0" w14:textId="51E043E2" w:rsidR="00806619" w:rsidRPr="00CD63DC" w:rsidRDefault="00361F29">
      <w:proofErr w:type="spellStart"/>
      <w:proofErr w:type="spellEnd"/>
      <w:bookmarkEnd w:id="122"/>
      <w:r>
        <w:t>Based on the above arguments, it can be concluded that SofarSolar Netherlands B.V. ’s EBIT margin in all the Financial Years stated above falls within the interquartile range of the benchmarking study.</w:t>
      </w:r>
    </w:p>
    <w:p w14:paraId="555F8EE3" w14:textId="09109FE4" w:rsidR="0018078F" w:rsidRPr="00CD63DC" w:rsidRDefault="00361F29">
      <w:pPr>
        <w:pStyle w:val="Heading1"/>
        <w:ind w:left="2074" w:hanging="2074"/>
        <w:rPr>
          <w:rFonts w:cs="Arial"/>
          <w:color w:val="3F9C35"/>
          <w14:textFill>
            <w14:solidFill>
              <w14:srgbClr w14:val="3F9C35">
                <w14:lumMod w14:val="50000"/>
                <w14:lumOff w14:val="50000"/>
              </w14:srgbClr>
            </w14:solidFill>
          </w14:textFill>
        </w:rPr>
      </w:pPr>
      <w:bookmarkStart w:id="123" w:name="_Toc445320052"/>
      <w:bookmarkStart w:id="124" w:name="_Toc203039408"/>
      <w:bookmarkEnd w:id="123"/>
      <w:proofErr w:type="spellStart"/>
      <w:proofErr w:type="spellEnd"/>
      <w:bookmarkEnd w:id="124"/>
      <w:r>
        <w:t>Appendix I – SofarSolar Group’s Master File</w:t>
      </w:r>
    </w:p>
    <w:p w14:paraId="4DF98683" w14:textId="71547DE4" w:rsidR="0018078F" w:rsidRPr="00CD63DC" w:rsidRDefault="00361F29" w:rsidP="00A34C5F">
      <w:pPr>
        <w:pStyle w:val="BodyText"/>
        <w:spacing w:line="276" w:lineRule="auto"/>
        <w:jc w:val="left"/>
      </w:pPr>
      <w:bookmarkStart w:id="125" w:name="_Hlk166598499"/>
      <w:bookmarkEnd w:id="125"/>
      <w:r>
        <w:t xml:space="preserve">Attached as a separate document to this Local File. </w:t>
      </w:r>
    </w:p>
    <w:p w14:paraId="78AA2694" w14:textId="77777777" w:rsidR="0018078F" w:rsidRPr="00CD63DC" w:rsidRDefault="00361F29">
      <w:pPr>
        <w:pStyle w:val="BodyText"/>
        <w:spacing w:line="276" w:lineRule="auto"/>
        <w:jc w:val="left"/>
      </w:pPr>
      <w:r/>
    </w:p>
    <w:p w14:paraId="3296F78C" w14:textId="77777777" w:rsidR="0018078F" w:rsidRPr="00CD63DC" w:rsidRDefault="00361F29">
      <w:pPr>
        <w:pStyle w:val="Heading1"/>
        <w:rPr>
          <w:rFonts w:cs="Arial"/>
          <w:color w:val="3F9C35"/>
          <w14:textFill>
            <w14:solidFill>
              <w14:srgbClr w14:val="3F9C35">
                <w14:lumMod w14:val="50000"/>
                <w14:lumOff w14:val="50000"/>
              </w14:srgbClr>
            </w14:solidFill>
          </w14:textFill>
        </w:rPr>
      </w:pPr>
      <w:bookmarkStart w:id="126" w:name="_Toc203039409"/>
      <w:bookmarkEnd w:id="126"/>
      <w:r>
        <w:t>Appendix II – BEPS Action 13 – Cross-reference Table</w:t>
      </w:r>
    </w:p>
    <w:p w14:paraId="64A39265" w14:textId="77777777" w:rsidR="0018078F" w:rsidRPr="00CD63DC" w:rsidRDefault="00361F29">
      <w:pPr>
        <w:pStyle w:val="BodyText"/>
        <w:spacing w:line="276" w:lineRule="auto"/>
      </w:pPr>
      <w:r>
        <w:t xml:space="preserve">As mentioned in the Local File, the Dutch Decree no. DB / 2015 / 462m and the OECD Guidelines prescribed information that should be included in the Local File. The table below presents an overview of the prescribed information with a cross-reference to the specific paragraph in the Local File. </w:t>
      </w:r>
    </w:p>
    <w:tbl>
      <w:tblPr>
        <w:tblStyle w:val="TableGrid"/>
        <w:tblW w:w="0" w:type="auto"/>
        <w:tblBorders>
          <w:top w:val="dotted" w:sz="4" w:space="0" w:color="009CDE"/>
          <w:left w:val="dotted" w:sz="4" w:space="0" w:color="009CDE"/>
          <w:bottom w:val="dotted" w:sz="4" w:space="0" w:color="009CDE"/>
          <w:right w:val="dotted" w:sz="4" w:space="0" w:color="009CDE"/>
          <w:insideH w:val="dotted" w:sz="4" w:space="0" w:color="009CDE"/>
          <w:insideV w:val="dotted" w:sz="4" w:space="0" w:color="009CDE"/>
        </w:tblBorders>
        <w:tblLook w:val="04A0" w:firstRow="1" w:lastRow="0" w:firstColumn="1" w:lastColumn="0" w:noHBand="0" w:noVBand="1"/>
      </w:tblPr>
      <w:tblGrid>
        <w:gridCol w:w="6028"/>
        <w:gridCol w:w="3046"/>
      </w:tblGrid>
      <w:tr w:rsidR="0018078F" w:rsidRPr="00CD63DC" w14:paraId="60E72978" w14:textId="77777777">
        <w:trPr>
          <w:trHeight w:val="317"/>
          <w:tblHeader/>
        </w:trPr>
        <w:tc>
          <w:tcPr>
            <w:tcW w:w="6028" w:type="dxa"/>
            <w:shd w:val="clear" w:color="auto" w:fill="3F9C35"/>
            <w:vAlign w:val="center"/>
          </w:tcPr>
          <w:p w14:paraId="7234130A" w14:textId="77777777" w:rsidR="0018078F" w:rsidRPr="00CD63DC" w:rsidRDefault="00361F29">
            <w:pPr>
              <w:pStyle w:val="BodyText"/>
              <w:spacing w:before="0" w:after="0" w:line="276" w:lineRule="auto"/>
              <w:jc w:val="left"/>
              <w:rPr>
                <w:b/>
                <w:color w:val="FFFFFF" w:themeColor="background1"/>
              </w:rPr>
            </w:pPr>
            <w:r>
              <w:t>Local file documentation requirements</w:t>
            </w:r>
          </w:p>
        </w:tc>
        <w:tc>
          <w:tcPr>
            <w:tcW w:w="3046" w:type="dxa"/>
            <w:shd w:val="clear" w:color="auto" w:fill="3F9C35"/>
            <w:vAlign w:val="center"/>
          </w:tcPr>
          <w:p w14:paraId="52CB6B7B" w14:textId="77777777" w:rsidR="0018078F" w:rsidRPr="00CD63DC" w:rsidRDefault="00361F29">
            <w:pPr>
              <w:pStyle w:val="BodyText"/>
              <w:spacing w:before="0" w:after="0" w:line="276" w:lineRule="auto"/>
              <w:jc w:val="center"/>
              <w:rPr>
                <w:b/>
                <w:color w:val="FFFFFF" w:themeColor="background1"/>
              </w:rPr>
            </w:pPr>
            <w:r>
              <w:t>Reference Section</w:t>
            </w:r>
          </w:p>
        </w:tc>
      </w:tr>
      <w:tr w:rsidR="0018078F" w:rsidRPr="00CD63DC" w14:paraId="61A1443E" w14:textId="77777777">
        <w:trPr>
          <w:trHeight w:val="317"/>
        </w:trPr>
        <w:tc>
          <w:tcPr>
            <w:tcW w:w="9074" w:type="dxa"/>
            <w:gridSpan w:val="2"/>
            <w:shd w:val="clear" w:color="auto" w:fill="3F9C35"/>
            <w:vAlign w:val="center"/>
          </w:tcPr>
          <w:p w14:paraId="1F2ECDFE" w14:textId="77777777" w:rsidR="0018078F" w:rsidRPr="00CD63DC" w:rsidRDefault="00361F29">
            <w:pPr>
              <w:pStyle w:val="BodyText"/>
              <w:spacing w:before="0" w:after="0" w:line="276" w:lineRule="auto"/>
              <w:jc w:val="center"/>
              <w:rPr>
                <w:b/>
                <w:color w:val="FFFFFF" w:themeColor="background1"/>
              </w:rPr>
            </w:pPr>
            <w:r>
              <w:t>Local entity</w:t>
            </w:r>
          </w:p>
        </w:tc>
      </w:tr>
      <w:tr w:rsidR="0018078F" w:rsidRPr="00CD63DC" w14:paraId="11D8BFA2" w14:textId="77777777">
        <w:trPr>
          <w:trHeight w:val="1362"/>
        </w:trPr>
        <w:tc>
          <w:tcPr>
            <w:tcW w:w="6028" w:type="dxa"/>
            <w:vAlign w:val="center"/>
          </w:tcPr>
          <w:p w14:paraId="02C3D67E" w14:textId="77777777" w:rsidR="0018078F" w:rsidRPr="00CD63DC" w:rsidRDefault="00361F29">
            <w:pPr>
              <w:pStyle w:val="BodyText"/>
              <w:widowControl w:val="0"/>
              <w:numPr>
                <w:ilvl w:val="0"/>
                <w:numId w:val="15"/>
              </w:numPr>
              <w:spacing w:before="0" w:after="0" w:line="276" w:lineRule="auto"/>
              <w:jc w:val="left"/>
              <w:textAlignment w:val="baseline"/>
            </w:pPr>
            <w:r>
              <w:t>A description of the management structure of the local entity, a local organisation chart, and a description of the individuals to whom local management reports and the country (or countries) in which such individuals maintain their principal offices.</w:t>
            </w:r>
          </w:p>
        </w:tc>
        <w:tc>
          <w:tcPr>
            <w:tcW w:w="3046" w:type="dxa"/>
            <w:vAlign w:val="center"/>
          </w:tcPr>
          <w:p w14:paraId="2E085CB1" w14:textId="77777777" w:rsidR="0018078F" w:rsidRPr="00CD63DC" w:rsidRDefault="00361F29">
            <w:pPr>
              <w:pStyle w:val="BodyText"/>
              <w:spacing w:before="0" w:after="0" w:line="276" w:lineRule="auto"/>
              <w:jc w:val="center"/>
            </w:pPr>
            <w:r>
              <w:t>Sections 3.2 and 3.3</w:t>
            </w:r>
          </w:p>
        </w:tc>
      </w:tr>
      <w:tr w:rsidR="0018078F" w:rsidRPr="00CD63DC" w14:paraId="183A02E1" w14:textId="77777777">
        <w:trPr>
          <w:trHeight w:val="1803"/>
        </w:trPr>
        <w:tc>
          <w:tcPr>
            <w:tcW w:w="6028" w:type="dxa"/>
            <w:vAlign w:val="center"/>
          </w:tcPr>
          <w:p w14:paraId="433C5F5A" w14:textId="77777777" w:rsidR="0018078F" w:rsidRPr="00CD63DC" w:rsidRDefault="00361F29">
            <w:pPr>
              <w:pStyle w:val="BodyText"/>
              <w:widowControl w:val="0"/>
              <w:numPr>
                <w:ilvl w:val="0"/>
                <w:numId w:val="15"/>
              </w:numPr>
              <w:spacing w:before="0" w:after="0" w:line="276" w:lineRule="auto"/>
              <w:jc w:val="left"/>
              <w:textAlignment w:val="baseline"/>
            </w:pPr>
            <w:r>
              <w:t>A detailed description of the business and business strategy pursued by the local entity including an indication whether the local entity has been involved in or affected by business restructurings or intangibles transfers in the present or immediately past year and an explanation of those aspects of such transactions affecting the local entity.</w:t>
            </w:r>
          </w:p>
        </w:tc>
        <w:tc>
          <w:tcPr>
            <w:tcW w:w="3046" w:type="dxa"/>
            <w:vAlign w:val="center"/>
          </w:tcPr>
          <w:p w14:paraId="7E22CDB1" w14:textId="77777777" w:rsidR="0018078F" w:rsidRPr="00CD63DC" w:rsidRDefault="00361F29">
            <w:pPr>
              <w:pStyle w:val="BodyText"/>
              <w:spacing w:before="0" w:after="0" w:line="276" w:lineRule="auto"/>
              <w:jc w:val="center"/>
            </w:pPr>
            <w:r>
              <w:t>Section 3</w:t>
            </w:r>
          </w:p>
        </w:tc>
      </w:tr>
      <w:tr w:rsidR="0018078F" w:rsidRPr="00CD63DC" w14:paraId="56A91A3E" w14:textId="77777777">
        <w:trPr>
          <w:trHeight w:val="435"/>
        </w:trPr>
        <w:tc>
          <w:tcPr>
            <w:tcW w:w="6028" w:type="dxa"/>
            <w:vAlign w:val="center"/>
          </w:tcPr>
          <w:p w14:paraId="048D23B8" w14:textId="77777777" w:rsidR="0018078F" w:rsidRPr="00CD63DC" w:rsidRDefault="00361F29">
            <w:pPr>
              <w:pStyle w:val="BodyText"/>
              <w:widowControl w:val="0"/>
              <w:numPr>
                <w:ilvl w:val="0"/>
                <w:numId w:val="15"/>
              </w:numPr>
              <w:spacing w:before="0" w:after="0" w:line="276" w:lineRule="auto"/>
              <w:jc w:val="left"/>
              <w:textAlignment w:val="baseline"/>
            </w:pPr>
            <w:r>
              <w:t>Key competitors.</w:t>
            </w:r>
          </w:p>
        </w:tc>
        <w:tc>
          <w:tcPr>
            <w:tcW w:w="3046" w:type="dxa"/>
            <w:vAlign w:val="center"/>
          </w:tcPr>
          <w:p w14:paraId="35A0033D" w14:textId="77777777" w:rsidR="0018078F" w:rsidRPr="00CD63DC" w:rsidRDefault="00361F29">
            <w:pPr>
              <w:pStyle w:val="BodyText"/>
              <w:spacing w:before="0" w:after="0" w:line="276" w:lineRule="auto"/>
              <w:jc w:val="center"/>
            </w:pPr>
            <w:r>
              <w:t>Section 3.9</w:t>
            </w:r>
          </w:p>
        </w:tc>
      </w:tr>
      <w:tr w:rsidR="0018078F" w:rsidRPr="00CD63DC" w14:paraId="0757FE39" w14:textId="77777777">
        <w:trPr>
          <w:trHeight w:val="317"/>
        </w:trPr>
        <w:tc>
          <w:tcPr>
            <w:tcW w:w="9074" w:type="dxa"/>
            <w:gridSpan w:val="2"/>
            <w:shd w:val="clear" w:color="auto" w:fill="3F9C35"/>
            <w:vAlign w:val="center"/>
          </w:tcPr>
          <w:p w14:paraId="3060A99F" w14:textId="77777777" w:rsidR="0018078F" w:rsidRPr="00CD63DC" w:rsidRDefault="00361F29">
            <w:pPr>
              <w:pStyle w:val="BodyText"/>
              <w:spacing w:before="0" w:after="0" w:line="276" w:lineRule="auto"/>
              <w:jc w:val="center"/>
            </w:pPr>
            <w:r>
              <w:t>Controlled transactions</w:t>
            </w:r>
          </w:p>
        </w:tc>
      </w:tr>
      <w:tr w:rsidR="0018078F" w:rsidRPr="00CD63DC" w14:paraId="5546B174" w14:textId="77777777">
        <w:trPr>
          <w:trHeight w:val="1407"/>
        </w:trPr>
        <w:tc>
          <w:tcPr>
            <w:tcW w:w="6028" w:type="dxa"/>
            <w:vAlign w:val="center"/>
          </w:tcPr>
          <w:p w14:paraId="55C092CB" w14:textId="77777777" w:rsidR="0018078F" w:rsidRPr="00CD63DC" w:rsidRDefault="00361F29">
            <w:pPr>
              <w:pStyle w:val="BodyText"/>
              <w:widowControl w:val="0"/>
              <w:numPr>
                <w:ilvl w:val="0"/>
                <w:numId w:val="15"/>
              </w:numPr>
              <w:adjustRightInd w:val="0"/>
              <w:spacing w:before="0" w:after="0" w:line="276" w:lineRule="auto"/>
              <w:jc w:val="left"/>
              <w:textAlignment w:val="baseline"/>
            </w:pPr>
            <w:proofErr w:type="gramStart"/>
            <w:proofErr w:type="gramEnd"/>
            <w:r>
              <w:t>A description of the material controlled transactions (e.g. procurement of manufacturing services, purchase of goods, provision of services, loans, financial and performance guarantees, licences of intangibles, etc.) and the context in which such transactions take place.</w:t>
            </w:r>
          </w:p>
        </w:tc>
        <w:tc>
          <w:tcPr>
            <w:tcW w:w="3046" w:type="dxa"/>
            <w:vAlign w:val="center"/>
          </w:tcPr>
          <w:p w14:paraId="57CC5787" w14:textId="77777777" w:rsidR="0018078F" w:rsidRPr="00CD63DC" w:rsidRDefault="00361F29">
            <w:pPr>
              <w:pStyle w:val="BodyText"/>
              <w:spacing w:before="0" w:after="0" w:line="276" w:lineRule="auto"/>
              <w:jc w:val="center"/>
            </w:pPr>
            <w:r>
              <w:t>Section 4</w:t>
            </w:r>
          </w:p>
        </w:tc>
      </w:tr>
      <w:tr w:rsidR="0018078F" w:rsidRPr="00CD63DC" w14:paraId="0E7FCF47" w14:textId="77777777">
        <w:trPr>
          <w:trHeight w:val="1335"/>
        </w:trPr>
        <w:tc>
          <w:tcPr>
            <w:tcW w:w="6028" w:type="dxa"/>
            <w:vAlign w:val="center"/>
          </w:tcPr>
          <w:p w14:paraId="1412A010" w14:textId="77777777" w:rsidR="0018078F" w:rsidRPr="00CD63DC" w:rsidRDefault="00361F29">
            <w:pPr>
              <w:pStyle w:val="BodyText"/>
              <w:widowControl w:val="0"/>
              <w:numPr>
                <w:ilvl w:val="0"/>
                <w:numId w:val="15"/>
              </w:numPr>
              <w:adjustRightInd w:val="0"/>
              <w:spacing w:before="0" w:after="0" w:line="276" w:lineRule="auto"/>
              <w:jc w:val="left"/>
              <w:textAlignment w:val="baseline"/>
              <w:rPr>
                <w:b/>
              </w:rPr>
            </w:pPr>
            <w:r>
              <w:t>The amount of intra-group payments and receipts for each category of controlled transactions involving the local entity (i.e. payments and receipts for products, services, royalties, interest, etc.) broken down by tax jurisdiction of the foreign payer or recipient.</w:t>
            </w:r>
          </w:p>
        </w:tc>
        <w:tc>
          <w:tcPr>
            <w:tcW w:w="3046" w:type="dxa"/>
            <w:vAlign w:val="center"/>
          </w:tcPr>
          <w:p w14:paraId="29932F06" w14:textId="77777777" w:rsidR="0018078F" w:rsidRPr="00CD63DC" w:rsidRDefault="00361F29">
            <w:pPr>
              <w:pStyle w:val="BodyText"/>
              <w:spacing w:before="0" w:after="0" w:line="276" w:lineRule="auto"/>
              <w:jc w:val="center"/>
            </w:pPr>
            <w:r>
              <w:t>Section 4</w:t>
            </w:r>
          </w:p>
        </w:tc>
      </w:tr>
      <w:tr w:rsidR="0018078F" w:rsidRPr="00CD63DC" w14:paraId="7FBF988E" w14:textId="77777777">
        <w:trPr>
          <w:trHeight w:val="885"/>
        </w:trPr>
        <w:tc>
          <w:tcPr>
            <w:tcW w:w="6028" w:type="dxa"/>
            <w:vAlign w:val="center"/>
          </w:tcPr>
          <w:p w14:paraId="583F7EF4" w14:textId="77777777" w:rsidR="0018078F" w:rsidRPr="00CD63DC" w:rsidRDefault="00361F29">
            <w:pPr>
              <w:pStyle w:val="BodyText"/>
              <w:widowControl w:val="0"/>
              <w:numPr>
                <w:ilvl w:val="0"/>
                <w:numId w:val="15"/>
              </w:numPr>
              <w:adjustRightInd w:val="0"/>
              <w:spacing w:before="0" w:after="0" w:line="276" w:lineRule="auto"/>
              <w:jc w:val="left"/>
              <w:textAlignment w:val="baseline"/>
            </w:pPr>
            <w:r>
              <w:t>An identification of associated enterprises involved in each category of controlled transactions, and the relationship amongst them.</w:t>
            </w:r>
          </w:p>
        </w:tc>
        <w:tc>
          <w:tcPr>
            <w:tcW w:w="3046" w:type="dxa"/>
            <w:vAlign w:val="center"/>
          </w:tcPr>
          <w:p w14:paraId="16F63E45" w14:textId="77777777" w:rsidR="0018078F" w:rsidRPr="00CD63DC" w:rsidRDefault="00361F29">
            <w:pPr>
              <w:pStyle w:val="BodyText"/>
              <w:spacing w:before="0" w:after="0" w:line="276" w:lineRule="auto"/>
              <w:jc w:val="center"/>
            </w:pPr>
            <w:r>
              <w:t>Section 4</w:t>
            </w:r>
          </w:p>
        </w:tc>
      </w:tr>
      <w:tr w:rsidR="0018078F" w:rsidRPr="00CD63DC" w14:paraId="05510BF6" w14:textId="77777777">
        <w:trPr>
          <w:trHeight w:val="633"/>
        </w:trPr>
        <w:tc>
          <w:tcPr>
            <w:tcW w:w="6028" w:type="dxa"/>
            <w:vAlign w:val="center"/>
          </w:tcPr>
          <w:p w14:paraId="744C8854" w14:textId="77777777" w:rsidR="0018078F" w:rsidRPr="00CD63DC" w:rsidRDefault="00361F29">
            <w:pPr>
              <w:pStyle w:val="BodyText"/>
              <w:widowControl w:val="0"/>
              <w:numPr>
                <w:ilvl w:val="0"/>
                <w:numId w:val="15"/>
              </w:numPr>
              <w:adjustRightInd w:val="0"/>
              <w:spacing w:before="0" w:after="0" w:line="276" w:lineRule="auto"/>
              <w:jc w:val="left"/>
              <w:textAlignment w:val="baseline"/>
            </w:pPr>
            <w:r>
              <w:t>Copies of all material intercompany agreements concluded by the local entity.</w:t>
            </w:r>
          </w:p>
        </w:tc>
        <w:tc>
          <w:tcPr>
            <w:tcW w:w="3046" w:type="dxa"/>
            <w:vAlign w:val="center"/>
          </w:tcPr>
          <w:p w14:paraId="3716EB63" w14:textId="77777777" w:rsidR="0018078F" w:rsidRPr="00CD63DC" w:rsidRDefault="00361F29">
            <w:pPr>
              <w:pStyle w:val="BodyText"/>
              <w:spacing w:before="0" w:after="0" w:line="276" w:lineRule="auto"/>
              <w:jc w:val="center"/>
            </w:pPr>
            <w:r>
              <w:t>Appendix III</w:t>
            </w:r>
          </w:p>
        </w:tc>
      </w:tr>
      <w:tr w:rsidR="0018078F" w:rsidRPr="00CD63DC" w14:paraId="22C98DEC" w14:textId="77777777">
        <w:trPr>
          <w:trHeight w:val="1335"/>
        </w:trPr>
        <w:tc>
          <w:tcPr>
            <w:tcW w:w="6028" w:type="dxa"/>
            <w:vAlign w:val="center"/>
          </w:tcPr>
          <w:p w14:paraId="11448B6D" w14:textId="77777777" w:rsidR="0018078F" w:rsidRPr="00CD63DC" w:rsidRDefault="00361F29">
            <w:pPr>
              <w:pStyle w:val="BodyText"/>
              <w:widowControl w:val="0"/>
              <w:numPr>
                <w:ilvl w:val="0"/>
                <w:numId w:val="15"/>
              </w:numPr>
              <w:adjustRightInd w:val="0"/>
              <w:spacing w:before="0" w:after="0" w:line="276" w:lineRule="auto"/>
              <w:jc w:val="left"/>
              <w:textAlignment w:val="baseline"/>
            </w:pPr>
            <w:r>
              <w:t>A detailed comparability and functional analysis of the taxpayer and relevant associated enterprises with respect to each documented category of controlled transactions, including any changes compared to prior years.</w:t>
            </w:r>
          </w:p>
        </w:tc>
        <w:tc>
          <w:tcPr>
            <w:tcW w:w="3046" w:type="dxa"/>
            <w:vAlign w:val="center"/>
          </w:tcPr>
          <w:p w14:paraId="0DA58AC6" w14:textId="77777777" w:rsidR="0018078F" w:rsidRPr="00CD63DC" w:rsidRDefault="00361F29">
            <w:pPr>
              <w:pStyle w:val="BodyText"/>
              <w:spacing w:before="0" w:after="0" w:line="276" w:lineRule="auto"/>
              <w:jc w:val="center"/>
            </w:pPr>
            <w:r>
              <w:t>Sections 6, 7 and 8</w:t>
            </w:r>
          </w:p>
        </w:tc>
      </w:tr>
      <w:tr w:rsidR="0018078F" w:rsidRPr="00CD63DC" w14:paraId="20B6547F" w14:textId="77777777">
        <w:trPr>
          <w:trHeight w:val="864"/>
        </w:trPr>
        <w:tc>
          <w:tcPr>
            <w:tcW w:w="6028" w:type="dxa"/>
            <w:vAlign w:val="center"/>
          </w:tcPr>
          <w:p w14:paraId="29564EDB" w14:textId="77777777" w:rsidR="0018078F" w:rsidRPr="00CD63DC" w:rsidRDefault="00361F29">
            <w:pPr>
              <w:pStyle w:val="BodyText"/>
              <w:widowControl w:val="0"/>
              <w:numPr>
                <w:ilvl w:val="0"/>
                <w:numId w:val="15"/>
              </w:numPr>
              <w:adjustRightInd w:val="0"/>
              <w:spacing w:before="0" w:after="0" w:line="276" w:lineRule="auto"/>
              <w:jc w:val="left"/>
              <w:textAlignment w:val="baseline"/>
            </w:pPr>
            <w:proofErr w:type="gramStart"/>
            <w:proofErr w:type="gramEnd"/>
            <w:r>
              <w:t>An indication of the most appropriate transfer pricing method with regard to the category of transaction and the reasons for selecting that method.</w:t>
            </w:r>
          </w:p>
        </w:tc>
        <w:tc>
          <w:tcPr>
            <w:tcW w:w="3046" w:type="dxa"/>
            <w:vAlign w:val="center"/>
          </w:tcPr>
          <w:p w14:paraId="6F1C0345" w14:textId="77777777" w:rsidR="0018078F" w:rsidRPr="00CD63DC" w:rsidRDefault="00361F29">
            <w:pPr>
              <w:pStyle w:val="BodyText"/>
              <w:spacing w:before="0" w:after="0" w:line="276" w:lineRule="auto"/>
              <w:jc w:val="center"/>
            </w:pPr>
            <w:r>
              <w:t>Sections 6, 7 and 8</w:t>
            </w:r>
          </w:p>
        </w:tc>
      </w:tr>
      <w:tr w:rsidR="0018078F" w:rsidRPr="00CD63DC" w14:paraId="1E7CEF17" w14:textId="77777777">
        <w:trPr>
          <w:trHeight w:val="864"/>
        </w:trPr>
        <w:tc>
          <w:tcPr>
            <w:tcW w:w="6028" w:type="dxa"/>
            <w:vAlign w:val="center"/>
          </w:tcPr>
          <w:p w14:paraId="0DD44B4E" w14:textId="77777777" w:rsidR="0018078F" w:rsidRPr="00CD63DC" w:rsidRDefault="00361F29">
            <w:pPr>
              <w:pStyle w:val="BodyText"/>
              <w:widowControl w:val="0"/>
              <w:numPr>
                <w:ilvl w:val="0"/>
                <w:numId w:val="15"/>
              </w:numPr>
              <w:adjustRightInd w:val="0"/>
              <w:spacing w:before="0" w:after="0" w:line="276" w:lineRule="auto"/>
              <w:jc w:val="left"/>
              <w:textAlignment w:val="baseline"/>
            </w:pPr>
            <w:r>
              <w:t>An indication of which associated enterprise is selected as the tested party, if applicable, and an explanation of the reasons for this selection.</w:t>
            </w:r>
          </w:p>
        </w:tc>
        <w:tc>
          <w:tcPr>
            <w:tcW w:w="3046" w:type="dxa"/>
            <w:vAlign w:val="center"/>
          </w:tcPr>
          <w:p w14:paraId="2459A789" w14:textId="77777777" w:rsidR="0018078F" w:rsidRPr="00CD63DC" w:rsidRDefault="00361F29">
            <w:pPr>
              <w:pStyle w:val="BodyText"/>
              <w:spacing w:before="0" w:after="0" w:line="276" w:lineRule="auto"/>
              <w:jc w:val="center"/>
            </w:pPr>
            <w:r>
              <w:t>Not applicable</w:t>
            </w:r>
          </w:p>
        </w:tc>
      </w:tr>
      <w:tr w:rsidR="0018078F" w:rsidRPr="00CD63DC" w14:paraId="4198EAC2" w14:textId="77777777">
        <w:trPr>
          <w:trHeight w:val="615"/>
        </w:trPr>
        <w:tc>
          <w:tcPr>
            <w:tcW w:w="6028" w:type="dxa"/>
            <w:vAlign w:val="center"/>
          </w:tcPr>
          <w:p w14:paraId="39ED014C" w14:textId="77777777" w:rsidR="0018078F" w:rsidRPr="00CD63DC" w:rsidRDefault="00361F29">
            <w:pPr>
              <w:pStyle w:val="BodyText"/>
              <w:widowControl w:val="0"/>
              <w:numPr>
                <w:ilvl w:val="0"/>
                <w:numId w:val="15"/>
              </w:numPr>
              <w:adjustRightInd w:val="0"/>
              <w:spacing w:before="0" w:after="0" w:line="276" w:lineRule="auto"/>
              <w:jc w:val="left"/>
              <w:textAlignment w:val="baseline"/>
            </w:pPr>
            <w:r>
              <w:t>A summary of the important assumptions made in applying the transfer pricing methodology.</w:t>
            </w:r>
          </w:p>
        </w:tc>
        <w:tc>
          <w:tcPr>
            <w:tcW w:w="3046" w:type="dxa"/>
            <w:vAlign w:val="center"/>
          </w:tcPr>
          <w:p w14:paraId="5457A670" w14:textId="77777777" w:rsidR="0018078F" w:rsidRPr="00CD63DC" w:rsidRDefault="00361F29">
            <w:pPr>
              <w:pStyle w:val="BodyText"/>
              <w:spacing w:before="0" w:after="0" w:line="276" w:lineRule="auto"/>
              <w:jc w:val="center"/>
            </w:pPr>
            <w:r>
              <w:t>Sections 6, 7 and 8</w:t>
            </w:r>
          </w:p>
        </w:tc>
      </w:tr>
      <w:tr w:rsidR="0018078F" w:rsidRPr="00CD63DC" w14:paraId="2F6446A0" w14:textId="77777777">
        <w:trPr>
          <w:trHeight w:val="642"/>
        </w:trPr>
        <w:tc>
          <w:tcPr>
            <w:tcW w:w="6028" w:type="dxa"/>
            <w:vAlign w:val="center"/>
          </w:tcPr>
          <w:p w14:paraId="2272E6AD" w14:textId="77777777" w:rsidR="0018078F" w:rsidRPr="00CD63DC" w:rsidRDefault="00361F29">
            <w:pPr>
              <w:pStyle w:val="BodyText"/>
              <w:widowControl w:val="0"/>
              <w:numPr>
                <w:ilvl w:val="0"/>
                <w:numId w:val="15"/>
              </w:numPr>
              <w:adjustRightInd w:val="0"/>
              <w:spacing w:before="0" w:after="0" w:line="276" w:lineRule="auto"/>
              <w:jc w:val="left"/>
              <w:textAlignment w:val="baseline"/>
            </w:pPr>
            <w:r>
              <w:t>If relevant, an explanation of the reasons for performing a multi-year analysis.</w:t>
            </w:r>
          </w:p>
        </w:tc>
        <w:tc>
          <w:tcPr>
            <w:tcW w:w="3046" w:type="dxa"/>
            <w:vAlign w:val="center"/>
          </w:tcPr>
          <w:p w14:paraId="2D08384A" w14:textId="77777777" w:rsidR="0018078F" w:rsidRPr="00CD63DC" w:rsidRDefault="00361F29">
            <w:pPr>
              <w:pStyle w:val="BodyText"/>
              <w:spacing w:before="0" w:after="0" w:line="276" w:lineRule="auto"/>
              <w:jc w:val="center"/>
            </w:pPr>
            <w:r>
              <w:t>Not applicable</w:t>
            </w:r>
          </w:p>
        </w:tc>
      </w:tr>
      <w:tr w:rsidR="0018078F" w:rsidRPr="00CD63DC" w14:paraId="5C156989" w14:textId="77777777">
        <w:trPr>
          <w:trHeight w:val="1623"/>
        </w:trPr>
        <w:tc>
          <w:tcPr>
            <w:tcW w:w="6028" w:type="dxa"/>
            <w:vAlign w:val="center"/>
          </w:tcPr>
          <w:p w14:paraId="34F63680" w14:textId="77777777" w:rsidR="0018078F" w:rsidRPr="00CD63DC" w:rsidRDefault="00361F29">
            <w:pPr>
              <w:pStyle w:val="BodyText"/>
              <w:widowControl w:val="0"/>
              <w:numPr>
                <w:ilvl w:val="0"/>
                <w:numId w:val="15"/>
              </w:numPr>
              <w:adjustRightInd w:val="0"/>
              <w:spacing w:before="0" w:after="0" w:line="276" w:lineRule="auto"/>
              <w:jc w:val="left"/>
              <w:textAlignment w:val="baseline"/>
            </w:pPr>
            <w:r>
              <w:t>A list and description of selected comparable uncontrolled transactions (internal or external), if any, and information on relevant financial indicators for independent enterprises relied on in the transfer pricing analysis, including a description of the comparable search methodology and the source of such information.</w:t>
            </w:r>
          </w:p>
        </w:tc>
        <w:tc>
          <w:tcPr>
            <w:tcW w:w="3046" w:type="dxa"/>
            <w:vAlign w:val="center"/>
          </w:tcPr>
          <w:p w14:paraId="6495A630" w14:textId="77777777" w:rsidR="0018078F" w:rsidRPr="00CD63DC" w:rsidRDefault="00361F29">
            <w:pPr>
              <w:pStyle w:val="BodyText"/>
              <w:spacing w:before="0" w:after="0" w:line="276" w:lineRule="auto"/>
              <w:jc w:val="center"/>
            </w:pPr>
            <w:r>
              <w:t>Sections 6, 7 and 8</w:t>
            </w:r>
          </w:p>
        </w:tc>
      </w:tr>
      <w:tr w:rsidR="0018078F" w:rsidRPr="00CD63DC" w14:paraId="058C6DFE" w14:textId="77777777">
        <w:trPr>
          <w:trHeight w:val="1155"/>
        </w:trPr>
        <w:tc>
          <w:tcPr>
            <w:tcW w:w="6028" w:type="dxa"/>
            <w:vAlign w:val="center"/>
          </w:tcPr>
          <w:p w14:paraId="3C7E8E67" w14:textId="77777777" w:rsidR="0018078F" w:rsidRPr="00CD63DC" w:rsidRDefault="00361F29">
            <w:pPr>
              <w:pStyle w:val="BodyText"/>
              <w:widowControl w:val="0"/>
              <w:numPr>
                <w:ilvl w:val="0"/>
                <w:numId w:val="15"/>
              </w:numPr>
              <w:adjustRightInd w:val="0"/>
              <w:spacing w:before="0" w:after="0" w:line="276" w:lineRule="auto"/>
              <w:jc w:val="left"/>
              <w:textAlignment w:val="baseline"/>
            </w:pPr>
            <w:r>
              <w:t>A description of any comparability adjustments performed, and an indication of whether adjustments have been made to the results of the tested party, the comparable uncontrolled transactions, or both.</w:t>
            </w:r>
          </w:p>
        </w:tc>
        <w:tc>
          <w:tcPr>
            <w:tcW w:w="3046" w:type="dxa"/>
            <w:vAlign w:val="center"/>
          </w:tcPr>
          <w:p w14:paraId="5E29D2E4" w14:textId="77777777" w:rsidR="0018078F" w:rsidRPr="00CD63DC" w:rsidRDefault="00361F29">
            <w:pPr>
              <w:pStyle w:val="BodyText"/>
              <w:spacing w:before="0" w:after="0" w:line="276" w:lineRule="auto"/>
              <w:jc w:val="center"/>
            </w:pPr>
            <w:r>
              <w:t>Not applicable</w:t>
            </w:r>
          </w:p>
        </w:tc>
      </w:tr>
      <w:tr w:rsidR="0018078F" w:rsidRPr="00CD63DC" w14:paraId="4CEC51C5" w14:textId="77777777">
        <w:trPr>
          <w:trHeight w:val="885"/>
        </w:trPr>
        <w:tc>
          <w:tcPr>
            <w:tcW w:w="6028" w:type="dxa"/>
            <w:vAlign w:val="center"/>
          </w:tcPr>
          <w:p w14:paraId="776451BB" w14:textId="77777777" w:rsidR="0018078F" w:rsidRPr="00CD63DC" w:rsidRDefault="00361F29">
            <w:pPr>
              <w:pStyle w:val="BodyText"/>
              <w:widowControl w:val="0"/>
              <w:numPr>
                <w:ilvl w:val="0"/>
                <w:numId w:val="15"/>
              </w:numPr>
              <w:adjustRightInd w:val="0"/>
              <w:spacing w:before="0" w:after="0" w:line="276" w:lineRule="auto"/>
              <w:jc w:val="left"/>
              <w:textAlignment w:val="baseline"/>
            </w:pPr>
            <w:r>
              <w:t>A description of the reasons for concluding that relevant transactions were priced on an arm’s length basis based on the application of the selected transfer pricing method.</w:t>
            </w:r>
          </w:p>
        </w:tc>
        <w:tc>
          <w:tcPr>
            <w:tcW w:w="3046" w:type="dxa"/>
            <w:vAlign w:val="center"/>
          </w:tcPr>
          <w:p w14:paraId="5EA0766E" w14:textId="77777777" w:rsidR="0018078F" w:rsidRPr="00CD63DC" w:rsidRDefault="00361F29">
            <w:pPr>
              <w:pStyle w:val="BodyText"/>
              <w:spacing w:before="0" w:after="0" w:line="276" w:lineRule="auto"/>
              <w:jc w:val="center"/>
            </w:pPr>
            <w:r>
              <w:t>Sections 6, 7 and 8</w:t>
            </w:r>
          </w:p>
        </w:tc>
      </w:tr>
      <w:tr w:rsidR="0018078F" w:rsidRPr="00CD63DC" w14:paraId="5476B7B6" w14:textId="77777777">
        <w:trPr>
          <w:trHeight w:val="615"/>
        </w:trPr>
        <w:tc>
          <w:tcPr>
            <w:tcW w:w="6028" w:type="dxa"/>
            <w:vAlign w:val="center"/>
          </w:tcPr>
          <w:p w14:paraId="2109DD6B" w14:textId="77777777" w:rsidR="0018078F" w:rsidRPr="00CD63DC" w:rsidRDefault="00361F29">
            <w:pPr>
              <w:pStyle w:val="BodyText"/>
              <w:widowControl w:val="0"/>
              <w:numPr>
                <w:ilvl w:val="0"/>
                <w:numId w:val="15"/>
              </w:numPr>
              <w:adjustRightInd w:val="0"/>
              <w:spacing w:before="0" w:after="0" w:line="276" w:lineRule="auto"/>
              <w:jc w:val="left"/>
              <w:textAlignment w:val="baseline"/>
            </w:pPr>
            <w:r>
              <w:t>A summary of financial information used in applying the transfer pricing methodology.</w:t>
            </w:r>
          </w:p>
        </w:tc>
        <w:tc>
          <w:tcPr>
            <w:tcW w:w="3046" w:type="dxa"/>
            <w:vAlign w:val="center"/>
          </w:tcPr>
          <w:p w14:paraId="12800619" w14:textId="77777777" w:rsidR="0018078F" w:rsidRPr="00CD63DC" w:rsidRDefault="00361F29">
            <w:pPr>
              <w:pStyle w:val="BodyText"/>
              <w:spacing w:before="0" w:after="0" w:line="276" w:lineRule="auto"/>
              <w:jc w:val="center"/>
            </w:pPr>
            <w:r>
              <w:t>Sections 6, 7 and 8</w:t>
            </w:r>
          </w:p>
        </w:tc>
      </w:tr>
      <w:tr w:rsidR="0018078F" w:rsidRPr="00CD63DC" w14:paraId="2EE7E50D" w14:textId="77777777">
        <w:trPr>
          <w:trHeight w:val="1083"/>
        </w:trPr>
        <w:tc>
          <w:tcPr>
            <w:tcW w:w="6028" w:type="dxa"/>
            <w:vAlign w:val="center"/>
          </w:tcPr>
          <w:p w14:paraId="697297A8" w14:textId="77777777" w:rsidR="0018078F" w:rsidRPr="00CD63DC" w:rsidRDefault="00361F29">
            <w:pPr>
              <w:pStyle w:val="BodyText"/>
              <w:widowControl w:val="0"/>
              <w:numPr>
                <w:ilvl w:val="0"/>
                <w:numId w:val="15"/>
              </w:numPr>
              <w:adjustRightInd w:val="0"/>
              <w:spacing w:before="0" w:after="0" w:line="276" w:lineRule="auto"/>
              <w:jc w:val="left"/>
              <w:textAlignment w:val="baseline"/>
            </w:pPr>
            <w:proofErr w:type="gramStart"/>
            <w:proofErr w:type="gramEnd"/>
            <w:r>
              <w:t>A copy of existing unilateral and bilateral/multilateral APAs and other tax rulings to which the local tax jurisdiction is not a party and which are related to controlled transactions described above.</w:t>
            </w:r>
          </w:p>
        </w:tc>
        <w:tc>
          <w:tcPr>
            <w:tcW w:w="3046" w:type="dxa"/>
            <w:vAlign w:val="center"/>
          </w:tcPr>
          <w:p w14:paraId="6C31005D" w14:textId="77777777" w:rsidR="0018078F" w:rsidRPr="00CD63DC" w:rsidRDefault="00361F29">
            <w:pPr>
              <w:pStyle w:val="BodyText"/>
              <w:spacing w:before="0" w:after="0" w:line="276" w:lineRule="auto"/>
              <w:jc w:val="center"/>
            </w:pPr>
            <w:r>
              <w:t>Section 5</w:t>
            </w:r>
          </w:p>
        </w:tc>
      </w:tr>
      <w:tr w:rsidR="0018078F" w:rsidRPr="00CD63DC" w14:paraId="00BB3F5B" w14:textId="77777777">
        <w:trPr>
          <w:trHeight w:val="317"/>
        </w:trPr>
        <w:tc>
          <w:tcPr>
            <w:tcW w:w="9074" w:type="dxa"/>
            <w:gridSpan w:val="2"/>
            <w:shd w:val="clear" w:color="auto" w:fill="3F9C35"/>
            <w:vAlign w:val="center"/>
          </w:tcPr>
          <w:p w14:paraId="114AE18B" w14:textId="77777777" w:rsidR="0018078F" w:rsidRPr="00CD63DC" w:rsidRDefault="00361F29">
            <w:pPr>
              <w:pStyle w:val="BodyText"/>
              <w:spacing w:before="0" w:after="0" w:line="276" w:lineRule="auto"/>
              <w:jc w:val="center"/>
              <w:rPr>
                <w:b/>
                <w:color w:val="FFFFFF" w:themeColor="background1"/>
              </w:rPr>
            </w:pPr>
            <w:r>
              <w:t>Financial information</w:t>
            </w:r>
          </w:p>
        </w:tc>
      </w:tr>
      <w:tr w:rsidR="0018078F" w:rsidRPr="00CD63DC" w14:paraId="3597A8C2" w14:textId="77777777">
        <w:trPr>
          <w:trHeight w:val="1065"/>
        </w:trPr>
        <w:tc>
          <w:tcPr>
            <w:tcW w:w="6028" w:type="dxa"/>
            <w:vAlign w:val="center"/>
          </w:tcPr>
          <w:p w14:paraId="2A7A3FD4" w14:textId="77777777" w:rsidR="0018078F" w:rsidRPr="00CD63DC" w:rsidRDefault="00361F29">
            <w:pPr>
              <w:pStyle w:val="BodyText"/>
              <w:widowControl w:val="0"/>
              <w:numPr>
                <w:ilvl w:val="0"/>
                <w:numId w:val="16"/>
              </w:numPr>
              <w:adjustRightInd w:val="0"/>
              <w:spacing w:before="0" w:after="0" w:line="276" w:lineRule="auto"/>
              <w:jc w:val="left"/>
              <w:textAlignment w:val="baseline"/>
            </w:pPr>
            <w:proofErr w:type="gramStart"/>
            <w:proofErr w:type="gramEnd"/>
            <w:r>
              <w:t>Annual local entity financial accounts for the fiscal year concerned. If audited statements exist they should be supplied and if not, existing unaudited statements should be supplied.</w:t>
            </w:r>
          </w:p>
        </w:tc>
        <w:tc>
          <w:tcPr>
            <w:tcW w:w="3046" w:type="dxa"/>
            <w:vAlign w:val="center"/>
          </w:tcPr>
          <w:p w14:paraId="2EEF8395" w14:textId="77777777" w:rsidR="0018078F" w:rsidRPr="00CD63DC" w:rsidRDefault="00361F29">
            <w:pPr>
              <w:pStyle w:val="BodyText"/>
              <w:spacing w:before="0" w:after="0" w:line="276" w:lineRule="auto"/>
              <w:jc w:val="center"/>
            </w:pPr>
            <w:r>
              <w:t>Appendix IV</w:t>
            </w:r>
          </w:p>
        </w:tc>
      </w:tr>
      <w:tr w:rsidR="0018078F" w:rsidRPr="00CD63DC" w14:paraId="52B0702B" w14:textId="77777777">
        <w:trPr>
          <w:trHeight w:val="822"/>
        </w:trPr>
        <w:tc>
          <w:tcPr>
            <w:tcW w:w="6028" w:type="dxa"/>
            <w:vAlign w:val="center"/>
          </w:tcPr>
          <w:p w14:paraId="1631F076" w14:textId="77777777" w:rsidR="0018078F" w:rsidRPr="00CD63DC" w:rsidRDefault="00361F29">
            <w:pPr>
              <w:pStyle w:val="BodyText"/>
              <w:widowControl w:val="0"/>
              <w:numPr>
                <w:ilvl w:val="0"/>
                <w:numId w:val="16"/>
              </w:numPr>
              <w:adjustRightInd w:val="0"/>
              <w:spacing w:before="0" w:after="0" w:line="276" w:lineRule="auto"/>
              <w:jc w:val="left"/>
              <w:textAlignment w:val="baseline"/>
            </w:pPr>
            <w:r>
              <w:t>Information and allocation schedules showing how the financial data used in applying the transfer pricing method may be tied to the annual financial statements.</w:t>
            </w:r>
          </w:p>
        </w:tc>
        <w:tc>
          <w:tcPr>
            <w:tcW w:w="3046" w:type="dxa"/>
            <w:vAlign w:val="center"/>
          </w:tcPr>
          <w:p w14:paraId="14E28FB9" w14:textId="77777777" w:rsidR="0018078F" w:rsidRPr="00CD63DC" w:rsidRDefault="00361F29">
            <w:pPr>
              <w:pStyle w:val="BodyText"/>
              <w:spacing w:before="0" w:after="0" w:line="276" w:lineRule="auto"/>
              <w:jc w:val="center"/>
            </w:pPr>
            <w:r>
              <w:t>Sections 6, 7 and 8</w:t>
            </w:r>
          </w:p>
        </w:tc>
      </w:tr>
      <w:tr w:rsidR="0018078F" w:rsidRPr="00CD63DC" w14:paraId="2531BEA1" w14:textId="77777777">
        <w:trPr>
          <w:trHeight w:val="813"/>
        </w:trPr>
        <w:tc>
          <w:tcPr>
            <w:tcW w:w="6028" w:type="dxa"/>
            <w:vAlign w:val="center"/>
          </w:tcPr>
          <w:p w14:paraId="55CBF1CB" w14:textId="77777777" w:rsidR="0018078F" w:rsidRPr="00CD63DC" w:rsidRDefault="00361F29">
            <w:pPr>
              <w:pStyle w:val="BodyText"/>
              <w:widowControl w:val="0"/>
              <w:numPr>
                <w:ilvl w:val="0"/>
                <w:numId w:val="16"/>
              </w:numPr>
              <w:adjustRightInd w:val="0"/>
              <w:spacing w:before="0" w:after="0" w:line="276" w:lineRule="auto"/>
              <w:jc w:val="left"/>
              <w:textAlignment w:val="baseline"/>
            </w:pPr>
            <w:proofErr w:type="spellStart"/>
            <w:proofErr w:type="spellEnd"/>
            <w:r>
              <w:t>Summary schedules of relevant financial data for comparables used in the analysis and the sources from which that data was obtained.</w:t>
            </w:r>
          </w:p>
        </w:tc>
        <w:tc>
          <w:tcPr>
            <w:tcW w:w="3046" w:type="dxa"/>
            <w:vAlign w:val="center"/>
          </w:tcPr>
          <w:p w14:paraId="0C07E03A" w14:textId="77777777" w:rsidR="0018078F" w:rsidRPr="00CD63DC" w:rsidRDefault="00361F29">
            <w:pPr>
              <w:pStyle w:val="BodyText"/>
              <w:spacing w:before="0" w:after="0" w:line="276" w:lineRule="auto"/>
              <w:jc w:val="center"/>
            </w:pPr>
            <w:r>
              <w:t>Appendix V</w:t>
            </w:r>
          </w:p>
        </w:tc>
      </w:tr>
    </w:tbl>
    <w:p w14:paraId="006AEAC1" w14:textId="77777777" w:rsidR="0018078F" w:rsidRPr="00CD63DC" w:rsidRDefault="0018078F">
      <w:pPr>
        <w:pStyle w:val="BodyText"/>
        <w:spacing w:line="276" w:lineRule="auto"/>
      </w:pPr>
      <w:r/>
    </w:p>
    <w:p w14:paraId="20BC8D70" w14:textId="77777777" w:rsidR="0018078F" w:rsidRPr="00CD63DC" w:rsidRDefault="00361F29">
      <w:pPr>
        <w:pStyle w:val="Heading1"/>
        <w:rPr>
          <w:rFonts w:cs="Arial"/>
          <w:color w:val="3F9C35"/>
          <w14:textFill>
            <w14:solidFill>
              <w14:srgbClr w14:val="3F9C35">
                <w14:lumMod w14:val="50000"/>
                <w14:lumOff w14:val="50000"/>
              </w14:srgbClr>
            </w14:solidFill>
          </w14:textFill>
        </w:rPr>
      </w:pPr>
      <w:bookmarkStart w:id="127" w:name="_Toc203039410"/>
      <w:bookmarkEnd w:id="127"/>
      <w:r>
        <w:t>Appendix III – Intercompany Agreements</w:t>
      </w:r>
    </w:p>
    <w:p w14:paraId="68464B74" w14:textId="77777777" w:rsidR="0018078F" w:rsidRPr="00CD63DC" w:rsidRDefault="00361F29">
      <w:pPr>
        <w:pStyle w:val="BodyText"/>
        <w:spacing w:line="276" w:lineRule="auto"/>
        <w:jc w:val="left"/>
      </w:pPr>
      <w:r>
        <w:t xml:space="preserve">Attached as a separate document to this Local File. </w:t>
      </w:r>
    </w:p>
    <w:p w14:paraId="135882AE" w14:textId="77777777" w:rsidR="0018078F" w:rsidRPr="00CD63DC" w:rsidRDefault="0018078F">
      <w:pPr>
        <w:pStyle w:val="BodyText"/>
        <w:spacing w:line="276" w:lineRule="auto"/>
      </w:pPr>
      <w:r/>
    </w:p>
    <w:p w14:paraId="4599FDEA" w14:textId="2063C971" w:rsidR="0018078F" w:rsidRPr="00CD63DC" w:rsidRDefault="00361F29">
      <w:pPr>
        <w:pStyle w:val="Heading1"/>
        <w:ind w:left="2340" w:right="188" w:hanging="2340"/>
        <w:rPr>
          <w:rFonts w:cs="Arial"/>
          <w:color w:val="3F9C35"/>
          <w14:textFill>
            <w14:solidFill>
              <w14:srgbClr w14:val="3F9C35">
                <w14:lumMod w14:val="50000"/>
                <w14:lumOff w14:val="50000"/>
              </w14:srgbClr>
            </w14:solidFill>
          </w14:textFill>
        </w:rPr>
      </w:pPr>
      <w:bookmarkStart w:id="128" w:name="_Toc203039411"/>
      <w:proofErr w:type="spellStart"/>
      <w:proofErr w:type="spellEnd"/>
      <w:proofErr w:type="spellStart"/>
      <w:proofErr w:type="spellEnd"/>
      <w:bookmarkEnd w:id="128"/>
      <w:r>
        <w:t>Appendix IV – Statutory Accounts of SofarSolar Netherlands B.V. for FY2024</w:t>
      </w:r>
    </w:p>
    <w:p w14:paraId="23C7ABA1" w14:textId="77777777" w:rsidR="0018078F" w:rsidRPr="00CD63DC" w:rsidRDefault="00361F29">
      <w:pPr>
        <w:pStyle w:val="BodyText"/>
        <w:spacing w:line="276" w:lineRule="auto"/>
        <w:jc w:val="left"/>
      </w:pPr>
      <w:r>
        <w:t xml:space="preserve">Attached as a separate document to this Local File. </w:t>
      </w:r>
    </w:p>
    <w:p w14:paraId="59C12789" w14:textId="77777777" w:rsidR="0018078F" w:rsidRPr="00CD63DC" w:rsidRDefault="0018078F">
      <w:pPr>
        <w:pStyle w:val="BodyText"/>
        <w:spacing w:line="276" w:lineRule="auto"/>
        <w:jc w:val="center"/>
      </w:pPr>
      <w:r/>
    </w:p>
    <w:p w14:paraId="62168DBB" w14:textId="77777777" w:rsidR="0018078F" w:rsidRPr="00CD63DC" w:rsidRDefault="0018078F">
      <w:pPr>
        <w:pStyle w:val="BodyText"/>
        <w:spacing w:line="276" w:lineRule="auto"/>
        <w:jc w:val="center"/>
      </w:pPr>
      <w:r/>
    </w:p>
    <w:p w14:paraId="16482C68" w14:textId="77777777" w:rsidR="0018078F" w:rsidRPr="00CD63DC" w:rsidRDefault="0018078F">
      <w:pPr>
        <w:pStyle w:val="BodyText"/>
        <w:spacing w:line="276" w:lineRule="auto"/>
        <w:jc w:val="center"/>
      </w:pPr>
      <w:r/>
    </w:p>
    <w:p w14:paraId="69DC53B7" w14:textId="77777777" w:rsidR="0018078F" w:rsidRPr="00CD63DC" w:rsidRDefault="0018078F">
      <w:pPr>
        <w:pStyle w:val="BodyText"/>
        <w:spacing w:line="276" w:lineRule="auto"/>
        <w:jc w:val="center"/>
      </w:pPr>
      <w:r/>
    </w:p>
    <w:p w14:paraId="4DD67DA8" w14:textId="77777777" w:rsidR="0018078F" w:rsidRPr="00CD63DC" w:rsidRDefault="0018078F">
      <w:pPr>
        <w:spacing w:before="80" w:after="80"/>
        <w:rPr>
          <w:lang w:val="en-US"/>
        </w:rPr>
      </w:pPr>
      <w:r/>
    </w:p>
    <w:p w14:paraId="389F7318" w14:textId="77777777" w:rsidR="0018078F" w:rsidRPr="00CD63DC" w:rsidRDefault="0018078F">
      <w:pPr>
        <w:pStyle w:val="BodyText"/>
        <w:spacing w:line="276" w:lineRule="auto"/>
        <w:rPr>
          <w:lang w:val="en-US"/>
        </w:rPr>
      </w:pPr>
      <w:r/>
    </w:p>
    <w:p w14:paraId="580F2A1F" w14:textId="77777777" w:rsidR="0018078F" w:rsidRPr="00CD63DC" w:rsidRDefault="00361F29">
      <w:pPr>
        <w:pStyle w:val="Heading1"/>
        <w:rPr>
          <w:rFonts w:cs="Arial"/>
          <w:color w:val="3F9C35"/>
          <w14:textFill>
            <w14:solidFill>
              <w14:srgbClr w14:val="3F9C35">
                <w14:lumMod w14:val="50000"/>
                <w14:lumOff w14:val="50000"/>
              </w14:srgbClr>
            </w14:solidFill>
          </w14:textFill>
        </w:rPr>
      </w:pPr>
      <w:bookmarkStart w:id="129" w:name="_Toc456643491"/>
      <w:bookmarkStart w:id="130" w:name="_Toc456643373"/>
      <w:bookmarkStart w:id="131" w:name="_Toc456643575"/>
      <w:bookmarkStart w:id="132" w:name="_Toc456643485"/>
      <w:bookmarkStart w:id="133" w:name="_Toc456643375"/>
      <w:bookmarkStart w:id="134" w:name="_Toc456643374"/>
      <w:bookmarkStart w:id="135" w:name="_Toc456643572"/>
      <w:bookmarkStart w:id="136" w:name="_Toc456643377"/>
      <w:bookmarkStart w:id="137" w:name="_Toc63188903"/>
      <w:bookmarkStart w:id="138" w:name="_Toc456643570"/>
      <w:bookmarkStart w:id="139" w:name="_Toc456643487"/>
      <w:bookmarkStart w:id="140" w:name="_Toc456643488"/>
      <w:bookmarkStart w:id="141" w:name="_Toc456643573"/>
      <w:bookmarkStart w:id="142" w:name="_Toc63188902"/>
      <w:bookmarkStart w:id="143" w:name="_Toc456643489"/>
      <w:bookmarkStart w:id="144" w:name="_Toc456643486"/>
      <w:bookmarkStart w:id="145" w:name="_Toc456643571"/>
      <w:bookmarkStart w:id="146" w:name="_Toc456643378"/>
      <w:bookmarkStart w:id="147" w:name="_Toc456643574"/>
      <w:bookmarkStart w:id="148" w:name="_Toc456643490"/>
      <w:bookmarkStart w:id="149" w:name="_Toc456643376"/>
      <w:bookmarkStart w:id="150" w:name="_Toc456643379"/>
      <w:bookmarkStart w:id="151" w:name="_Toc456643576"/>
      <w:bookmarkStart w:id="152" w:name="_Toc203039412"/>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t>Appendix V – Benchmarking studies</w:t>
      </w:r>
    </w:p>
    <w:p w14:paraId="58CFCF43" w14:textId="77777777" w:rsidR="0018078F" w:rsidRDefault="00361F29">
      <w:pPr>
        <w:pStyle w:val="BodyText"/>
        <w:spacing w:line="276" w:lineRule="auto"/>
        <w:jc w:val="left"/>
      </w:pPr>
      <w:r>
        <w:t xml:space="preserve">Attached as a separate document to this Local File. </w:t>
      </w:r>
    </w:p>
    <w:p w14:paraId="374F1BAD" w14:textId="77777777" w:rsidR="0018078F" w:rsidRDefault="0018078F">
      <w:r/>
    </w:p>
    <w:p w14:paraId="70E5899F" w14:textId="77777777" w:rsidR="0018078F" w:rsidRDefault="0018078F">
      <w:pPr>
        <w:spacing w:before="80" w:after="80"/>
        <w:rPr>
          <w:sz w:val="22"/>
        </w:rPr>
      </w:pPr>
      <w:r/>
    </w:p>
    <w:p w14:paraId="54317A38" w14:textId="77777777" w:rsidR="0018078F" w:rsidRDefault="0018078F">
      <w:r/>
    </w:p>
    <w:sectPr w:rsidR="0018078F">
      <w:headerReference w:type="default" r:id="rId12"/>
      <w:footerReference w:type="default" r:id="rId13"/>
      <w:headerReference w:type="first" r:id="rId14"/>
      <w:pgSz w:w="11906" w:h="16838"/>
      <w:pgMar w:top="1526" w:right="1411" w:bottom="1411" w:left="1411" w:header="720" w:footer="47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DF300" w14:textId="77777777" w:rsidR="00815348" w:rsidRDefault="00815348">
      <w:pPr>
        <w:spacing w:line="240" w:lineRule="auto"/>
      </w:pPr>
      <w:r>
        <w:separator/>
      </w:r>
    </w:p>
  </w:endnote>
  <w:endnote w:type="continuationSeparator" w:id="0">
    <w:p w14:paraId="1C09A6DD" w14:textId="77777777" w:rsidR="00815348" w:rsidRDefault="00815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altName w:val="Cambria"/>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DilleniaUPC">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EYInterstate Light">
    <w:altName w:val="Calibri"/>
    <w:charset w:val="00"/>
    <w:family w:val="swiss"/>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Prelo-Light">
    <w:altName w:val="Calibri"/>
    <w:charset w:val="00"/>
    <w:family w:val="swiss"/>
    <w:pitch w:val="default"/>
    <w:sig w:usb0="00000000" w:usb1="00000000" w:usb2="00000000" w:usb3="00000000" w:csb0="00000001" w:csb1="00000000"/>
  </w:font>
  <w:font w:name="YouYuan">
    <w:altName w:val="SimSun"/>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6060055"/>
      <w:docPartObj>
        <w:docPartGallery w:val="AutoText"/>
      </w:docPartObj>
    </w:sdtPr>
    <w:sdtEndPr>
      <w:rPr>
        <w:b w:val="0"/>
        <w:sz w:val="16"/>
        <w:szCs w:val="16"/>
      </w:rPr>
    </w:sdtEndPr>
    <w:sdtContent>
      <w:p w14:paraId="247B10CF" w14:textId="77777777" w:rsidR="0018078F" w:rsidRDefault="00361F29">
        <w:pPr>
          <w:pStyle w:val="Footer"/>
          <w:rPr>
            <w:b w:val="0"/>
            <w:sz w:val="16"/>
            <w:szCs w:val="16"/>
          </w:rPr>
        </w:pPr>
        <w:r>
          <w:rPr>
            <w:b w:val="0"/>
            <w:sz w:val="16"/>
            <w:szCs w:val="16"/>
          </w:rPr>
          <w:fldChar w:fldCharType="begin"/>
        </w:r>
        <w:r>
          <w:rPr>
            <w:b w:val="0"/>
            <w:sz w:val="16"/>
            <w:szCs w:val="16"/>
          </w:rPr>
          <w:instrText>PAGE   \* MERGEFORMAT</w:instrText>
        </w:r>
        <w:r>
          <w:rPr>
            <w:b w:val="0"/>
            <w:sz w:val="16"/>
            <w:szCs w:val="16"/>
          </w:rPr>
          <w:fldChar w:fldCharType="separate"/>
        </w:r>
        <w:r>
          <w:rPr>
            <w:b w:val="0"/>
            <w:sz w:val="16"/>
            <w:szCs w:val="16"/>
            <w:lang w:val="nl-NL"/>
          </w:rPr>
          <w:t>24</w:t>
        </w:r>
        <w:r>
          <w:rPr>
            <w:b w:val="0"/>
            <w:sz w:val="16"/>
            <w:szCs w:val="16"/>
          </w:rPr>
          <w:fldChar w:fldCharType="end"/>
        </w:r>
      </w:p>
    </w:sdtContent>
  </w:sdt>
  <w:p w14:paraId="20408E5F" w14:textId="77777777" w:rsidR="0018078F" w:rsidRDefault="0018078F">
    <w:pPr>
      <w:pStyle w:val="Footer"/>
    </w:pP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FDDB8" w14:textId="77777777" w:rsidR="00815348" w:rsidRDefault="00815348">
      <w:pPr>
        <w:spacing w:before="0" w:after="0"/>
      </w:pPr>
      <w:r>
        <w:separator/>
      </w:r>
    </w:p>
  </w:footnote>
  <w:footnote w:type="continuationSeparator" w:id="0">
    <w:p w14:paraId="2E0DA8F5" w14:textId="77777777" w:rsidR="00815348" w:rsidRDefault="0081534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CDA2D" w14:textId="1E604A26" w:rsidR="0018078F" w:rsidRDefault="00C620CD">
    <w:pPr>
      <w:pStyle w:val="Header"/>
      <w:ind w:right="-6"/>
      <w:jc w:val="both"/>
      <w:rPr>
        <w:lang w:val="en-US"/>
      </w:rPr>
    </w:pPr>
    <w:sdt>
      <w:sdtPr>
        <w:rPr>
          <w:sz w:val="20"/>
          <w:lang w:val="en-US" w:eastAsia="zh-CN"/>
        </w:rPr>
        <w:id w:val="-124163574"/>
        <w:docPartObj>
          <w:docPartGallery w:val="AutoText"/>
        </w:docPartObj>
      </w:sdtPr>
      <w:sdtEndPr/>
      <w:sdtContent>
        <w:r>
          <w:rPr>
            <w:sz w:val="20"/>
            <w:lang w:val="en-US" w:eastAsia="zh-CN"/>
          </w:rPr>
          <w:pict w14:anchorId="1A976F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fitpath="t" string="DRAFT"/>
              <w10:wrap anchorx="margin" anchory="margin"/>
            </v:shape>
          </w:pict>
        </w:r>
      </w:sdtContent>
    </w:sdt>
    <w:r>
      <w:t>Local File FY2022-2024 | Draft for discussion purposes only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0863" w14:textId="77777777" w:rsidR="0018078F" w:rsidRDefault="00361F29">
    <w:pPr>
      <w:rPr>
        <w:lang w:val="en-US"/>
      </w:rPr>
    </w:pPr>
    <w:r>
      <w:rPr>
        <w:noProof/>
        <w:lang w:val="en-US"/>
      </w:rPr>
      <w:drawing>
        <wp:anchor distT="0" distB="0" distL="114300" distR="114300" simplePos="0" relativeHeight="251656704" behindDoc="1" locked="0" layoutInCell="1" allowOverlap="1" wp14:anchorId="0E1E0590" wp14:editId="30C814D1">
          <wp:simplePos x="0" y="0"/>
          <wp:positionH relativeFrom="page">
            <wp:posOffset>17780</wp:posOffset>
          </wp:positionH>
          <wp:positionV relativeFrom="paragraph">
            <wp:posOffset>-564515</wp:posOffset>
          </wp:positionV>
          <wp:extent cx="7540625" cy="10663555"/>
          <wp:effectExtent l="0" t="0" r="3175" b="4445"/>
          <wp:wrapNone/>
          <wp:docPr id="1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0831" cy="10663847"/>
                  </a:xfrm>
                  <a:prstGeom prst="rect">
                    <a:avLst/>
                  </a:prstGeom>
                </pic:spPr>
              </pic:pic>
            </a:graphicData>
          </a:graphic>
        </wp:anchor>
      </w:drawing>
    </w:r>
  </w:p>
  <w:p w14:paraId="64620565" w14:textId="77777777" w:rsidR="0018078F" w:rsidRDefault="0018078F"/>
  <w:p w14:paraId="1F75DE64" w14:textId="77777777" w:rsidR="0018078F" w:rsidRDefault="0018078F"/>
  <w:p w14:paraId="07E16EFC" w14:textId="77777777" w:rsidR="0018078F" w:rsidRDefault="0018078F"/>
  <w:p w14:paraId="6E6B660D" w14:textId="77777777" w:rsidR="0018078F" w:rsidRDefault="0018078F"/>
  <w:p w14:paraId="2936FCE1" w14:textId="77777777" w:rsidR="0018078F" w:rsidRDefault="0018078F"/>
  <w:p w14:paraId="3D901CD4" w14:textId="77777777" w:rsidR="0018078F" w:rsidRDefault="0018078F"/>
  <w:p w14:paraId="5CAEC9BB" w14:textId="77777777" w:rsidR="0018078F" w:rsidRDefault="0018078F"/>
  <w:p w14:paraId="387DE72C" w14:textId="77777777" w:rsidR="0018078F" w:rsidRDefault="001807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D08D0"/>
    <w:multiLevelType w:val="multilevel"/>
    <w:tmpl w:val="077D08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C861131"/>
    <w:multiLevelType w:val="multilevel"/>
    <w:tmpl w:val="0C861131"/>
    <w:lvl w:ilvl="0">
      <w:start w:val="1"/>
      <w:numFmt w:val="decimal"/>
      <w:pStyle w:val="ListNumber"/>
      <w:lvlText w:val="%1."/>
      <w:lvlJc w:val="left"/>
      <w:pPr>
        <w:tabs>
          <w:tab w:val="left" w:pos="567"/>
        </w:tabs>
        <w:ind w:left="567" w:hanging="567"/>
      </w:pPr>
      <w:rPr>
        <w:rFonts w:hint="default"/>
      </w:rPr>
    </w:lvl>
    <w:lvl w:ilvl="1">
      <w:start w:val="1"/>
      <w:numFmt w:val="lowerLetter"/>
      <w:lvlText w:val="%2."/>
      <w:lvlJc w:val="left"/>
      <w:pPr>
        <w:tabs>
          <w:tab w:val="left" w:pos="1134"/>
        </w:tabs>
        <w:ind w:left="1134" w:hanging="567"/>
      </w:pPr>
      <w:rPr>
        <w:rFonts w:hint="default"/>
      </w:rPr>
    </w:lvl>
    <w:lvl w:ilvl="2">
      <w:start w:val="1"/>
      <w:numFmt w:val="lowerRoman"/>
      <w:lvlText w:val="%3."/>
      <w:lvlJc w:val="left"/>
      <w:pPr>
        <w:tabs>
          <w:tab w:val="left" w:pos="1701"/>
        </w:tabs>
        <w:ind w:left="1701" w:hanging="567"/>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numFmt w:val="none"/>
      <w:suff w:val="nothing"/>
      <w:lvlText w:val=""/>
      <w:lvlJc w:val="left"/>
      <w:pPr>
        <w:ind w:left="0" w:firstLine="0"/>
      </w:pPr>
      <w:rPr>
        <w:rFonts w:hint="default"/>
      </w:rPr>
    </w:lvl>
    <w:lvl w:ilvl="7">
      <w:numFmt w:val="none"/>
      <w:suff w:val="nothing"/>
      <w:lvlText w:val=""/>
      <w:lvlJc w:val="left"/>
      <w:pPr>
        <w:ind w:left="0" w:firstLine="0"/>
      </w:pPr>
      <w:rPr>
        <w:rFonts w:hint="default"/>
      </w:rPr>
    </w:lvl>
    <w:lvl w:ilvl="8">
      <w:numFmt w:val="none"/>
      <w:suff w:val="nothing"/>
      <w:lvlText w:val=""/>
      <w:lvlJc w:val="left"/>
      <w:pPr>
        <w:ind w:left="0" w:firstLine="0"/>
      </w:pPr>
      <w:rPr>
        <w:rFonts w:hint="default"/>
      </w:rPr>
    </w:lvl>
  </w:abstractNum>
  <w:abstractNum w:abstractNumId="2" w15:restartNumberingAfterBreak="0">
    <w:nsid w:val="0D715AE0"/>
    <w:multiLevelType w:val="multilevel"/>
    <w:tmpl w:val="0D715AE0"/>
    <w:lvl w:ilvl="0">
      <w:start w:val="1"/>
      <w:numFmt w:val="decimal"/>
      <w:pStyle w:val="TableNumber"/>
      <w:lvlText w:val="%1."/>
      <w:lvlJc w:val="left"/>
      <w:pPr>
        <w:tabs>
          <w:tab w:val="left" w:pos="227"/>
        </w:tabs>
        <w:ind w:left="227" w:hanging="227"/>
      </w:pPr>
      <w:rPr>
        <w:rFonts w:hint="default"/>
        <w:b w:val="0"/>
        <w:i w:val="0"/>
        <w:sz w:val="20"/>
      </w:rPr>
    </w:lvl>
    <w:lvl w:ilvl="1">
      <w:start w:val="1"/>
      <w:numFmt w:val="lowerLetter"/>
      <w:lvlText w:val="%2."/>
      <w:lvlJc w:val="left"/>
      <w:pPr>
        <w:tabs>
          <w:tab w:val="left" w:pos="454"/>
        </w:tabs>
        <w:ind w:left="454" w:hanging="227"/>
      </w:pPr>
      <w:rPr>
        <w:rFonts w:hint="default"/>
      </w:rPr>
    </w:lvl>
    <w:lvl w:ilvl="2">
      <w:start w:val="1"/>
      <w:numFmt w:val="lowerRoman"/>
      <w:lvlText w:val="%3."/>
      <w:lvlJc w:val="left"/>
      <w:pPr>
        <w:tabs>
          <w:tab w:val="left" w:pos="680"/>
        </w:tabs>
        <w:ind w:left="680" w:hanging="226"/>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color w:val="auto"/>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66E24E3"/>
    <w:multiLevelType w:val="multilevel"/>
    <w:tmpl w:val="166E24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9D6218"/>
    <w:multiLevelType w:val="hybridMultilevel"/>
    <w:tmpl w:val="D9924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74E13"/>
    <w:multiLevelType w:val="hybridMultilevel"/>
    <w:tmpl w:val="81F8AE7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24CB38B5"/>
    <w:multiLevelType w:val="multilevel"/>
    <w:tmpl w:val="24CB38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E353C6"/>
    <w:multiLevelType w:val="multilevel"/>
    <w:tmpl w:val="24E353C6"/>
    <w:lvl w:ilvl="0">
      <w:start w:val="1"/>
      <w:numFmt w:val="decimal"/>
      <w:pStyle w:val="NoHeading1"/>
      <w:lvlText w:val="%1."/>
      <w:lvlJc w:val="left"/>
      <w:pPr>
        <w:tabs>
          <w:tab w:val="left" w:pos="1134"/>
        </w:tabs>
        <w:ind w:left="284" w:hanging="284"/>
      </w:pPr>
      <w:rPr>
        <w:rFonts w:hint="default"/>
      </w:rPr>
    </w:lvl>
    <w:lvl w:ilvl="1">
      <w:start w:val="1"/>
      <w:numFmt w:val="decimal"/>
      <w:lvlText w:val="%1.%2"/>
      <w:lvlJc w:val="left"/>
      <w:pPr>
        <w:tabs>
          <w:tab w:val="left" w:pos="5245"/>
        </w:tabs>
        <w:ind w:left="5245" w:hanging="1134"/>
      </w:pPr>
      <w:rPr>
        <w:rFonts w:hint="default"/>
      </w:rPr>
    </w:lvl>
    <w:lvl w:ilvl="2">
      <w:start w:val="1"/>
      <w:numFmt w:val="decimal"/>
      <w:lvlText w:val="%1.%2.%3"/>
      <w:lvlJc w:val="left"/>
      <w:pPr>
        <w:tabs>
          <w:tab w:val="left" w:pos="3119"/>
        </w:tabs>
        <w:ind w:left="3119" w:hanging="1134"/>
      </w:pPr>
      <w:rPr>
        <w:rFonts w:hint="default"/>
      </w:rPr>
    </w:lvl>
    <w:lvl w:ilvl="3">
      <w:start w:val="1"/>
      <w:numFmt w:val="decimal"/>
      <w:pStyle w:val="NoHeading4"/>
      <w:lvlText w:val="%1.%2.%3.%4"/>
      <w:lvlJc w:val="left"/>
      <w:pPr>
        <w:tabs>
          <w:tab w:val="left" w:pos="2836"/>
        </w:tabs>
        <w:ind w:left="2836" w:hanging="1134"/>
      </w:pPr>
      <w:rPr>
        <w:rFonts w:hint="default"/>
      </w:rPr>
    </w:lvl>
    <w:lvl w:ilvl="4">
      <w:start w:val="1"/>
      <w:numFmt w:val="decimal"/>
      <w:pStyle w:val="NoHeading5"/>
      <w:lvlText w:val="%1.%2.%3.%4.%5"/>
      <w:lvlJc w:val="left"/>
      <w:pPr>
        <w:tabs>
          <w:tab w:val="left" w:pos="1560"/>
        </w:tabs>
        <w:ind w:left="1560" w:hanging="1134"/>
      </w:pPr>
      <w:rPr>
        <w:rFonts w:hint="default"/>
      </w:rPr>
    </w:lvl>
    <w:lvl w:ilvl="5">
      <w:start w:val="1"/>
      <w:numFmt w:val="decimal"/>
      <w:lvlRestart w:val="1"/>
      <w:pStyle w:val="FigureCaption"/>
      <w:lvlText w:val="Figure %6.%1"/>
      <w:lvlJc w:val="center"/>
      <w:pPr>
        <w:ind w:left="0" w:firstLine="0"/>
      </w:pPr>
      <w:rPr>
        <w:rFonts w:hint="default"/>
      </w:rPr>
    </w:lvl>
    <w:lvl w:ilvl="6">
      <w:start w:val="1"/>
      <w:numFmt w:val="decimal"/>
      <w:lvlRestart w:val="1"/>
      <w:pStyle w:val="TableCaption"/>
      <w:lvlText w:val="Table %7.%1"/>
      <w:lvlJc w:val="left"/>
      <w:pPr>
        <w:tabs>
          <w:tab w:val="left" w:pos="1134"/>
        </w:tabs>
        <w:ind w:left="1134" w:hanging="1134"/>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9AC6CBF"/>
    <w:multiLevelType w:val="multilevel"/>
    <w:tmpl w:val="29AC6C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81691F"/>
    <w:multiLevelType w:val="multilevel"/>
    <w:tmpl w:val="3288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02F01"/>
    <w:multiLevelType w:val="multilevel"/>
    <w:tmpl w:val="39C02F01"/>
    <w:lvl w:ilvl="0">
      <w:start w:val="1"/>
      <w:numFmt w:val="decimal"/>
      <w:lvlText w:val="%1."/>
      <w:lvlJc w:val="left"/>
      <w:pPr>
        <w:ind w:left="360" w:hanging="360"/>
      </w:pPr>
      <w:rPr>
        <w:rFonts w:hint="default"/>
      </w:rPr>
    </w:lvl>
    <w:lvl w:ilvl="1">
      <w:start w:val="1"/>
      <w:numFmt w:val="decimal"/>
      <w:lvlText w:val="%1.%2."/>
      <w:lvlJc w:val="left"/>
      <w:pPr>
        <w:ind w:left="1038" w:hanging="612"/>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504" w:hanging="504"/>
      </w:pPr>
      <w:rPr>
        <w:rFonts w:ascii="Arial" w:hAnsi="Arial" w:cs="Arial" w:hint="default"/>
        <w:b w:val="0"/>
        <w:color w:val="3F9C35"/>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AF4755E"/>
    <w:multiLevelType w:val="multilevel"/>
    <w:tmpl w:val="3AF475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F4C5D03"/>
    <w:multiLevelType w:val="multilevel"/>
    <w:tmpl w:val="4F4C5D03"/>
    <w:lvl w:ilvl="0">
      <w:start w:val="1"/>
      <w:numFmt w:val="upperRoman"/>
      <w:pStyle w:val="Appendixheading1"/>
      <w:lvlText w:val="Appendix %1. "/>
      <w:lvlJc w:val="left"/>
      <w:pPr>
        <w:ind w:left="360" w:hanging="360"/>
      </w:pPr>
      <w:rPr>
        <w:rFonts w:ascii="Arial" w:hAnsi="Arial" w:hint="default"/>
        <w:b w:val="0"/>
        <w:bCs w:val="0"/>
        <w:i w:val="0"/>
        <w:iCs w:val="0"/>
        <w:caps w:val="0"/>
        <w:smallCaps w:val="0"/>
        <w:strike w:val="0"/>
        <w:dstrike w:val="0"/>
        <w:outline w:val="0"/>
        <w:shadow w:val="0"/>
        <w:emboss w:val="0"/>
        <w:imprint w:val="0"/>
        <w:vanish w:val="0"/>
        <w:color w:val="58595B" w:themeColor="accent2"/>
        <w:spacing w:val="0"/>
        <w:kern w:val="0"/>
        <w:position w:val="0"/>
        <w:sz w:val="3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4A224E6"/>
    <w:multiLevelType w:val="multilevel"/>
    <w:tmpl w:val="54A224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B4A651C"/>
    <w:multiLevelType w:val="multilevel"/>
    <w:tmpl w:val="5B4A651C"/>
    <w:lvl w:ilvl="0">
      <w:start w:val="1"/>
      <w:numFmt w:val="bullet"/>
      <w:pStyle w:val="TableBullet"/>
      <w:lvlText w:val=""/>
      <w:lvlJc w:val="left"/>
      <w:pPr>
        <w:tabs>
          <w:tab w:val="left" w:pos="227"/>
        </w:tabs>
        <w:ind w:left="227" w:hanging="227"/>
      </w:pPr>
      <w:rPr>
        <w:rFonts w:ascii="Wingdings" w:hAnsi="Wingdings" w:hint="default"/>
        <w:b w:val="0"/>
        <w:i w:val="0"/>
        <w:color w:val="820000" w:themeColor="accent1"/>
        <w:sz w:val="20"/>
      </w:rPr>
    </w:lvl>
    <w:lvl w:ilvl="1">
      <w:start w:val="1"/>
      <w:numFmt w:val="bullet"/>
      <w:lvlText w:val="○"/>
      <w:lvlJc w:val="left"/>
      <w:pPr>
        <w:tabs>
          <w:tab w:val="left" w:pos="454"/>
        </w:tabs>
        <w:ind w:left="454" w:hanging="227"/>
      </w:pPr>
      <w:rPr>
        <w:rFonts w:ascii="Century Gothic" w:hAnsi="Century Gothic" w:hint="default"/>
        <w:color w:val="820000" w:themeColor="accent1"/>
        <w:sz w:val="16"/>
      </w:rPr>
    </w:lvl>
    <w:lvl w:ilvl="2">
      <w:start w:val="1"/>
      <w:numFmt w:val="bullet"/>
      <w:lvlText w:val="–"/>
      <w:lvlJc w:val="left"/>
      <w:pPr>
        <w:tabs>
          <w:tab w:val="left" w:pos="680"/>
        </w:tabs>
        <w:ind w:left="680" w:hanging="226"/>
      </w:pPr>
      <w:rPr>
        <w:rFonts w:ascii="Calibri" w:hAnsi="Calibri" w:hint="default"/>
        <w:color w:val="820000" w:themeColor="accent1"/>
      </w:rPr>
    </w:lvl>
    <w:lvl w:ilvl="3">
      <w:start w:val="1"/>
      <w:numFmt w:val="none"/>
      <w:suff w:val="nothing"/>
      <w:lvlText w:val=""/>
      <w:lvlJc w:val="left"/>
      <w:pPr>
        <w:ind w:left="0" w:firstLine="0"/>
      </w:pPr>
      <w:rPr>
        <w:rFonts w:hint="default"/>
        <w:color w:val="auto"/>
      </w:rPr>
    </w:lvl>
    <w:lvl w:ilvl="4">
      <w:start w:val="1"/>
      <w:numFmt w:val="none"/>
      <w:suff w:val="nothing"/>
      <w:lvlText w:val=""/>
      <w:lvlJc w:val="left"/>
      <w:pPr>
        <w:ind w:left="0" w:firstLine="0"/>
      </w:pPr>
      <w:rPr>
        <w:rFonts w:hint="default"/>
        <w:color w:val="auto"/>
      </w:rPr>
    </w:lvl>
    <w:lvl w:ilvl="5">
      <w:start w:val="1"/>
      <w:numFmt w:val="none"/>
      <w:suff w:val="nothing"/>
      <w:lvlText w:val=""/>
      <w:lvlJc w:val="left"/>
      <w:pPr>
        <w:ind w:left="0" w:firstLine="0"/>
      </w:pPr>
      <w:rPr>
        <w:rFonts w:hint="default"/>
        <w:color w:val="auto"/>
      </w:rPr>
    </w:lvl>
    <w:lvl w:ilvl="6">
      <w:start w:val="1"/>
      <w:numFmt w:val="none"/>
      <w:suff w:val="nothing"/>
      <w:lvlText w:val=""/>
      <w:lvlJc w:val="left"/>
      <w:pPr>
        <w:ind w:left="0" w:firstLine="0"/>
      </w:pPr>
      <w:rPr>
        <w:rFonts w:hint="default"/>
        <w:color w:val="auto"/>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5" w15:restartNumberingAfterBreak="0">
    <w:nsid w:val="5B755B6F"/>
    <w:multiLevelType w:val="multilevel"/>
    <w:tmpl w:val="5B755B6F"/>
    <w:lvl w:ilvl="0">
      <w:start w:val="1"/>
      <w:numFmt w:val="bullet"/>
      <w:pStyle w:val="ListBullet"/>
      <w:lvlText w:val=""/>
      <w:lvlJc w:val="left"/>
      <w:pPr>
        <w:tabs>
          <w:tab w:val="left" w:pos="284"/>
        </w:tabs>
        <w:ind w:left="284" w:hanging="284"/>
      </w:pPr>
      <w:rPr>
        <w:rFonts w:ascii="Wingdings" w:hAnsi="Wingdings" w:hint="default"/>
        <w:b w:val="0"/>
        <w:i w:val="0"/>
        <w:color w:val="820000" w:themeColor="accent1"/>
        <w:sz w:val="20"/>
      </w:rPr>
    </w:lvl>
    <w:lvl w:ilvl="1">
      <w:start w:val="1"/>
      <w:numFmt w:val="bullet"/>
      <w:lvlText w:val="○"/>
      <w:lvlJc w:val="left"/>
      <w:pPr>
        <w:tabs>
          <w:tab w:val="left" w:pos="567"/>
        </w:tabs>
        <w:ind w:left="567" w:hanging="283"/>
      </w:pPr>
      <w:rPr>
        <w:rFonts w:ascii="Century Gothic" w:hAnsi="Century Gothic" w:hint="default"/>
        <w:color w:val="820000" w:themeColor="accent1"/>
        <w:sz w:val="16"/>
      </w:rPr>
    </w:lvl>
    <w:lvl w:ilvl="2">
      <w:start w:val="1"/>
      <w:numFmt w:val="bullet"/>
      <w:lvlText w:val="–"/>
      <w:lvlJc w:val="left"/>
      <w:pPr>
        <w:tabs>
          <w:tab w:val="left" w:pos="851"/>
        </w:tabs>
        <w:ind w:left="851" w:hanging="284"/>
      </w:pPr>
      <w:rPr>
        <w:rFonts w:ascii="Calibri" w:hAnsi="Calibri" w:hint="default"/>
        <w:color w:val="820000" w:themeColor="accent1"/>
      </w:rPr>
    </w:lvl>
    <w:lvl w:ilvl="3">
      <w:start w:val="1"/>
      <w:numFmt w:val="none"/>
      <w:suff w:val="nothing"/>
      <w:lvlText w:val=""/>
      <w:lvlJc w:val="left"/>
      <w:pPr>
        <w:ind w:left="0" w:firstLine="0"/>
      </w:pPr>
      <w:rPr>
        <w:rFonts w:hint="default"/>
        <w:color w:val="auto"/>
      </w:rPr>
    </w:lvl>
    <w:lvl w:ilvl="4">
      <w:start w:val="1"/>
      <w:numFmt w:val="none"/>
      <w:suff w:val="nothing"/>
      <w:lvlText w:val=""/>
      <w:lvlJc w:val="left"/>
      <w:pPr>
        <w:ind w:left="0" w:firstLine="0"/>
      </w:pPr>
      <w:rPr>
        <w:rFonts w:hint="default"/>
        <w:color w:val="auto"/>
      </w:rPr>
    </w:lvl>
    <w:lvl w:ilvl="5">
      <w:start w:val="1"/>
      <w:numFmt w:val="none"/>
      <w:suff w:val="nothing"/>
      <w:lvlText w:val=""/>
      <w:lvlJc w:val="left"/>
      <w:pPr>
        <w:ind w:left="0" w:firstLine="0"/>
      </w:pPr>
      <w:rPr>
        <w:rFonts w:hint="default"/>
        <w:color w:val="auto"/>
      </w:rPr>
    </w:lvl>
    <w:lvl w:ilvl="6">
      <w:start w:val="1"/>
      <w:numFmt w:val="none"/>
      <w:suff w:val="nothing"/>
      <w:lvlText w:val=""/>
      <w:lvlJc w:val="left"/>
      <w:pPr>
        <w:ind w:left="0" w:firstLine="0"/>
      </w:pPr>
      <w:rPr>
        <w:rFonts w:hint="default"/>
        <w:color w:val="auto"/>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6" w15:restartNumberingAfterBreak="0">
    <w:nsid w:val="64B54A58"/>
    <w:multiLevelType w:val="multilevel"/>
    <w:tmpl w:val="64B54A58"/>
    <w:lvl w:ilvl="0">
      <w:start w:val="1"/>
      <w:numFmt w:val="bullet"/>
      <w:pStyle w:val="Bullet1"/>
      <w:lvlText w:val=""/>
      <w:lvlJc w:val="left"/>
      <w:pPr>
        <w:tabs>
          <w:tab w:val="left" w:pos="397"/>
        </w:tabs>
        <w:ind w:left="397" w:hanging="397"/>
      </w:pPr>
      <w:rPr>
        <w:rFonts w:ascii="Symbol" w:hAnsi="Symbol" w:hint="default"/>
      </w:rPr>
    </w:lvl>
    <w:lvl w:ilvl="1">
      <w:start w:val="1"/>
      <w:numFmt w:val="lowerLetter"/>
      <w:lvlText w:val="%2."/>
      <w:lvlJc w:val="left"/>
      <w:pPr>
        <w:tabs>
          <w:tab w:val="left" w:pos="794"/>
        </w:tabs>
        <w:ind w:left="794" w:hanging="397"/>
      </w:pPr>
      <w:rPr>
        <w:rFonts w:hint="default"/>
      </w:rPr>
    </w:lvl>
    <w:lvl w:ilvl="2">
      <w:start w:val="1"/>
      <w:numFmt w:val="lowerRoman"/>
      <w:lvlText w:val="%3."/>
      <w:lvlJc w:val="left"/>
      <w:pPr>
        <w:tabs>
          <w:tab w:val="left" w:pos="1191"/>
        </w:tabs>
        <w:ind w:left="1191" w:hanging="397"/>
      </w:pPr>
      <w:rPr>
        <w:rFonts w:hint="default"/>
      </w:rPr>
    </w:lvl>
    <w:lvl w:ilvl="3">
      <w:start w:val="1"/>
      <w:numFmt w:val="decimal"/>
      <w:lvlText w:val="%4."/>
      <w:lvlJc w:val="left"/>
      <w:pPr>
        <w:tabs>
          <w:tab w:val="left" w:pos="1588"/>
        </w:tabs>
        <w:ind w:left="1588" w:hanging="397"/>
      </w:pPr>
      <w:rPr>
        <w:rFonts w:hint="default"/>
      </w:rPr>
    </w:lvl>
    <w:lvl w:ilvl="4">
      <w:start w:val="1"/>
      <w:numFmt w:val="lowerLetter"/>
      <w:lvlText w:val="%5."/>
      <w:lvlJc w:val="left"/>
      <w:pPr>
        <w:tabs>
          <w:tab w:val="left" w:pos="1985"/>
        </w:tabs>
        <w:ind w:left="1985" w:hanging="397"/>
      </w:pPr>
      <w:rPr>
        <w:rFonts w:hint="default"/>
      </w:rPr>
    </w:lvl>
    <w:lvl w:ilvl="5">
      <w:start w:val="1"/>
      <w:numFmt w:val="lowerRoman"/>
      <w:lvlText w:val="%6."/>
      <w:lvlJc w:val="left"/>
      <w:pPr>
        <w:tabs>
          <w:tab w:val="left" w:pos="2381"/>
        </w:tabs>
        <w:ind w:left="2382" w:hanging="397"/>
      </w:pPr>
      <w:rPr>
        <w:rFonts w:hint="default"/>
      </w:rPr>
    </w:lvl>
    <w:lvl w:ilvl="6">
      <w:start w:val="1"/>
      <w:numFmt w:val="decimal"/>
      <w:lvlText w:val="%7."/>
      <w:lvlJc w:val="left"/>
      <w:pPr>
        <w:tabs>
          <w:tab w:val="left" w:pos="2778"/>
        </w:tabs>
        <w:ind w:left="2779" w:hanging="397"/>
      </w:pPr>
      <w:rPr>
        <w:rFonts w:hint="default"/>
      </w:rPr>
    </w:lvl>
    <w:lvl w:ilvl="7">
      <w:start w:val="1"/>
      <w:numFmt w:val="lowerLetter"/>
      <w:lvlText w:val="%8."/>
      <w:lvlJc w:val="left"/>
      <w:pPr>
        <w:tabs>
          <w:tab w:val="left" w:pos="3175"/>
        </w:tabs>
        <w:ind w:left="3176" w:hanging="397"/>
      </w:pPr>
      <w:rPr>
        <w:rFonts w:hint="default"/>
      </w:rPr>
    </w:lvl>
    <w:lvl w:ilvl="8">
      <w:start w:val="1"/>
      <w:numFmt w:val="lowerRoman"/>
      <w:lvlText w:val="%9."/>
      <w:lvlJc w:val="left"/>
      <w:pPr>
        <w:tabs>
          <w:tab w:val="left" w:pos="3572"/>
        </w:tabs>
        <w:ind w:left="3573" w:hanging="397"/>
      </w:pPr>
      <w:rPr>
        <w:rFonts w:hint="default"/>
      </w:rPr>
    </w:lvl>
  </w:abstractNum>
  <w:abstractNum w:abstractNumId="17" w15:restartNumberingAfterBreak="0">
    <w:nsid w:val="6F8E698F"/>
    <w:multiLevelType w:val="multilevel"/>
    <w:tmpl w:val="6F8E69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2F2716D"/>
    <w:multiLevelType w:val="multilevel"/>
    <w:tmpl w:val="72F271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39109565">
    <w:abstractNumId w:val="1"/>
  </w:num>
  <w:num w:numId="2" w16cid:durableId="231818091">
    <w:abstractNumId w:val="15"/>
  </w:num>
  <w:num w:numId="3" w16cid:durableId="1172068070">
    <w:abstractNumId w:val="7"/>
  </w:num>
  <w:num w:numId="4" w16cid:durableId="854270981">
    <w:abstractNumId w:val="14"/>
  </w:num>
  <w:num w:numId="5" w16cid:durableId="552697401">
    <w:abstractNumId w:val="2"/>
  </w:num>
  <w:num w:numId="6" w16cid:durableId="1605964600">
    <w:abstractNumId w:val="16"/>
  </w:num>
  <w:num w:numId="7" w16cid:durableId="1731683703">
    <w:abstractNumId w:val="12"/>
  </w:num>
  <w:num w:numId="8" w16cid:durableId="1772313490">
    <w:abstractNumId w:val="8"/>
  </w:num>
  <w:num w:numId="9" w16cid:durableId="737898350">
    <w:abstractNumId w:val="10"/>
  </w:num>
  <w:num w:numId="10" w16cid:durableId="1288510628">
    <w:abstractNumId w:val="11"/>
  </w:num>
  <w:num w:numId="11" w16cid:durableId="726881162">
    <w:abstractNumId w:val="17"/>
  </w:num>
  <w:num w:numId="12" w16cid:durableId="476997836">
    <w:abstractNumId w:val="13"/>
  </w:num>
  <w:num w:numId="13" w16cid:durableId="1917593627">
    <w:abstractNumId w:val="0"/>
  </w:num>
  <w:num w:numId="14" w16cid:durableId="444034456">
    <w:abstractNumId w:val="3"/>
  </w:num>
  <w:num w:numId="15" w16cid:durableId="1987122123">
    <w:abstractNumId w:val="18"/>
  </w:num>
  <w:num w:numId="16" w16cid:durableId="299582441">
    <w:abstractNumId w:val="6"/>
  </w:num>
  <w:num w:numId="17" w16cid:durableId="221988512">
    <w:abstractNumId w:val="5"/>
  </w:num>
  <w:num w:numId="18" w16cid:durableId="195393351">
    <w:abstractNumId w:val="9"/>
  </w:num>
  <w:num w:numId="19" w16cid:durableId="1941375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oNotTrackFormatting/>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E9F"/>
    <w:rsid w:val="00000252"/>
    <w:rsid w:val="00000A2A"/>
    <w:rsid w:val="0000133A"/>
    <w:rsid w:val="000016E3"/>
    <w:rsid w:val="00001855"/>
    <w:rsid w:val="0000188B"/>
    <w:rsid w:val="0000211A"/>
    <w:rsid w:val="000025E1"/>
    <w:rsid w:val="00002D91"/>
    <w:rsid w:val="000038FD"/>
    <w:rsid w:val="00003CD7"/>
    <w:rsid w:val="00003D10"/>
    <w:rsid w:val="0000422A"/>
    <w:rsid w:val="00004C4C"/>
    <w:rsid w:val="00004CFA"/>
    <w:rsid w:val="00005489"/>
    <w:rsid w:val="00005A48"/>
    <w:rsid w:val="00005C02"/>
    <w:rsid w:val="00005D55"/>
    <w:rsid w:val="00006100"/>
    <w:rsid w:val="00006120"/>
    <w:rsid w:val="0000633A"/>
    <w:rsid w:val="000063D3"/>
    <w:rsid w:val="00006710"/>
    <w:rsid w:val="00006EA1"/>
    <w:rsid w:val="000070EC"/>
    <w:rsid w:val="000073E5"/>
    <w:rsid w:val="000074E1"/>
    <w:rsid w:val="00007C4B"/>
    <w:rsid w:val="00007FF8"/>
    <w:rsid w:val="00010772"/>
    <w:rsid w:val="000109C3"/>
    <w:rsid w:val="00010C86"/>
    <w:rsid w:val="00011CBF"/>
    <w:rsid w:val="00011FB9"/>
    <w:rsid w:val="00011FE2"/>
    <w:rsid w:val="000122F6"/>
    <w:rsid w:val="000123C7"/>
    <w:rsid w:val="000129E0"/>
    <w:rsid w:val="00012DCD"/>
    <w:rsid w:val="00012EB8"/>
    <w:rsid w:val="00012EC5"/>
    <w:rsid w:val="00013CB5"/>
    <w:rsid w:val="00013F1A"/>
    <w:rsid w:val="000149EE"/>
    <w:rsid w:val="00014B6D"/>
    <w:rsid w:val="000150CC"/>
    <w:rsid w:val="0001539F"/>
    <w:rsid w:val="00015C30"/>
    <w:rsid w:val="00016004"/>
    <w:rsid w:val="000179AA"/>
    <w:rsid w:val="000201B9"/>
    <w:rsid w:val="000202A7"/>
    <w:rsid w:val="000203C5"/>
    <w:rsid w:val="0002056B"/>
    <w:rsid w:val="0002076D"/>
    <w:rsid w:val="000208A9"/>
    <w:rsid w:val="00020C23"/>
    <w:rsid w:val="00020CFB"/>
    <w:rsid w:val="00020E43"/>
    <w:rsid w:val="0002141B"/>
    <w:rsid w:val="00021647"/>
    <w:rsid w:val="00021C43"/>
    <w:rsid w:val="00021FB6"/>
    <w:rsid w:val="000228CF"/>
    <w:rsid w:val="00022912"/>
    <w:rsid w:val="00022970"/>
    <w:rsid w:val="000229D4"/>
    <w:rsid w:val="00023545"/>
    <w:rsid w:val="00023BF2"/>
    <w:rsid w:val="00023CB5"/>
    <w:rsid w:val="00023ED5"/>
    <w:rsid w:val="00024FB7"/>
    <w:rsid w:val="00025113"/>
    <w:rsid w:val="00025B37"/>
    <w:rsid w:val="00025FF5"/>
    <w:rsid w:val="00026165"/>
    <w:rsid w:val="00026299"/>
    <w:rsid w:val="00026720"/>
    <w:rsid w:val="0002677D"/>
    <w:rsid w:val="00026800"/>
    <w:rsid w:val="00027810"/>
    <w:rsid w:val="00027C34"/>
    <w:rsid w:val="00027FB8"/>
    <w:rsid w:val="00030029"/>
    <w:rsid w:val="000301CB"/>
    <w:rsid w:val="000304C8"/>
    <w:rsid w:val="00030B0E"/>
    <w:rsid w:val="00030C4F"/>
    <w:rsid w:val="00031000"/>
    <w:rsid w:val="00031222"/>
    <w:rsid w:val="00031839"/>
    <w:rsid w:val="00032325"/>
    <w:rsid w:val="00032361"/>
    <w:rsid w:val="00032775"/>
    <w:rsid w:val="00032BA8"/>
    <w:rsid w:val="00032C08"/>
    <w:rsid w:val="00032E2F"/>
    <w:rsid w:val="000333BB"/>
    <w:rsid w:val="0003350B"/>
    <w:rsid w:val="00035169"/>
    <w:rsid w:val="00035262"/>
    <w:rsid w:val="00036A71"/>
    <w:rsid w:val="00036B1F"/>
    <w:rsid w:val="000370CC"/>
    <w:rsid w:val="000374E9"/>
    <w:rsid w:val="0003768E"/>
    <w:rsid w:val="000403B7"/>
    <w:rsid w:val="000405CE"/>
    <w:rsid w:val="00040ECC"/>
    <w:rsid w:val="00041175"/>
    <w:rsid w:val="000416C3"/>
    <w:rsid w:val="00041E16"/>
    <w:rsid w:val="0004220E"/>
    <w:rsid w:val="000422CE"/>
    <w:rsid w:val="000426F6"/>
    <w:rsid w:val="00042977"/>
    <w:rsid w:val="00042CFB"/>
    <w:rsid w:val="0004377C"/>
    <w:rsid w:val="00043D64"/>
    <w:rsid w:val="00044028"/>
    <w:rsid w:val="00045326"/>
    <w:rsid w:val="00045BBA"/>
    <w:rsid w:val="0004634A"/>
    <w:rsid w:val="00046684"/>
    <w:rsid w:val="000466DD"/>
    <w:rsid w:val="000472F8"/>
    <w:rsid w:val="00047300"/>
    <w:rsid w:val="00047B4C"/>
    <w:rsid w:val="00047D07"/>
    <w:rsid w:val="00050161"/>
    <w:rsid w:val="00050228"/>
    <w:rsid w:val="0005084E"/>
    <w:rsid w:val="00050944"/>
    <w:rsid w:val="00050984"/>
    <w:rsid w:val="00050E5B"/>
    <w:rsid w:val="00051A95"/>
    <w:rsid w:val="00051AEB"/>
    <w:rsid w:val="00051C84"/>
    <w:rsid w:val="00051F29"/>
    <w:rsid w:val="0005251C"/>
    <w:rsid w:val="0005266D"/>
    <w:rsid w:val="00052A7B"/>
    <w:rsid w:val="00052A7E"/>
    <w:rsid w:val="000532CC"/>
    <w:rsid w:val="00053686"/>
    <w:rsid w:val="000542B0"/>
    <w:rsid w:val="00054A6F"/>
    <w:rsid w:val="00054DE6"/>
    <w:rsid w:val="00055306"/>
    <w:rsid w:val="000554CC"/>
    <w:rsid w:val="00055DA5"/>
    <w:rsid w:val="000564A5"/>
    <w:rsid w:val="00056D82"/>
    <w:rsid w:val="000572AA"/>
    <w:rsid w:val="00057367"/>
    <w:rsid w:val="00057BA8"/>
    <w:rsid w:val="00057D2D"/>
    <w:rsid w:val="00057D98"/>
    <w:rsid w:val="00057F80"/>
    <w:rsid w:val="000603C3"/>
    <w:rsid w:val="00060823"/>
    <w:rsid w:val="0006086D"/>
    <w:rsid w:val="00060900"/>
    <w:rsid w:val="00060B80"/>
    <w:rsid w:val="00060C6B"/>
    <w:rsid w:val="00060C76"/>
    <w:rsid w:val="00060F6D"/>
    <w:rsid w:val="00060FC0"/>
    <w:rsid w:val="00060FDA"/>
    <w:rsid w:val="000614F4"/>
    <w:rsid w:val="000615F0"/>
    <w:rsid w:val="00061703"/>
    <w:rsid w:val="000617B4"/>
    <w:rsid w:val="0006199C"/>
    <w:rsid w:val="000623FE"/>
    <w:rsid w:val="00062CAE"/>
    <w:rsid w:val="00062F47"/>
    <w:rsid w:val="000633E1"/>
    <w:rsid w:val="0006357A"/>
    <w:rsid w:val="0006383D"/>
    <w:rsid w:val="00063F9B"/>
    <w:rsid w:val="00063FE7"/>
    <w:rsid w:val="00064335"/>
    <w:rsid w:val="00064E8B"/>
    <w:rsid w:val="00064E8D"/>
    <w:rsid w:val="0006523C"/>
    <w:rsid w:val="000652F2"/>
    <w:rsid w:val="00065B3E"/>
    <w:rsid w:val="0006622E"/>
    <w:rsid w:val="000665C1"/>
    <w:rsid w:val="00066CDD"/>
    <w:rsid w:val="000671E5"/>
    <w:rsid w:val="00067C34"/>
    <w:rsid w:val="00067E5A"/>
    <w:rsid w:val="0007044D"/>
    <w:rsid w:val="000706E2"/>
    <w:rsid w:val="00070A9E"/>
    <w:rsid w:val="0007141E"/>
    <w:rsid w:val="000715B0"/>
    <w:rsid w:val="00071991"/>
    <w:rsid w:val="000719B5"/>
    <w:rsid w:val="00071B72"/>
    <w:rsid w:val="00071C7D"/>
    <w:rsid w:val="00071F3C"/>
    <w:rsid w:val="00071F45"/>
    <w:rsid w:val="0007200E"/>
    <w:rsid w:val="0007217A"/>
    <w:rsid w:val="000722BC"/>
    <w:rsid w:val="00072438"/>
    <w:rsid w:val="00072EB4"/>
    <w:rsid w:val="00073691"/>
    <w:rsid w:val="00073700"/>
    <w:rsid w:val="0007427C"/>
    <w:rsid w:val="00074618"/>
    <w:rsid w:val="00074922"/>
    <w:rsid w:val="00074B3F"/>
    <w:rsid w:val="00075499"/>
    <w:rsid w:val="000755CF"/>
    <w:rsid w:val="00075B66"/>
    <w:rsid w:val="00075F4B"/>
    <w:rsid w:val="00076F97"/>
    <w:rsid w:val="00076FFE"/>
    <w:rsid w:val="00077138"/>
    <w:rsid w:val="000774FD"/>
    <w:rsid w:val="00077813"/>
    <w:rsid w:val="00077970"/>
    <w:rsid w:val="00077C64"/>
    <w:rsid w:val="00080135"/>
    <w:rsid w:val="000801FE"/>
    <w:rsid w:val="0008066C"/>
    <w:rsid w:val="00080BA8"/>
    <w:rsid w:val="00081775"/>
    <w:rsid w:val="000817C4"/>
    <w:rsid w:val="000819FD"/>
    <w:rsid w:val="00082134"/>
    <w:rsid w:val="00082684"/>
    <w:rsid w:val="00082C07"/>
    <w:rsid w:val="00082D2E"/>
    <w:rsid w:val="0008358E"/>
    <w:rsid w:val="0008395A"/>
    <w:rsid w:val="00083A93"/>
    <w:rsid w:val="00083C60"/>
    <w:rsid w:val="00083DC3"/>
    <w:rsid w:val="0008404E"/>
    <w:rsid w:val="000840FE"/>
    <w:rsid w:val="0008422C"/>
    <w:rsid w:val="000842E4"/>
    <w:rsid w:val="00084889"/>
    <w:rsid w:val="00084E27"/>
    <w:rsid w:val="00084E2D"/>
    <w:rsid w:val="00084F76"/>
    <w:rsid w:val="000852D1"/>
    <w:rsid w:val="00085619"/>
    <w:rsid w:val="000858A4"/>
    <w:rsid w:val="000859E7"/>
    <w:rsid w:val="00085ECC"/>
    <w:rsid w:val="00085F63"/>
    <w:rsid w:val="00086531"/>
    <w:rsid w:val="000865A6"/>
    <w:rsid w:val="000870BB"/>
    <w:rsid w:val="00087160"/>
    <w:rsid w:val="0008744F"/>
    <w:rsid w:val="0008787E"/>
    <w:rsid w:val="00090056"/>
    <w:rsid w:val="000908EF"/>
    <w:rsid w:val="00090A25"/>
    <w:rsid w:val="00091073"/>
    <w:rsid w:val="00091078"/>
    <w:rsid w:val="00091B0F"/>
    <w:rsid w:val="00091B48"/>
    <w:rsid w:val="00092036"/>
    <w:rsid w:val="00092120"/>
    <w:rsid w:val="00092126"/>
    <w:rsid w:val="00092A99"/>
    <w:rsid w:val="0009350A"/>
    <w:rsid w:val="00093F1A"/>
    <w:rsid w:val="000942B0"/>
    <w:rsid w:val="000943F9"/>
    <w:rsid w:val="00094DE0"/>
    <w:rsid w:val="000950BA"/>
    <w:rsid w:val="00095274"/>
    <w:rsid w:val="00095351"/>
    <w:rsid w:val="00095B19"/>
    <w:rsid w:val="000966F8"/>
    <w:rsid w:val="000968D8"/>
    <w:rsid w:val="00096A37"/>
    <w:rsid w:val="00096F26"/>
    <w:rsid w:val="00096F57"/>
    <w:rsid w:val="00097046"/>
    <w:rsid w:val="0009706D"/>
    <w:rsid w:val="0009727E"/>
    <w:rsid w:val="000977B7"/>
    <w:rsid w:val="00097F79"/>
    <w:rsid w:val="000A00C9"/>
    <w:rsid w:val="000A0698"/>
    <w:rsid w:val="000A0848"/>
    <w:rsid w:val="000A0911"/>
    <w:rsid w:val="000A1420"/>
    <w:rsid w:val="000A17CB"/>
    <w:rsid w:val="000A1A4F"/>
    <w:rsid w:val="000A1FC2"/>
    <w:rsid w:val="000A2227"/>
    <w:rsid w:val="000A246E"/>
    <w:rsid w:val="000A28DD"/>
    <w:rsid w:val="000A30A8"/>
    <w:rsid w:val="000A3D2C"/>
    <w:rsid w:val="000A4180"/>
    <w:rsid w:val="000A45C1"/>
    <w:rsid w:val="000A4BDD"/>
    <w:rsid w:val="000A52DB"/>
    <w:rsid w:val="000A5905"/>
    <w:rsid w:val="000A5F12"/>
    <w:rsid w:val="000A60F9"/>
    <w:rsid w:val="000A723F"/>
    <w:rsid w:val="000A7622"/>
    <w:rsid w:val="000A7ABE"/>
    <w:rsid w:val="000B02F1"/>
    <w:rsid w:val="000B0349"/>
    <w:rsid w:val="000B043A"/>
    <w:rsid w:val="000B081B"/>
    <w:rsid w:val="000B08E9"/>
    <w:rsid w:val="000B0A07"/>
    <w:rsid w:val="000B0A93"/>
    <w:rsid w:val="000B0FB1"/>
    <w:rsid w:val="000B12A6"/>
    <w:rsid w:val="000B1B86"/>
    <w:rsid w:val="000B1ED3"/>
    <w:rsid w:val="000B2335"/>
    <w:rsid w:val="000B299A"/>
    <w:rsid w:val="000B2C2A"/>
    <w:rsid w:val="000B3388"/>
    <w:rsid w:val="000B34D0"/>
    <w:rsid w:val="000B35FD"/>
    <w:rsid w:val="000B41F5"/>
    <w:rsid w:val="000B4A44"/>
    <w:rsid w:val="000B4B62"/>
    <w:rsid w:val="000B4CED"/>
    <w:rsid w:val="000B5130"/>
    <w:rsid w:val="000B540C"/>
    <w:rsid w:val="000B587E"/>
    <w:rsid w:val="000B5A17"/>
    <w:rsid w:val="000B5DD8"/>
    <w:rsid w:val="000B619C"/>
    <w:rsid w:val="000B69DB"/>
    <w:rsid w:val="000B6CE2"/>
    <w:rsid w:val="000B7121"/>
    <w:rsid w:val="000B7427"/>
    <w:rsid w:val="000B7C38"/>
    <w:rsid w:val="000B7CB4"/>
    <w:rsid w:val="000B7D91"/>
    <w:rsid w:val="000B7EC8"/>
    <w:rsid w:val="000C00BA"/>
    <w:rsid w:val="000C01A4"/>
    <w:rsid w:val="000C07B5"/>
    <w:rsid w:val="000C0A6F"/>
    <w:rsid w:val="000C0BC3"/>
    <w:rsid w:val="000C123E"/>
    <w:rsid w:val="000C126A"/>
    <w:rsid w:val="000C1704"/>
    <w:rsid w:val="000C1827"/>
    <w:rsid w:val="000C1850"/>
    <w:rsid w:val="000C1EA4"/>
    <w:rsid w:val="000C2020"/>
    <w:rsid w:val="000C2131"/>
    <w:rsid w:val="000C2358"/>
    <w:rsid w:val="000C2727"/>
    <w:rsid w:val="000C27C5"/>
    <w:rsid w:val="000C27F8"/>
    <w:rsid w:val="000C358A"/>
    <w:rsid w:val="000C3700"/>
    <w:rsid w:val="000C3761"/>
    <w:rsid w:val="000C3807"/>
    <w:rsid w:val="000C3A79"/>
    <w:rsid w:val="000C3B82"/>
    <w:rsid w:val="000C3BF5"/>
    <w:rsid w:val="000C3C3F"/>
    <w:rsid w:val="000C41AD"/>
    <w:rsid w:val="000C43C9"/>
    <w:rsid w:val="000C48C9"/>
    <w:rsid w:val="000C4C91"/>
    <w:rsid w:val="000C5112"/>
    <w:rsid w:val="000C52BE"/>
    <w:rsid w:val="000C5546"/>
    <w:rsid w:val="000C5E27"/>
    <w:rsid w:val="000C6044"/>
    <w:rsid w:val="000C60E3"/>
    <w:rsid w:val="000C6AFB"/>
    <w:rsid w:val="000C6C98"/>
    <w:rsid w:val="000C6CE2"/>
    <w:rsid w:val="000C6F39"/>
    <w:rsid w:val="000C7045"/>
    <w:rsid w:val="000C7456"/>
    <w:rsid w:val="000C7CA5"/>
    <w:rsid w:val="000C7D8F"/>
    <w:rsid w:val="000C7E14"/>
    <w:rsid w:val="000D0061"/>
    <w:rsid w:val="000D0249"/>
    <w:rsid w:val="000D0891"/>
    <w:rsid w:val="000D0A81"/>
    <w:rsid w:val="000D0DB8"/>
    <w:rsid w:val="000D11E5"/>
    <w:rsid w:val="000D1208"/>
    <w:rsid w:val="000D13B1"/>
    <w:rsid w:val="000D23E8"/>
    <w:rsid w:val="000D2FDE"/>
    <w:rsid w:val="000D3446"/>
    <w:rsid w:val="000D3B8E"/>
    <w:rsid w:val="000D409B"/>
    <w:rsid w:val="000D43CC"/>
    <w:rsid w:val="000D44F3"/>
    <w:rsid w:val="000D4555"/>
    <w:rsid w:val="000D4AF9"/>
    <w:rsid w:val="000D4DEC"/>
    <w:rsid w:val="000D5E04"/>
    <w:rsid w:val="000D6611"/>
    <w:rsid w:val="000D6875"/>
    <w:rsid w:val="000D6A26"/>
    <w:rsid w:val="000D6E4D"/>
    <w:rsid w:val="000D7240"/>
    <w:rsid w:val="000D74CA"/>
    <w:rsid w:val="000D762B"/>
    <w:rsid w:val="000D7E21"/>
    <w:rsid w:val="000E0085"/>
    <w:rsid w:val="000E00F9"/>
    <w:rsid w:val="000E0547"/>
    <w:rsid w:val="000E06D3"/>
    <w:rsid w:val="000E0771"/>
    <w:rsid w:val="000E0CB7"/>
    <w:rsid w:val="000E124C"/>
    <w:rsid w:val="000E1446"/>
    <w:rsid w:val="000E1954"/>
    <w:rsid w:val="000E1A2E"/>
    <w:rsid w:val="000E1B39"/>
    <w:rsid w:val="000E1C1D"/>
    <w:rsid w:val="000E1DEB"/>
    <w:rsid w:val="000E1F32"/>
    <w:rsid w:val="000E267D"/>
    <w:rsid w:val="000E2815"/>
    <w:rsid w:val="000E2B1B"/>
    <w:rsid w:val="000E2D0F"/>
    <w:rsid w:val="000E2E5E"/>
    <w:rsid w:val="000E2FA7"/>
    <w:rsid w:val="000E3006"/>
    <w:rsid w:val="000E3253"/>
    <w:rsid w:val="000E3419"/>
    <w:rsid w:val="000E34F9"/>
    <w:rsid w:val="000E358B"/>
    <w:rsid w:val="000E3BA4"/>
    <w:rsid w:val="000E3E2D"/>
    <w:rsid w:val="000E3F90"/>
    <w:rsid w:val="000E4285"/>
    <w:rsid w:val="000E4D25"/>
    <w:rsid w:val="000E4E64"/>
    <w:rsid w:val="000E4FFE"/>
    <w:rsid w:val="000E517D"/>
    <w:rsid w:val="000E534D"/>
    <w:rsid w:val="000E5B98"/>
    <w:rsid w:val="000E5D82"/>
    <w:rsid w:val="000E5E07"/>
    <w:rsid w:val="000E6374"/>
    <w:rsid w:val="000E68DB"/>
    <w:rsid w:val="000E6A59"/>
    <w:rsid w:val="000E6BF4"/>
    <w:rsid w:val="000E704A"/>
    <w:rsid w:val="000E7077"/>
    <w:rsid w:val="000E743C"/>
    <w:rsid w:val="000E7A77"/>
    <w:rsid w:val="000E7D66"/>
    <w:rsid w:val="000F027A"/>
    <w:rsid w:val="000F05B3"/>
    <w:rsid w:val="000F05F9"/>
    <w:rsid w:val="000F0E21"/>
    <w:rsid w:val="000F2472"/>
    <w:rsid w:val="000F2727"/>
    <w:rsid w:val="000F2A02"/>
    <w:rsid w:val="000F2E0B"/>
    <w:rsid w:val="000F2F33"/>
    <w:rsid w:val="000F2F60"/>
    <w:rsid w:val="000F307B"/>
    <w:rsid w:val="000F3219"/>
    <w:rsid w:val="000F3556"/>
    <w:rsid w:val="000F3824"/>
    <w:rsid w:val="000F3AF6"/>
    <w:rsid w:val="000F3B64"/>
    <w:rsid w:val="000F3FE0"/>
    <w:rsid w:val="000F45B4"/>
    <w:rsid w:val="000F4721"/>
    <w:rsid w:val="000F4A35"/>
    <w:rsid w:val="000F4BF1"/>
    <w:rsid w:val="000F4C32"/>
    <w:rsid w:val="000F5499"/>
    <w:rsid w:val="000F5568"/>
    <w:rsid w:val="000F565C"/>
    <w:rsid w:val="000F5AFD"/>
    <w:rsid w:val="000F5D26"/>
    <w:rsid w:val="000F60B0"/>
    <w:rsid w:val="000F63AC"/>
    <w:rsid w:val="000F64C3"/>
    <w:rsid w:val="000F67D1"/>
    <w:rsid w:val="000F681E"/>
    <w:rsid w:val="000F6919"/>
    <w:rsid w:val="000F6956"/>
    <w:rsid w:val="000F69DA"/>
    <w:rsid w:val="000F6CE7"/>
    <w:rsid w:val="000F769F"/>
    <w:rsid w:val="000F798E"/>
    <w:rsid w:val="000F7B40"/>
    <w:rsid w:val="000F7C53"/>
    <w:rsid w:val="000F7D43"/>
    <w:rsid w:val="000F7DDA"/>
    <w:rsid w:val="001003DD"/>
    <w:rsid w:val="00100614"/>
    <w:rsid w:val="00100660"/>
    <w:rsid w:val="00100A96"/>
    <w:rsid w:val="00100F14"/>
    <w:rsid w:val="00100FFC"/>
    <w:rsid w:val="0010106B"/>
    <w:rsid w:val="00101203"/>
    <w:rsid w:val="00101244"/>
    <w:rsid w:val="001019FB"/>
    <w:rsid w:val="00101AEA"/>
    <w:rsid w:val="001020BE"/>
    <w:rsid w:val="001021C1"/>
    <w:rsid w:val="00102799"/>
    <w:rsid w:val="001028DC"/>
    <w:rsid w:val="00102CC2"/>
    <w:rsid w:val="00102D5F"/>
    <w:rsid w:val="00102E8F"/>
    <w:rsid w:val="001030C6"/>
    <w:rsid w:val="0010336E"/>
    <w:rsid w:val="00103426"/>
    <w:rsid w:val="001038E4"/>
    <w:rsid w:val="00103ABD"/>
    <w:rsid w:val="00104484"/>
    <w:rsid w:val="00104DAB"/>
    <w:rsid w:val="001050C2"/>
    <w:rsid w:val="00105847"/>
    <w:rsid w:val="00105D6D"/>
    <w:rsid w:val="00105E84"/>
    <w:rsid w:val="00105FD7"/>
    <w:rsid w:val="0010633A"/>
    <w:rsid w:val="001063C6"/>
    <w:rsid w:val="001067FD"/>
    <w:rsid w:val="00106F69"/>
    <w:rsid w:val="0010713B"/>
    <w:rsid w:val="00107B7F"/>
    <w:rsid w:val="00110008"/>
    <w:rsid w:val="0011047B"/>
    <w:rsid w:val="00110889"/>
    <w:rsid w:val="001111BF"/>
    <w:rsid w:val="001115AC"/>
    <w:rsid w:val="001118EE"/>
    <w:rsid w:val="0011275F"/>
    <w:rsid w:val="001129D6"/>
    <w:rsid w:val="00112D7E"/>
    <w:rsid w:val="00112F87"/>
    <w:rsid w:val="001131CE"/>
    <w:rsid w:val="00113449"/>
    <w:rsid w:val="00113DD8"/>
    <w:rsid w:val="00114378"/>
    <w:rsid w:val="00114448"/>
    <w:rsid w:val="001147A4"/>
    <w:rsid w:val="00114C8D"/>
    <w:rsid w:val="0011507E"/>
    <w:rsid w:val="00115542"/>
    <w:rsid w:val="001156DF"/>
    <w:rsid w:val="001156FA"/>
    <w:rsid w:val="00115D13"/>
    <w:rsid w:val="00115E55"/>
    <w:rsid w:val="00115FA2"/>
    <w:rsid w:val="001164CB"/>
    <w:rsid w:val="0011709E"/>
    <w:rsid w:val="001171D1"/>
    <w:rsid w:val="0011748F"/>
    <w:rsid w:val="00117857"/>
    <w:rsid w:val="001204B5"/>
    <w:rsid w:val="001205E8"/>
    <w:rsid w:val="001205F8"/>
    <w:rsid w:val="00120B92"/>
    <w:rsid w:val="00120C2E"/>
    <w:rsid w:val="00120DCE"/>
    <w:rsid w:val="00120DED"/>
    <w:rsid w:val="00121246"/>
    <w:rsid w:val="0012139A"/>
    <w:rsid w:val="0012162C"/>
    <w:rsid w:val="00121955"/>
    <w:rsid w:val="0012206F"/>
    <w:rsid w:val="00122628"/>
    <w:rsid w:val="001229CB"/>
    <w:rsid w:val="00122AD9"/>
    <w:rsid w:val="00122C02"/>
    <w:rsid w:val="00122DDD"/>
    <w:rsid w:val="001234B8"/>
    <w:rsid w:val="001234E8"/>
    <w:rsid w:val="00123C10"/>
    <w:rsid w:val="00123DFE"/>
    <w:rsid w:val="0012403E"/>
    <w:rsid w:val="00124355"/>
    <w:rsid w:val="00124AAF"/>
    <w:rsid w:val="00124F3A"/>
    <w:rsid w:val="00125789"/>
    <w:rsid w:val="001257B6"/>
    <w:rsid w:val="001257E1"/>
    <w:rsid w:val="00125AD9"/>
    <w:rsid w:val="00125C7F"/>
    <w:rsid w:val="001262BC"/>
    <w:rsid w:val="001265B0"/>
    <w:rsid w:val="00126710"/>
    <w:rsid w:val="0012772B"/>
    <w:rsid w:val="00127EEB"/>
    <w:rsid w:val="00127FF5"/>
    <w:rsid w:val="00130D49"/>
    <w:rsid w:val="00130F0E"/>
    <w:rsid w:val="00131076"/>
    <w:rsid w:val="00131239"/>
    <w:rsid w:val="00131501"/>
    <w:rsid w:val="00132082"/>
    <w:rsid w:val="001320E8"/>
    <w:rsid w:val="00132150"/>
    <w:rsid w:val="0013218E"/>
    <w:rsid w:val="001323E3"/>
    <w:rsid w:val="0013346F"/>
    <w:rsid w:val="00133CF8"/>
    <w:rsid w:val="00133D8F"/>
    <w:rsid w:val="00133E81"/>
    <w:rsid w:val="001340B4"/>
    <w:rsid w:val="001341B0"/>
    <w:rsid w:val="0013464E"/>
    <w:rsid w:val="00134655"/>
    <w:rsid w:val="00134F12"/>
    <w:rsid w:val="001353C4"/>
    <w:rsid w:val="001354C6"/>
    <w:rsid w:val="00135539"/>
    <w:rsid w:val="00135B85"/>
    <w:rsid w:val="00135C89"/>
    <w:rsid w:val="001360CA"/>
    <w:rsid w:val="00136321"/>
    <w:rsid w:val="00136D30"/>
    <w:rsid w:val="00136F66"/>
    <w:rsid w:val="001371AD"/>
    <w:rsid w:val="0013765A"/>
    <w:rsid w:val="00137BC1"/>
    <w:rsid w:val="00140E4E"/>
    <w:rsid w:val="001416E8"/>
    <w:rsid w:val="00141FA7"/>
    <w:rsid w:val="00142300"/>
    <w:rsid w:val="001423E1"/>
    <w:rsid w:val="00142455"/>
    <w:rsid w:val="00142593"/>
    <w:rsid w:val="0014272D"/>
    <w:rsid w:val="0014272E"/>
    <w:rsid w:val="001429F6"/>
    <w:rsid w:val="00142B52"/>
    <w:rsid w:val="0014331C"/>
    <w:rsid w:val="001433BB"/>
    <w:rsid w:val="00143922"/>
    <w:rsid w:val="00143B5A"/>
    <w:rsid w:val="00143DF1"/>
    <w:rsid w:val="00143FC2"/>
    <w:rsid w:val="0014436F"/>
    <w:rsid w:val="00144A63"/>
    <w:rsid w:val="0014566F"/>
    <w:rsid w:val="00145905"/>
    <w:rsid w:val="00145EB1"/>
    <w:rsid w:val="001462F4"/>
    <w:rsid w:val="00146873"/>
    <w:rsid w:val="00147066"/>
    <w:rsid w:val="00147284"/>
    <w:rsid w:val="0014794B"/>
    <w:rsid w:val="00147959"/>
    <w:rsid w:val="00147A81"/>
    <w:rsid w:val="00147B4C"/>
    <w:rsid w:val="00147DE9"/>
    <w:rsid w:val="00147EEA"/>
    <w:rsid w:val="00150230"/>
    <w:rsid w:val="00150405"/>
    <w:rsid w:val="001505D8"/>
    <w:rsid w:val="00150733"/>
    <w:rsid w:val="00150E5E"/>
    <w:rsid w:val="0015175D"/>
    <w:rsid w:val="00151CB4"/>
    <w:rsid w:val="00151E0C"/>
    <w:rsid w:val="00152F2C"/>
    <w:rsid w:val="00153063"/>
    <w:rsid w:val="00153395"/>
    <w:rsid w:val="001533CC"/>
    <w:rsid w:val="00153857"/>
    <w:rsid w:val="0015439E"/>
    <w:rsid w:val="001545E4"/>
    <w:rsid w:val="00154790"/>
    <w:rsid w:val="00154AD6"/>
    <w:rsid w:val="00154B3E"/>
    <w:rsid w:val="00154BE3"/>
    <w:rsid w:val="00154F65"/>
    <w:rsid w:val="00155A66"/>
    <w:rsid w:val="001561C8"/>
    <w:rsid w:val="00156C8C"/>
    <w:rsid w:val="00157120"/>
    <w:rsid w:val="00157315"/>
    <w:rsid w:val="00157745"/>
    <w:rsid w:val="0015781B"/>
    <w:rsid w:val="00160467"/>
    <w:rsid w:val="001607EE"/>
    <w:rsid w:val="00160A6D"/>
    <w:rsid w:val="00160BDF"/>
    <w:rsid w:val="00161455"/>
    <w:rsid w:val="001614D5"/>
    <w:rsid w:val="0016238F"/>
    <w:rsid w:val="00162801"/>
    <w:rsid w:val="00162B4E"/>
    <w:rsid w:val="00162DC2"/>
    <w:rsid w:val="0016344B"/>
    <w:rsid w:val="00163492"/>
    <w:rsid w:val="00163762"/>
    <w:rsid w:val="00163811"/>
    <w:rsid w:val="0016383B"/>
    <w:rsid w:val="00163AD3"/>
    <w:rsid w:val="0016452A"/>
    <w:rsid w:val="0016464B"/>
    <w:rsid w:val="0016483A"/>
    <w:rsid w:val="0016521D"/>
    <w:rsid w:val="00165AFF"/>
    <w:rsid w:val="0016618B"/>
    <w:rsid w:val="00166200"/>
    <w:rsid w:val="00166695"/>
    <w:rsid w:val="00166889"/>
    <w:rsid w:val="00167197"/>
    <w:rsid w:val="00167259"/>
    <w:rsid w:val="00167D18"/>
    <w:rsid w:val="001700A9"/>
    <w:rsid w:val="001701AE"/>
    <w:rsid w:val="0017026D"/>
    <w:rsid w:val="00170591"/>
    <w:rsid w:val="00170803"/>
    <w:rsid w:val="00170A31"/>
    <w:rsid w:val="00170DCB"/>
    <w:rsid w:val="00170E9C"/>
    <w:rsid w:val="001714FB"/>
    <w:rsid w:val="00171EDB"/>
    <w:rsid w:val="001720C6"/>
    <w:rsid w:val="001726B0"/>
    <w:rsid w:val="00172D49"/>
    <w:rsid w:val="001730DF"/>
    <w:rsid w:val="00173131"/>
    <w:rsid w:val="00173558"/>
    <w:rsid w:val="00173895"/>
    <w:rsid w:val="00173AEE"/>
    <w:rsid w:val="00173D6C"/>
    <w:rsid w:val="00174108"/>
    <w:rsid w:val="0017442B"/>
    <w:rsid w:val="0017462B"/>
    <w:rsid w:val="00174672"/>
    <w:rsid w:val="00174D29"/>
    <w:rsid w:val="00174DDA"/>
    <w:rsid w:val="00174E93"/>
    <w:rsid w:val="00175AFC"/>
    <w:rsid w:val="0017677D"/>
    <w:rsid w:val="0017684A"/>
    <w:rsid w:val="001768E3"/>
    <w:rsid w:val="00176991"/>
    <w:rsid w:val="00176B5A"/>
    <w:rsid w:val="00177EA2"/>
    <w:rsid w:val="00177F6A"/>
    <w:rsid w:val="00177FA2"/>
    <w:rsid w:val="001801AD"/>
    <w:rsid w:val="0018045D"/>
    <w:rsid w:val="0018078F"/>
    <w:rsid w:val="001811E1"/>
    <w:rsid w:val="00181384"/>
    <w:rsid w:val="00181394"/>
    <w:rsid w:val="00181ECC"/>
    <w:rsid w:val="001821BF"/>
    <w:rsid w:val="00182998"/>
    <w:rsid w:val="00182AEB"/>
    <w:rsid w:val="00182CE6"/>
    <w:rsid w:val="00182DF0"/>
    <w:rsid w:val="00183379"/>
    <w:rsid w:val="00183666"/>
    <w:rsid w:val="00183902"/>
    <w:rsid w:val="00183BB4"/>
    <w:rsid w:val="00183C01"/>
    <w:rsid w:val="00183DAB"/>
    <w:rsid w:val="0018455D"/>
    <w:rsid w:val="0018469A"/>
    <w:rsid w:val="001847FB"/>
    <w:rsid w:val="00185154"/>
    <w:rsid w:val="0018542B"/>
    <w:rsid w:val="00185D8A"/>
    <w:rsid w:val="0018630C"/>
    <w:rsid w:val="001864E9"/>
    <w:rsid w:val="00186FD6"/>
    <w:rsid w:val="0018704B"/>
    <w:rsid w:val="001871E0"/>
    <w:rsid w:val="001874CB"/>
    <w:rsid w:val="001875AC"/>
    <w:rsid w:val="00187B93"/>
    <w:rsid w:val="00187C88"/>
    <w:rsid w:val="00190121"/>
    <w:rsid w:val="001910DF"/>
    <w:rsid w:val="0019114D"/>
    <w:rsid w:val="001912D7"/>
    <w:rsid w:val="00191C28"/>
    <w:rsid w:val="00191D87"/>
    <w:rsid w:val="001921D3"/>
    <w:rsid w:val="00192644"/>
    <w:rsid w:val="001929D8"/>
    <w:rsid w:val="00193205"/>
    <w:rsid w:val="00193336"/>
    <w:rsid w:val="001935EA"/>
    <w:rsid w:val="0019369B"/>
    <w:rsid w:val="00194BC5"/>
    <w:rsid w:val="00194F00"/>
    <w:rsid w:val="00195001"/>
    <w:rsid w:val="00195787"/>
    <w:rsid w:val="001958D9"/>
    <w:rsid w:val="0019633B"/>
    <w:rsid w:val="00196577"/>
    <w:rsid w:val="00196F1A"/>
    <w:rsid w:val="00197178"/>
    <w:rsid w:val="001974E8"/>
    <w:rsid w:val="001974F9"/>
    <w:rsid w:val="00197664"/>
    <w:rsid w:val="001977CD"/>
    <w:rsid w:val="00197A27"/>
    <w:rsid w:val="00197F02"/>
    <w:rsid w:val="00197F8F"/>
    <w:rsid w:val="001A089A"/>
    <w:rsid w:val="001A0E15"/>
    <w:rsid w:val="001A2000"/>
    <w:rsid w:val="001A2669"/>
    <w:rsid w:val="001A27EB"/>
    <w:rsid w:val="001A2F46"/>
    <w:rsid w:val="001A306B"/>
    <w:rsid w:val="001A33FF"/>
    <w:rsid w:val="001A3E02"/>
    <w:rsid w:val="001A3E3D"/>
    <w:rsid w:val="001A3F85"/>
    <w:rsid w:val="001A40BC"/>
    <w:rsid w:val="001A46B0"/>
    <w:rsid w:val="001A4847"/>
    <w:rsid w:val="001A4A78"/>
    <w:rsid w:val="001A4C1B"/>
    <w:rsid w:val="001A51D6"/>
    <w:rsid w:val="001A53AD"/>
    <w:rsid w:val="001A5EF7"/>
    <w:rsid w:val="001A7610"/>
    <w:rsid w:val="001A77B0"/>
    <w:rsid w:val="001A7982"/>
    <w:rsid w:val="001A7D6D"/>
    <w:rsid w:val="001B00DE"/>
    <w:rsid w:val="001B03E3"/>
    <w:rsid w:val="001B0BCE"/>
    <w:rsid w:val="001B1102"/>
    <w:rsid w:val="001B138D"/>
    <w:rsid w:val="001B1404"/>
    <w:rsid w:val="001B15C2"/>
    <w:rsid w:val="001B1AB2"/>
    <w:rsid w:val="001B206A"/>
    <w:rsid w:val="001B21B6"/>
    <w:rsid w:val="001B2762"/>
    <w:rsid w:val="001B28A9"/>
    <w:rsid w:val="001B2912"/>
    <w:rsid w:val="001B33A3"/>
    <w:rsid w:val="001B3BED"/>
    <w:rsid w:val="001B3D7E"/>
    <w:rsid w:val="001B4059"/>
    <w:rsid w:val="001B4694"/>
    <w:rsid w:val="001B5618"/>
    <w:rsid w:val="001B5631"/>
    <w:rsid w:val="001B5E5A"/>
    <w:rsid w:val="001B60EB"/>
    <w:rsid w:val="001B63FC"/>
    <w:rsid w:val="001B6404"/>
    <w:rsid w:val="001B6475"/>
    <w:rsid w:val="001B6856"/>
    <w:rsid w:val="001B69D7"/>
    <w:rsid w:val="001B6B7B"/>
    <w:rsid w:val="001B71C4"/>
    <w:rsid w:val="001B7459"/>
    <w:rsid w:val="001B7533"/>
    <w:rsid w:val="001B793D"/>
    <w:rsid w:val="001B7D63"/>
    <w:rsid w:val="001B7FE9"/>
    <w:rsid w:val="001C07F6"/>
    <w:rsid w:val="001C0EBE"/>
    <w:rsid w:val="001C0F51"/>
    <w:rsid w:val="001C1552"/>
    <w:rsid w:val="001C19E9"/>
    <w:rsid w:val="001C1AF1"/>
    <w:rsid w:val="001C1EB6"/>
    <w:rsid w:val="001C2A9F"/>
    <w:rsid w:val="001C33F8"/>
    <w:rsid w:val="001C3A14"/>
    <w:rsid w:val="001C4098"/>
    <w:rsid w:val="001C4658"/>
    <w:rsid w:val="001C4C5D"/>
    <w:rsid w:val="001C4ED9"/>
    <w:rsid w:val="001C507D"/>
    <w:rsid w:val="001C50AD"/>
    <w:rsid w:val="001C536D"/>
    <w:rsid w:val="001C5969"/>
    <w:rsid w:val="001C5ECA"/>
    <w:rsid w:val="001C6938"/>
    <w:rsid w:val="001C69E2"/>
    <w:rsid w:val="001C6A1A"/>
    <w:rsid w:val="001C6A68"/>
    <w:rsid w:val="001C6CC5"/>
    <w:rsid w:val="001C771B"/>
    <w:rsid w:val="001C7AD3"/>
    <w:rsid w:val="001D022A"/>
    <w:rsid w:val="001D058C"/>
    <w:rsid w:val="001D080E"/>
    <w:rsid w:val="001D1AD2"/>
    <w:rsid w:val="001D1D77"/>
    <w:rsid w:val="001D20CC"/>
    <w:rsid w:val="001D2914"/>
    <w:rsid w:val="001D2A6D"/>
    <w:rsid w:val="001D2C26"/>
    <w:rsid w:val="001D30A9"/>
    <w:rsid w:val="001D3331"/>
    <w:rsid w:val="001D3C6B"/>
    <w:rsid w:val="001D3D38"/>
    <w:rsid w:val="001D3E97"/>
    <w:rsid w:val="001D3EA4"/>
    <w:rsid w:val="001D3EB2"/>
    <w:rsid w:val="001D4123"/>
    <w:rsid w:val="001D4203"/>
    <w:rsid w:val="001D42D4"/>
    <w:rsid w:val="001D4CC0"/>
    <w:rsid w:val="001D4D98"/>
    <w:rsid w:val="001D4EA1"/>
    <w:rsid w:val="001D4FC8"/>
    <w:rsid w:val="001D52AD"/>
    <w:rsid w:val="001D5386"/>
    <w:rsid w:val="001D5B72"/>
    <w:rsid w:val="001D66D0"/>
    <w:rsid w:val="001D6A65"/>
    <w:rsid w:val="001D6F21"/>
    <w:rsid w:val="001D7055"/>
    <w:rsid w:val="001D709B"/>
    <w:rsid w:val="001D7771"/>
    <w:rsid w:val="001D7776"/>
    <w:rsid w:val="001D7A0C"/>
    <w:rsid w:val="001D7A78"/>
    <w:rsid w:val="001E02AB"/>
    <w:rsid w:val="001E02B4"/>
    <w:rsid w:val="001E042C"/>
    <w:rsid w:val="001E06A4"/>
    <w:rsid w:val="001E0EC6"/>
    <w:rsid w:val="001E11D5"/>
    <w:rsid w:val="001E12B8"/>
    <w:rsid w:val="001E14B4"/>
    <w:rsid w:val="001E1F3E"/>
    <w:rsid w:val="001E2019"/>
    <w:rsid w:val="001E232F"/>
    <w:rsid w:val="001E267F"/>
    <w:rsid w:val="001E294F"/>
    <w:rsid w:val="001E2A71"/>
    <w:rsid w:val="001E2BDC"/>
    <w:rsid w:val="001E32AF"/>
    <w:rsid w:val="001E3352"/>
    <w:rsid w:val="001E3FC0"/>
    <w:rsid w:val="001E4098"/>
    <w:rsid w:val="001E45AD"/>
    <w:rsid w:val="001E45BC"/>
    <w:rsid w:val="001E4638"/>
    <w:rsid w:val="001E4C95"/>
    <w:rsid w:val="001E4D95"/>
    <w:rsid w:val="001E4F5F"/>
    <w:rsid w:val="001E4FFA"/>
    <w:rsid w:val="001E50F7"/>
    <w:rsid w:val="001E5366"/>
    <w:rsid w:val="001E5B1B"/>
    <w:rsid w:val="001E5C1A"/>
    <w:rsid w:val="001E5E26"/>
    <w:rsid w:val="001E6107"/>
    <w:rsid w:val="001E6534"/>
    <w:rsid w:val="001E6962"/>
    <w:rsid w:val="001E698B"/>
    <w:rsid w:val="001E6E24"/>
    <w:rsid w:val="001E7559"/>
    <w:rsid w:val="001E781A"/>
    <w:rsid w:val="001E7A27"/>
    <w:rsid w:val="001F0122"/>
    <w:rsid w:val="001F02AB"/>
    <w:rsid w:val="001F0381"/>
    <w:rsid w:val="001F0388"/>
    <w:rsid w:val="001F04D3"/>
    <w:rsid w:val="001F0539"/>
    <w:rsid w:val="001F0C90"/>
    <w:rsid w:val="001F16CA"/>
    <w:rsid w:val="001F1896"/>
    <w:rsid w:val="001F1A07"/>
    <w:rsid w:val="001F2C13"/>
    <w:rsid w:val="001F2CC1"/>
    <w:rsid w:val="001F304B"/>
    <w:rsid w:val="001F3052"/>
    <w:rsid w:val="001F34EC"/>
    <w:rsid w:val="001F3A19"/>
    <w:rsid w:val="001F416D"/>
    <w:rsid w:val="001F4BCB"/>
    <w:rsid w:val="001F4DF4"/>
    <w:rsid w:val="001F4E16"/>
    <w:rsid w:val="001F57EF"/>
    <w:rsid w:val="001F5CD0"/>
    <w:rsid w:val="001F5E26"/>
    <w:rsid w:val="001F5EB1"/>
    <w:rsid w:val="001F600E"/>
    <w:rsid w:val="001F6181"/>
    <w:rsid w:val="001F6406"/>
    <w:rsid w:val="001F7075"/>
    <w:rsid w:val="001F7219"/>
    <w:rsid w:val="001F7463"/>
    <w:rsid w:val="001F7D88"/>
    <w:rsid w:val="002004D0"/>
    <w:rsid w:val="0020067E"/>
    <w:rsid w:val="0020069E"/>
    <w:rsid w:val="002014AA"/>
    <w:rsid w:val="0020167E"/>
    <w:rsid w:val="00201A4A"/>
    <w:rsid w:val="00201F71"/>
    <w:rsid w:val="002026FB"/>
    <w:rsid w:val="002027B8"/>
    <w:rsid w:val="00202D2C"/>
    <w:rsid w:val="00202F79"/>
    <w:rsid w:val="00203275"/>
    <w:rsid w:val="0020342B"/>
    <w:rsid w:val="00203563"/>
    <w:rsid w:val="0020378C"/>
    <w:rsid w:val="0020389A"/>
    <w:rsid w:val="00203A1D"/>
    <w:rsid w:val="002042CD"/>
    <w:rsid w:val="00204333"/>
    <w:rsid w:val="002048DB"/>
    <w:rsid w:val="00205233"/>
    <w:rsid w:val="0020548B"/>
    <w:rsid w:val="00205C91"/>
    <w:rsid w:val="0020606A"/>
    <w:rsid w:val="002063EA"/>
    <w:rsid w:val="002064A9"/>
    <w:rsid w:val="00206A07"/>
    <w:rsid w:val="00206A91"/>
    <w:rsid w:val="00206E26"/>
    <w:rsid w:val="00206ED0"/>
    <w:rsid w:val="002072E1"/>
    <w:rsid w:val="002076B3"/>
    <w:rsid w:val="00207B2C"/>
    <w:rsid w:val="00210043"/>
    <w:rsid w:val="0021056E"/>
    <w:rsid w:val="00210A45"/>
    <w:rsid w:val="00210B19"/>
    <w:rsid w:val="00210B85"/>
    <w:rsid w:val="00210D11"/>
    <w:rsid w:val="0021115F"/>
    <w:rsid w:val="00211B5F"/>
    <w:rsid w:val="00211FFF"/>
    <w:rsid w:val="0021249C"/>
    <w:rsid w:val="00212526"/>
    <w:rsid w:val="002126B2"/>
    <w:rsid w:val="00212C6B"/>
    <w:rsid w:val="00212F4C"/>
    <w:rsid w:val="002136F2"/>
    <w:rsid w:val="00213CE8"/>
    <w:rsid w:val="00213DD5"/>
    <w:rsid w:val="00214035"/>
    <w:rsid w:val="00214047"/>
    <w:rsid w:val="0021405B"/>
    <w:rsid w:val="0021413C"/>
    <w:rsid w:val="002143A6"/>
    <w:rsid w:val="00214FD0"/>
    <w:rsid w:val="002150D8"/>
    <w:rsid w:val="00215226"/>
    <w:rsid w:val="0021539A"/>
    <w:rsid w:val="00215417"/>
    <w:rsid w:val="002155C6"/>
    <w:rsid w:val="0021566B"/>
    <w:rsid w:val="00215AED"/>
    <w:rsid w:val="00215CC3"/>
    <w:rsid w:val="00217C64"/>
    <w:rsid w:val="00217DC9"/>
    <w:rsid w:val="00220782"/>
    <w:rsid w:val="002207EC"/>
    <w:rsid w:val="00220E06"/>
    <w:rsid w:val="002212F2"/>
    <w:rsid w:val="00221484"/>
    <w:rsid w:val="00221B04"/>
    <w:rsid w:val="00221D40"/>
    <w:rsid w:val="00222132"/>
    <w:rsid w:val="00222215"/>
    <w:rsid w:val="00222563"/>
    <w:rsid w:val="00222B1A"/>
    <w:rsid w:val="00222ED3"/>
    <w:rsid w:val="0022372A"/>
    <w:rsid w:val="00223B60"/>
    <w:rsid w:val="0022421A"/>
    <w:rsid w:val="00224A39"/>
    <w:rsid w:val="00224AB0"/>
    <w:rsid w:val="002250DB"/>
    <w:rsid w:val="00225320"/>
    <w:rsid w:val="00225458"/>
    <w:rsid w:val="00225D0C"/>
    <w:rsid w:val="00226028"/>
    <w:rsid w:val="00226418"/>
    <w:rsid w:val="0022658D"/>
    <w:rsid w:val="002265E3"/>
    <w:rsid w:val="002269A5"/>
    <w:rsid w:val="002272FC"/>
    <w:rsid w:val="00227550"/>
    <w:rsid w:val="00227B8D"/>
    <w:rsid w:val="00227C69"/>
    <w:rsid w:val="00227CE2"/>
    <w:rsid w:val="00227E7F"/>
    <w:rsid w:val="00230779"/>
    <w:rsid w:val="00231293"/>
    <w:rsid w:val="002314DD"/>
    <w:rsid w:val="00231548"/>
    <w:rsid w:val="00231DC5"/>
    <w:rsid w:val="00231E16"/>
    <w:rsid w:val="00231E99"/>
    <w:rsid w:val="0023272F"/>
    <w:rsid w:val="002329E4"/>
    <w:rsid w:val="00232B60"/>
    <w:rsid w:val="002336E1"/>
    <w:rsid w:val="002337B1"/>
    <w:rsid w:val="00233A0D"/>
    <w:rsid w:val="00233F56"/>
    <w:rsid w:val="00234005"/>
    <w:rsid w:val="002344AE"/>
    <w:rsid w:val="002346F3"/>
    <w:rsid w:val="00235092"/>
    <w:rsid w:val="00235ABD"/>
    <w:rsid w:val="00235C1E"/>
    <w:rsid w:val="00235DA4"/>
    <w:rsid w:val="0023649A"/>
    <w:rsid w:val="0023651B"/>
    <w:rsid w:val="00236BD3"/>
    <w:rsid w:val="00236C3C"/>
    <w:rsid w:val="00236D32"/>
    <w:rsid w:val="0023715F"/>
    <w:rsid w:val="00237830"/>
    <w:rsid w:val="00237835"/>
    <w:rsid w:val="0023789D"/>
    <w:rsid w:val="00237B71"/>
    <w:rsid w:val="00237E8F"/>
    <w:rsid w:val="00237E96"/>
    <w:rsid w:val="00237F68"/>
    <w:rsid w:val="00240D56"/>
    <w:rsid w:val="00240D78"/>
    <w:rsid w:val="00240F6C"/>
    <w:rsid w:val="00241BC1"/>
    <w:rsid w:val="00241CEB"/>
    <w:rsid w:val="00242916"/>
    <w:rsid w:val="00242C86"/>
    <w:rsid w:val="002431A0"/>
    <w:rsid w:val="0024432B"/>
    <w:rsid w:val="00244F89"/>
    <w:rsid w:val="002451FA"/>
    <w:rsid w:val="002454DC"/>
    <w:rsid w:val="002456FD"/>
    <w:rsid w:val="00245FDE"/>
    <w:rsid w:val="002467BA"/>
    <w:rsid w:val="00246BFE"/>
    <w:rsid w:val="00247356"/>
    <w:rsid w:val="00247389"/>
    <w:rsid w:val="002474B9"/>
    <w:rsid w:val="002476FB"/>
    <w:rsid w:val="00247815"/>
    <w:rsid w:val="00247B30"/>
    <w:rsid w:val="00247DF0"/>
    <w:rsid w:val="0025068D"/>
    <w:rsid w:val="002513FF"/>
    <w:rsid w:val="00251A8D"/>
    <w:rsid w:val="00251AE9"/>
    <w:rsid w:val="00252201"/>
    <w:rsid w:val="00252F99"/>
    <w:rsid w:val="002530C1"/>
    <w:rsid w:val="002530D2"/>
    <w:rsid w:val="0025313E"/>
    <w:rsid w:val="00253833"/>
    <w:rsid w:val="002538DF"/>
    <w:rsid w:val="00254015"/>
    <w:rsid w:val="002540F7"/>
    <w:rsid w:val="00254328"/>
    <w:rsid w:val="00254DD8"/>
    <w:rsid w:val="00254DD9"/>
    <w:rsid w:val="00255359"/>
    <w:rsid w:val="00256306"/>
    <w:rsid w:val="00256D20"/>
    <w:rsid w:val="00257908"/>
    <w:rsid w:val="002579ED"/>
    <w:rsid w:val="00260160"/>
    <w:rsid w:val="002601CD"/>
    <w:rsid w:val="00260B17"/>
    <w:rsid w:val="00260F48"/>
    <w:rsid w:val="00261338"/>
    <w:rsid w:val="00261497"/>
    <w:rsid w:val="0026182D"/>
    <w:rsid w:val="00261843"/>
    <w:rsid w:val="00261C67"/>
    <w:rsid w:val="00261DC5"/>
    <w:rsid w:val="0026272E"/>
    <w:rsid w:val="00262A0F"/>
    <w:rsid w:val="00262CB7"/>
    <w:rsid w:val="00262E9E"/>
    <w:rsid w:val="00262F80"/>
    <w:rsid w:val="002632E9"/>
    <w:rsid w:val="002637CC"/>
    <w:rsid w:val="00263A1C"/>
    <w:rsid w:val="00264063"/>
    <w:rsid w:val="00264112"/>
    <w:rsid w:val="002643FF"/>
    <w:rsid w:val="00264C8E"/>
    <w:rsid w:val="00264DB8"/>
    <w:rsid w:val="00264F83"/>
    <w:rsid w:val="00265102"/>
    <w:rsid w:val="002655F3"/>
    <w:rsid w:val="00266089"/>
    <w:rsid w:val="002665C5"/>
    <w:rsid w:val="00266A87"/>
    <w:rsid w:val="00266EA1"/>
    <w:rsid w:val="00266F7E"/>
    <w:rsid w:val="00266FB0"/>
    <w:rsid w:val="00267415"/>
    <w:rsid w:val="00267588"/>
    <w:rsid w:val="00267AC8"/>
    <w:rsid w:val="00267C4E"/>
    <w:rsid w:val="00267C62"/>
    <w:rsid w:val="00270069"/>
    <w:rsid w:val="002702F7"/>
    <w:rsid w:val="00270813"/>
    <w:rsid w:val="00270FAD"/>
    <w:rsid w:val="002716A5"/>
    <w:rsid w:val="00273171"/>
    <w:rsid w:val="00273403"/>
    <w:rsid w:val="00273456"/>
    <w:rsid w:val="002735D0"/>
    <w:rsid w:val="002737C3"/>
    <w:rsid w:val="00273C8A"/>
    <w:rsid w:val="002740D4"/>
    <w:rsid w:val="002742F3"/>
    <w:rsid w:val="00274996"/>
    <w:rsid w:val="00274A9D"/>
    <w:rsid w:val="00275A7A"/>
    <w:rsid w:val="00275B17"/>
    <w:rsid w:val="00275E2D"/>
    <w:rsid w:val="002760F8"/>
    <w:rsid w:val="002767F0"/>
    <w:rsid w:val="00277206"/>
    <w:rsid w:val="0027729D"/>
    <w:rsid w:val="00277677"/>
    <w:rsid w:val="00277886"/>
    <w:rsid w:val="00280397"/>
    <w:rsid w:val="0028073A"/>
    <w:rsid w:val="00280A93"/>
    <w:rsid w:val="00281434"/>
    <w:rsid w:val="00281883"/>
    <w:rsid w:val="00281B5A"/>
    <w:rsid w:val="00281D9F"/>
    <w:rsid w:val="00281E57"/>
    <w:rsid w:val="00282109"/>
    <w:rsid w:val="00283E55"/>
    <w:rsid w:val="00284040"/>
    <w:rsid w:val="00284477"/>
    <w:rsid w:val="002847B2"/>
    <w:rsid w:val="00284A5F"/>
    <w:rsid w:val="00284AE6"/>
    <w:rsid w:val="002856BF"/>
    <w:rsid w:val="00285701"/>
    <w:rsid w:val="002859F4"/>
    <w:rsid w:val="002865C7"/>
    <w:rsid w:val="00286665"/>
    <w:rsid w:val="00286869"/>
    <w:rsid w:val="0028746C"/>
    <w:rsid w:val="00287A91"/>
    <w:rsid w:val="00287B61"/>
    <w:rsid w:val="0029024C"/>
    <w:rsid w:val="00290AA1"/>
    <w:rsid w:val="002911D2"/>
    <w:rsid w:val="00291770"/>
    <w:rsid w:val="00291C41"/>
    <w:rsid w:val="00291DE3"/>
    <w:rsid w:val="00292D86"/>
    <w:rsid w:val="00292EB7"/>
    <w:rsid w:val="00293097"/>
    <w:rsid w:val="00293491"/>
    <w:rsid w:val="002939C2"/>
    <w:rsid w:val="00293B8F"/>
    <w:rsid w:val="002940F3"/>
    <w:rsid w:val="002943D9"/>
    <w:rsid w:val="00294736"/>
    <w:rsid w:val="0029494B"/>
    <w:rsid w:val="00294A4C"/>
    <w:rsid w:val="00294E1C"/>
    <w:rsid w:val="00294F8B"/>
    <w:rsid w:val="00295D19"/>
    <w:rsid w:val="00296133"/>
    <w:rsid w:val="00296560"/>
    <w:rsid w:val="00296A27"/>
    <w:rsid w:val="00296FD1"/>
    <w:rsid w:val="0029708C"/>
    <w:rsid w:val="002973B6"/>
    <w:rsid w:val="00297670"/>
    <w:rsid w:val="002979C6"/>
    <w:rsid w:val="00297C10"/>
    <w:rsid w:val="00297FA6"/>
    <w:rsid w:val="002A009F"/>
    <w:rsid w:val="002A00CC"/>
    <w:rsid w:val="002A04B8"/>
    <w:rsid w:val="002A0848"/>
    <w:rsid w:val="002A0DCA"/>
    <w:rsid w:val="002A154E"/>
    <w:rsid w:val="002A174A"/>
    <w:rsid w:val="002A1872"/>
    <w:rsid w:val="002A1BBA"/>
    <w:rsid w:val="002A22B6"/>
    <w:rsid w:val="002A2434"/>
    <w:rsid w:val="002A258B"/>
    <w:rsid w:val="002A291A"/>
    <w:rsid w:val="002A3328"/>
    <w:rsid w:val="002A3958"/>
    <w:rsid w:val="002A3DC4"/>
    <w:rsid w:val="002A42C8"/>
    <w:rsid w:val="002A4368"/>
    <w:rsid w:val="002A43FC"/>
    <w:rsid w:val="002A4485"/>
    <w:rsid w:val="002A4577"/>
    <w:rsid w:val="002A4C4D"/>
    <w:rsid w:val="002A510C"/>
    <w:rsid w:val="002A5570"/>
    <w:rsid w:val="002A559D"/>
    <w:rsid w:val="002A5DC3"/>
    <w:rsid w:val="002A5FFA"/>
    <w:rsid w:val="002A6156"/>
    <w:rsid w:val="002A647C"/>
    <w:rsid w:val="002A6798"/>
    <w:rsid w:val="002A6FD6"/>
    <w:rsid w:val="002A703D"/>
    <w:rsid w:val="002A7159"/>
    <w:rsid w:val="002A7C24"/>
    <w:rsid w:val="002A7C34"/>
    <w:rsid w:val="002B0166"/>
    <w:rsid w:val="002B0289"/>
    <w:rsid w:val="002B0716"/>
    <w:rsid w:val="002B0857"/>
    <w:rsid w:val="002B08F5"/>
    <w:rsid w:val="002B16E8"/>
    <w:rsid w:val="002B1AC3"/>
    <w:rsid w:val="002B1E01"/>
    <w:rsid w:val="002B2D10"/>
    <w:rsid w:val="002B3A43"/>
    <w:rsid w:val="002B3C1A"/>
    <w:rsid w:val="002B4166"/>
    <w:rsid w:val="002B43B1"/>
    <w:rsid w:val="002B4531"/>
    <w:rsid w:val="002B4BA1"/>
    <w:rsid w:val="002B4DCD"/>
    <w:rsid w:val="002B5370"/>
    <w:rsid w:val="002B5426"/>
    <w:rsid w:val="002B54FE"/>
    <w:rsid w:val="002B55F3"/>
    <w:rsid w:val="002B5FA6"/>
    <w:rsid w:val="002B6069"/>
    <w:rsid w:val="002B65F5"/>
    <w:rsid w:val="002B6704"/>
    <w:rsid w:val="002B6A3D"/>
    <w:rsid w:val="002B7111"/>
    <w:rsid w:val="002B748F"/>
    <w:rsid w:val="002B7A21"/>
    <w:rsid w:val="002B7DB4"/>
    <w:rsid w:val="002C0358"/>
    <w:rsid w:val="002C05C0"/>
    <w:rsid w:val="002C0849"/>
    <w:rsid w:val="002C0BC7"/>
    <w:rsid w:val="002C0C47"/>
    <w:rsid w:val="002C15AE"/>
    <w:rsid w:val="002C1B44"/>
    <w:rsid w:val="002C1F72"/>
    <w:rsid w:val="002C22CE"/>
    <w:rsid w:val="002C2760"/>
    <w:rsid w:val="002C2AE9"/>
    <w:rsid w:val="002C2C73"/>
    <w:rsid w:val="002C2D85"/>
    <w:rsid w:val="002C327C"/>
    <w:rsid w:val="002C37DC"/>
    <w:rsid w:val="002C3A31"/>
    <w:rsid w:val="002C3C75"/>
    <w:rsid w:val="002C3D5F"/>
    <w:rsid w:val="002C3E2C"/>
    <w:rsid w:val="002C3FFC"/>
    <w:rsid w:val="002C4347"/>
    <w:rsid w:val="002C4417"/>
    <w:rsid w:val="002C4447"/>
    <w:rsid w:val="002C46AF"/>
    <w:rsid w:val="002C49CA"/>
    <w:rsid w:val="002C4BF2"/>
    <w:rsid w:val="002C4DF9"/>
    <w:rsid w:val="002C4E14"/>
    <w:rsid w:val="002C4E78"/>
    <w:rsid w:val="002C4EF5"/>
    <w:rsid w:val="002C592F"/>
    <w:rsid w:val="002C599C"/>
    <w:rsid w:val="002C5F18"/>
    <w:rsid w:val="002C60BE"/>
    <w:rsid w:val="002C60C8"/>
    <w:rsid w:val="002C60E7"/>
    <w:rsid w:val="002C64FC"/>
    <w:rsid w:val="002C6878"/>
    <w:rsid w:val="002C6F32"/>
    <w:rsid w:val="002C737A"/>
    <w:rsid w:val="002C73CB"/>
    <w:rsid w:val="002C7458"/>
    <w:rsid w:val="002C7DE5"/>
    <w:rsid w:val="002C7E8B"/>
    <w:rsid w:val="002D0326"/>
    <w:rsid w:val="002D0368"/>
    <w:rsid w:val="002D04B7"/>
    <w:rsid w:val="002D05FC"/>
    <w:rsid w:val="002D06C9"/>
    <w:rsid w:val="002D0AA8"/>
    <w:rsid w:val="002D0E99"/>
    <w:rsid w:val="002D0EC6"/>
    <w:rsid w:val="002D1A74"/>
    <w:rsid w:val="002D1BB7"/>
    <w:rsid w:val="002D1E3C"/>
    <w:rsid w:val="002D1F1A"/>
    <w:rsid w:val="002D1FD2"/>
    <w:rsid w:val="002D223B"/>
    <w:rsid w:val="002D24ED"/>
    <w:rsid w:val="002D25C1"/>
    <w:rsid w:val="002D2EBD"/>
    <w:rsid w:val="002D3098"/>
    <w:rsid w:val="002D3190"/>
    <w:rsid w:val="002D32B3"/>
    <w:rsid w:val="002D3328"/>
    <w:rsid w:val="002D33A3"/>
    <w:rsid w:val="002D3A81"/>
    <w:rsid w:val="002D3C8A"/>
    <w:rsid w:val="002D4254"/>
    <w:rsid w:val="002D4BCA"/>
    <w:rsid w:val="002D4E80"/>
    <w:rsid w:val="002D53BE"/>
    <w:rsid w:val="002D619C"/>
    <w:rsid w:val="002D61A4"/>
    <w:rsid w:val="002D624E"/>
    <w:rsid w:val="002D67FB"/>
    <w:rsid w:val="002D6B14"/>
    <w:rsid w:val="002D718D"/>
    <w:rsid w:val="002D79F1"/>
    <w:rsid w:val="002D79F4"/>
    <w:rsid w:val="002E01E8"/>
    <w:rsid w:val="002E0D19"/>
    <w:rsid w:val="002E1BD0"/>
    <w:rsid w:val="002E2562"/>
    <w:rsid w:val="002E2A22"/>
    <w:rsid w:val="002E2CB4"/>
    <w:rsid w:val="002E2F1B"/>
    <w:rsid w:val="002E33C0"/>
    <w:rsid w:val="002E3F21"/>
    <w:rsid w:val="002E3F98"/>
    <w:rsid w:val="002E4049"/>
    <w:rsid w:val="002E4058"/>
    <w:rsid w:val="002E407B"/>
    <w:rsid w:val="002E4493"/>
    <w:rsid w:val="002E45AF"/>
    <w:rsid w:val="002E48EE"/>
    <w:rsid w:val="002E49DC"/>
    <w:rsid w:val="002E4C6E"/>
    <w:rsid w:val="002E5649"/>
    <w:rsid w:val="002E5708"/>
    <w:rsid w:val="002E58AD"/>
    <w:rsid w:val="002E5FFB"/>
    <w:rsid w:val="002E62DF"/>
    <w:rsid w:val="002E6BA1"/>
    <w:rsid w:val="002E6D97"/>
    <w:rsid w:val="002E7054"/>
    <w:rsid w:val="002E7BA5"/>
    <w:rsid w:val="002F0105"/>
    <w:rsid w:val="002F06B5"/>
    <w:rsid w:val="002F0BFC"/>
    <w:rsid w:val="002F1055"/>
    <w:rsid w:val="002F117E"/>
    <w:rsid w:val="002F1235"/>
    <w:rsid w:val="002F1568"/>
    <w:rsid w:val="002F1BBB"/>
    <w:rsid w:val="002F1FCC"/>
    <w:rsid w:val="002F23F2"/>
    <w:rsid w:val="002F24A9"/>
    <w:rsid w:val="002F26CC"/>
    <w:rsid w:val="002F271D"/>
    <w:rsid w:val="002F2AC1"/>
    <w:rsid w:val="002F30E1"/>
    <w:rsid w:val="002F35CB"/>
    <w:rsid w:val="002F3768"/>
    <w:rsid w:val="002F3C31"/>
    <w:rsid w:val="002F3DED"/>
    <w:rsid w:val="002F4249"/>
    <w:rsid w:val="002F4D33"/>
    <w:rsid w:val="002F4D4E"/>
    <w:rsid w:val="002F4E58"/>
    <w:rsid w:val="002F4F94"/>
    <w:rsid w:val="002F5537"/>
    <w:rsid w:val="002F5BCF"/>
    <w:rsid w:val="002F6D60"/>
    <w:rsid w:val="002F6DDD"/>
    <w:rsid w:val="002F6E8A"/>
    <w:rsid w:val="002F70DB"/>
    <w:rsid w:val="002F7146"/>
    <w:rsid w:val="002F71FB"/>
    <w:rsid w:val="002F742A"/>
    <w:rsid w:val="002F7872"/>
    <w:rsid w:val="00300C5F"/>
    <w:rsid w:val="00300F09"/>
    <w:rsid w:val="00300F60"/>
    <w:rsid w:val="00301CE6"/>
    <w:rsid w:val="00302354"/>
    <w:rsid w:val="003027AE"/>
    <w:rsid w:val="0030284F"/>
    <w:rsid w:val="003029F7"/>
    <w:rsid w:val="00302B59"/>
    <w:rsid w:val="00302C7D"/>
    <w:rsid w:val="0030334E"/>
    <w:rsid w:val="00303AB1"/>
    <w:rsid w:val="00304318"/>
    <w:rsid w:val="0030445D"/>
    <w:rsid w:val="00304A09"/>
    <w:rsid w:val="003053D2"/>
    <w:rsid w:val="003054C9"/>
    <w:rsid w:val="00305748"/>
    <w:rsid w:val="003057B9"/>
    <w:rsid w:val="00305B03"/>
    <w:rsid w:val="00305D0D"/>
    <w:rsid w:val="00305D49"/>
    <w:rsid w:val="00305F5E"/>
    <w:rsid w:val="00306004"/>
    <w:rsid w:val="00306005"/>
    <w:rsid w:val="003062AC"/>
    <w:rsid w:val="0030676A"/>
    <w:rsid w:val="003068BD"/>
    <w:rsid w:val="003069C3"/>
    <w:rsid w:val="00307582"/>
    <w:rsid w:val="00307673"/>
    <w:rsid w:val="00307915"/>
    <w:rsid w:val="00307B9B"/>
    <w:rsid w:val="003105EA"/>
    <w:rsid w:val="0031073B"/>
    <w:rsid w:val="00310D3B"/>
    <w:rsid w:val="0031178F"/>
    <w:rsid w:val="003118E3"/>
    <w:rsid w:val="003119D5"/>
    <w:rsid w:val="003119EC"/>
    <w:rsid w:val="00311B51"/>
    <w:rsid w:val="00311C2F"/>
    <w:rsid w:val="00311DF0"/>
    <w:rsid w:val="00311FB3"/>
    <w:rsid w:val="00312534"/>
    <w:rsid w:val="003137D8"/>
    <w:rsid w:val="00313A15"/>
    <w:rsid w:val="00313C6B"/>
    <w:rsid w:val="00313CB9"/>
    <w:rsid w:val="00314041"/>
    <w:rsid w:val="00314203"/>
    <w:rsid w:val="00314693"/>
    <w:rsid w:val="00315A84"/>
    <w:rsid w:val="00315AA2"/>
    <w:rsid w:val="00315F11"/>
    <w:rsid w:val="00315F89"/>
    <w:rsid w:val="003161D3"/>
    <w:rsid w:val="003163CF"/>
    <w:rsid w:val="003163E4"/>
    <w:rsid w:val="003168ED"/>
    <w:rsid w:val="00316A18"/>
    <w:rsid w:val="00316AF5"/>
    <w:rsid w:val="003172DD"/>
    <w:rsid w:val="00317C9A"/>
    <w:rsid w:val="00317FF2"/>
    <w:rsid w:val="003210BA"/>
    <w:rsid w:val="003212B8"/>
    <w:rsid w:val="0032141E"/>
    <w:rsid w:val="00321745"/>
    <w:rsid w:val="00321B9F"/>
    <w:rsid w:val="00321BFE"/>
    <w:rsid w:val="00322576"/>
    <w:rsid w:val="0032263E"/>
    <w:rsid w:val="00322763"/>
    <w:rsid w:val="00322BD6"/>
    <w:rsid w:val="00322CCF"/>
    <w:rsid w:val="00322E81"/>
    <w:rsid w:val="00323A48"/>
    <w:rsid w:val="00323B30"/>
    <w:rsid w:val="00324C26"/>
    <w:rsid w:val="0032545A"/>
    <w:rsid w:val="00325582"/>
    <w:rsid w:val="00325BA7"/>
    <w:rsid w:val="00325D52"/>
    <w:rsid w:val="00325E39"/>
    <w:rsid w:val="00325FDE"/>
    <w:rsid w:val="003260CD"/>
    <w:rsid w:val="00326142"/>
    <w:rsid w:val="003267DE"/>
    <w:rsid w:val="00326A46"/>
    <w:rsid w:val="00327057"/>
    <w:rsid w:val="0032778F"/>
    <w:rsid w:val="003278EE"/>
    <w:rsid w:val="00327AFD"/>
    <w:rsid w:val="00327F4C"/>
    <w:rsid w:val="00330C82"/>
    <w:rsid w:val="0033183D"/>
    <w:rsid w:val="003319B8"/>
    <w:rsid w:val="00331A4C"/>
    <w:rsid w:val="00331BD3"/>
    <w:rsid w:val="00331C32"/>
    <w:rsid w:val="00331F11"/>
    <w:rsid w:val="00332648"/>
    <w:rsid w:val="00332A4B"/>
    <w:rsid w:val="00333069"/>
    <w:rsid w:val="00333908"/>
    <w:rsid w:val="00333DE3"/>
    <w:rsid w:val="003342F9"/>
    <w:rsid w:val="00334406"/>
    <w:rsid w:val="00334745"/>
    <w:rsid w:val="00335971"/>
    <w:rsid w:val="003362E8"/>
    <w:rsid w:val="00336440"/>
    <w:rsid w:val="003369B4"/>
    <w:rsid w:val="003369E1"/>
    <w:rsid w:val="00336E5A"/>
    <w:rsid w:val="00340525"/>
    <w:rsid w:val="00340532"/>
    <w:rsid w:val="003406DF"/>
    <w:rsid w:val="003408B7"/>
    <w:rsid w:val="00340A1C"/>
    <w:rsid w:val="00340CE7"/>
    <w:rsid w:val="00340EB4"/>
    <w:rsid w:val="00341507"/>
    <w:rsid w:val="00342473"/>
    <w:rsid w:val="003424AB"/>
    <w:rsid w:val="003424CA"/>
    <w:rsid w:val="003425AC"/>
    <w:rsid w:val="0034265C"/>
    <w:rsid w:val="00342688"/>
    <w:rsid w:val="00343100"/>
    <w:rsid w:val="00343483"/>
    <w:rsid w:val="00343BC7"/>
    <w:rsid w:val="00344096"/>
    <w:rsid w:val="003442E0"/>
    <w:rsid w:val="00344530"/>
    <w:rsid w:val="00344AFC"/>
    <w:rsid w:val="00344DEB"/>
    <w:rsid w:val="00345DBD"/>
    <w:rsid w:val="00345F6A"/>
    <w:rsid w:val="00345FCA"/>
    <w:rsid w:val="003460F7"/>
    <w:rsid w:val="00346491"/>
    <w:rsid w:val="00346C61"/>
    <w:rsid w:val="00346DFE"/>
    <w:rsid w:val="0034713D"/>
    <w:rsid w:val="003471D8"/>
    <w:rsid w:val="00347447"/>
    <w:rsid w:val="0034751B"/>
    <w:rsid w:val="00347D5F"/>
    <w:rsid w:val="00347FEA"/>
    <w:rsid w:val="0035010C"/>
    <w:rsid w:val="00350216"/>
    <w:rsid w:val="0035048E"/>
    <w:rsid w:val="003510D2"/>
    <w:rsid w:val="0035139D"/>
    <w:rsid w:val="00351539"/>
    <w:rsid w:val="00351DA6"/>
    <w:rsid w:val="003526F1"/>
    <w:rsid w:val="003529F0"/>
    <w:rsid w:val="00352D8F"/>
    <w:rsid w:val="00352EBF"/>
    <w:rsid w:val="00353272"/>
    <w:rsid w:val="003533BE"/>
    <w:rsid w:val="00353B0C"/>
    <w:rsid w:val="00353D53"/>
    <w:rsid w:val="00353E70"/>
    <w:rsid w:val="00353EA6"/>
    <w:rsid w:val="003541D5"/>
    <w:rsid w:val="00354483"/>
    <w:rsid w:val="00354785"/>
    <w:rsid w:val="00354842"/>
    <w:rsid w:val="00355105"/>
    <w:rsid w:val="0035514C"/>
    <w:rsid w:val="00355509"/>
    <w:rsid w:val="00355A15"/>
    <w:rsid w:val="00355C05"/>
    <w:rsid w:val="003561AB"/>
    <w:rsid w:val="0035625B"/>
    <w:rsid w:val="003566CE"/>
    <w:rsid w:val="003566D6"/>
    <w:rsid w:val="0035688F"/>
    <w:rsid w:val="00356CC6"/>
    <w:rsid w:val="00357153"/>
    <w:rsid w:val="00357295"/>
    <w:rsid w:val="00357981"/>
    <w:rsid w:val="0036049E"/>
    <w:rsid w:val="003608B0"/>
    <w:rsid w:val="0036104C"/>
    <w:rsid w:val="003614E0"/>
    <w:rsid w:val="00361663"/>
    <w:rsid w:val="003617B6"/>
    <w:rsid w:val="003619D9"/>
    <w:rsid w:val="00361F29"/>
    <w:rsid w:val="003620A7"/>
    <w:rsid w:val="0036215D"/>
    <w:rsid w:val="00362723"/>
    <w:rsid w:val="00362D24"/>
    <w:rsid w:val="00362F22"/>
    <w:rsid w:val="00362F4F"/>
    <w:rsid w:val="003634CC"/>
    <w:rsid w:val="0036389E"/>
    <w:rsid w:val="00363966"/>
    <w:rsid w:val="00363BD8"/>
    <w:rsid w:val="00364077"/>
    <w:rsid w:val="0036407E"/>
    <w:rsid w:val="003641F1"/>
    <w:rsid w:val="00364363"/>
    <w:rsid w:val="00364631"/>
    <w:rsid w:val="00364FBC"/>
    <w:rsid w:val="003654EF"/>
    <w:rsid w:val="0036558A"/>
    <w:rsid w:val="003663F8"/>
    <w:rsid w:val="00366907"/>
    <w:rsid w:val="00366B89"/>
    <w:rsid w:val="003670FB"/>
    <w:rsid w:val="00367334"/>
    <w:rsid w:val="00367B33"/>
    <w:rsid w:val="00367BB0"/>
    <w:rsid w:val="00367DD1"/>
    <w:rsid w:val="00367EC2"/>
    <w:rsid w:val="0037038D"/>
    <w:rsid w:val="00370406"/>
    <w:rsid w:val="003708FC"/>
    <w:rsid w:val="003716F4"/>
    <w:rsid w:val="00371ACD"/>
    <w:rsid w:val="003726CD"/>
    <w:rsid w:val="00372C10"/>
    <w:rsid w:val="00372C28"/>
    <w:rsid w:val="00372D42"/>
    <w:rsid w:val="00372D5A"/>
    <w:rsid w:val="003731F1"/>
    <w:rsid w:val="0037398C"/>
    <w:rsid w:val="00373CC0"/>
    <w:rsid w:val="00373F2E"/>
    <w:rsid w:val="00374230"/>
    <w:rsid w:val="003742E6"/>
    <w:rsid w:val="00374470"/>
    <w:rsid w:val="00374507"/>
    <w:rsid w:val="00374561"/>
    <w:rsid w:val="00374660"/>
    <w:rsid w:val="003746B5"/>
    <w:rsid w:val="003749B3"/>
    <w:rsid w:val="00374FA3"/>
    <w:rsid w:val="00375022"/>
    <w:rsid w:val="00375056"/>
    <w:rsid w:val="0037618F"/>
    <w:rsid w:val="00376992"/>
    <w:rsid w:val="00376AA9"/>
    <w:rsid w:val="00376BB1"/>
    <w:rsid w:val="00376C6F"/>
    <w:rsid w:val="003776D0"/>
    <w:rsid w:val="003776D2"/>
    <w:rsid w:val="00380665"/>
    <w:rsid w:val="00380699"/>
    <w:rsid w:val="003808B4"/>
    <w:rsid w:val="00380B5E"/>
    <w:rsid w:val="00380C0B"/>
    <w:rsid w:val="0038108D"/>
    <w:rsid w:val="003811E0"/>
    <w:rsid w:val="003811E9"/>
    <w:rsid w:val="00381298"/>
    <w:rsid w:val="003819DB"/>
    <w:rsid w:val="003829DF"/>
    <w:rsid w:val="00382C30"/>
    <w:rsid w:val="00383131"/>
    <w:rsid w:val="003833D6"/>
    <w:rsid w:val="00383763"/>
    <w:rsid w:val="0038380B"/>
    <w:rsid w:val="00383870"/>
    <w:rsid w:val="00383F0F"/>
    <w:rsid w:val="00384660"/>
    <w:rsid w:val="00384BA5"/>
    <w:rsid w:val="00384C69"/>
    <w:rsid w:val="00384DA8"/>
    <w:rsid w:val="00384FBC"/>
    <w:rsid w:val="00384FF9"/>
    <w:rsid w:val="00385115"/>
    <w:rsid w:val="003853C1"/>
    <w:rsid w:val="003854DE"/>
    <w:rsid w:val="0038552E"/>
    <w:rsid w:val="00386C03"/>
    <w:rsid w:val="003870FD"/>
    <w:rsid w:val="00387207"/>
    <w:rsid w:val="00387234"/>
    <w:rsid w:val="00387762"/>
    <w:rsid w:val="00387CB9"/>
    <w:rsid w:val="00387F1E"/>
    <w:rsid w:val="00390101"/>
    <w:rsid w:val="00390397"/>
    <w:rsid w:val="0039050E"/>
    <w:rsid w:val="00390A8D"/>
    <w:rsid w:val="00390BED"/>
    <w:rsid w:val="00390D27"/>
    <w:rsid w:val="00391008"/>
    <w:rsid w:val="00391677"/>
    <w:rsid w:val="00391A57"/>
    <w:rsid w:val="003922DB"/>
    <w:rsid w:val="00392F0C"/>
    <w:rsid w:val="00393605"/>
    <w:rsid w:val="0039432A"/>
    <w:rsid w:val="003948CE"/>
    <w:rsid w:val="00395801"/>
    <w:rsid w:val="00395FF4"/>
    <w:rsid w:val="003961B0"/>
    <w:rsid w:val="003964AF"/>
    <w:rsid w:val="00396626"/>
    <w:rsid w:val="00396739"/>
    <w:rsid w:val="00397066"/>
    <w:rsid w:val="003975F3"/>
    <w:rsid w:val="00397B48"/>
    <w:rsid w:val="00397CCD"/>
    <w:rsid w:val="00397CD1"/>
    <w:rsid w:val="00397DDD"/>
    <w:rsid w:val="003A01AA"/>
    <w:rsid w:val="003A04C1"/>
    <w:rsid w:val="003A0A07"/>
    <w:rsid w:val="003A0B8F"/>
    <w:rsid w:val="003A123D"/>
    <w:rsid w:val="003A1644"/>
    <w:rsid w:val="003A204D"/>
    <w:rsid w:val="003A2A99"/>
    <w:rsid w:val="003A2D71"/>
    <w:rsid w:val="003A2F5E"/>
    <w:rsid w:val="003A3492"/>
    <w:rsid w:val="003A34B6"/>
    <w:rsid w:val="003A3522"/>
    <w:rsid w:val="003A3E50"/>
    <w:rsid w:val="003A415F"/>
    <w:rsid w:val="003A4725"/>
    <w:rsid w:val="003A4802"/>
    <w:rsid w:val="003A4BCD"/>
    <w:rsid w:val="003A543A"/>
    <w:rsid w:val="003A558E"/>
    <w:rsid w:val="003A57FE"/>
    <w:rsid w:val="003A5976"/>
    <w:rsid w:val="003A5ECA"/>
    <w:rsid w:val="003A66DB"/>
    <w:rsid w:val="003A670C"/>
    <w:rsid w:val="003A672D"/>
    <w:rsid w:val="003A6898"/>
    <w:rsid w:val="003A699F"/>
    <w:rsid w:val="003A69FE"/>
    <w:rsid w:val="003A6BEF"/>
    <w:rsid w:val="003A7526"/>
    <w:rsid w:val="003A7F9F"/>
    <w:rsid w:val="003B05DC"/>
    <w:rsid w:val="003B0669"/>
    <w:rsid w:val="003B078A"/>
    <w:rsid w:val="003B0945"/>
    <w:rsid w:val="003B0BF9"/>
    <w:rsid w:val="003B140A"/>
    <w:rsid w:val="003B14EB"/>
    <w:rsid w:val="003B18AB"/>
    <w:rsid w:val="003B2175"/>
    <w:rsid w:val="003B2484"/>
    <w:rsid w:val="003B2D9C"/>
    <w:rsid w:val="003B2DDF"/>
    <w:rsid w:val="003B3265"/>
    <w:rsid w:val="003B33DA"/>
    <w:rsid w:val="003B3F6C"/>
    <w:rsid w:val="003B4186"/>
    <w:rsid w:val="003B4334"/>
    <w:rsid w:val="003B4CFF"/>
    <w:rsid w:val="003B4DEE"/>
    <w:rsid w:val="003B4E42"/>
    <w:rsid w:val="003B5B7B"/>
    <w:rsid w:val="003B5E23"/>
    <w:rsid w:val="003B5E67"/>
    <w:rsid w:val="003B619C"/>
    <w:rsid w:val="003B67B7"/>
    <w:rsid w:val="003B6D77"/>
    <w:rsid w:val="003B75C4"/>
    <w:rsid w:val="003B7F08"/>
    <w:rsid w:val="003B7FC6"/>
    <w:rsid w:val="003C06B6"/>
    <w:rsid w:val="003C0B99"/>
    <w:rsid w:val="003C0C9B"/>
    <w:rsid w:val="003C0CB9"/>
    <w:rsid w:val="003C17E8"/>
    <w:rsid w:val="003C1A8F"/>
    <w:rsid w:val="003C2691"/>
    <w:rsid w:val="003C27D6"/>
    <w:rsid w:val="003C27F8"/>
    <w:rsid w:val="003C2818"/>
    <w:rsid w:val="003C2E01"/>
    <w:rsid w:val="003C2FE4"/>
    <w:rsid w:val="003C3167"/>
    <w:rsid w:val="003C33AF"/>
    <w:rsid w:val="003C3610"/>
    <w:rsid w:val="003C39F9"/>
    <w:rsid w:val="003C3B58"/>
    <w:rsid w:val="003C3CEA"/>
    <w:rsid w:val="003C4420"/>
    <w:rsid w:val="003C4636"/>
    <w:rsid w:val="003C4720"/>
    <w:rsid w:val="003C48FF"/>
    <w:rsid w:val="003C4A7B"/>
    <w:rsid w:val="003C4B71"/>
    <w:rsid w:val="003C51AC"/>
    <w:rsid w:val="003C55E7"/>
    <w:rsid w:val="003C5766"/>
    <w:rsid w:val="003C5A90"/>
    <w:rsid w:val="003C60B0"/>
    <w:rsid w:val="003C644A"/>
    <w:rsid w:val="003C669F"/>
    <w:rsid w:val="003C6B78"/>
    <w:rsid w:val="003C7820"/>
    <w:rsid w:val="003C7BD9"/>
    <w:rsid w:val="003D0504"/>
    <w:rsid w:val="003D0926"/>
    <w:rsid w:val="003D0AEB"/>
    <w:rsid w:val="003D0FCB"/>
    <w:rsid w:val="003D101D"/>
    <w:rsid w:val="003D14D2"/>
    <w:rsid w:val="003D168F"/>
    <w:rsid w:val="003D1AA2"/>
    <w:rsid w:val="003D25F7"/>
    <w:rsid w:val="003D29DA"/>
    <w:rsid w:val="003D2BC1"/>
    <w:rsid w:val="003D2D56"/>
    <w:rsid w:val="003D2EB5"/>
    <w:rsid w:val="003D2ED7"/>
    <w:rsid w:val="003D3901"/>
    <w:rsid w:val="003D3B92"/>
    <w:rsid w:val="003D3BF8"/>
    <w:rsid w:val="003D3CA6"/>
    <w:rsid w:val="003D3D29"/>
    <w:rsid w:val="003D3D4B"/>
    <w:rsid w:val="003D5042"/>
    <w:rsid w:val="003D507D"/>
    <w:rsid w:val="003D536E"/>
    <w:rsid w:val="003D5506"/>
    <w:rsid w:val="003D55E3"/>
    <w:rsid w:val="003D5743"/>
    <w:rsid w:val="003D57D2"/>
    <w:rsid w:val="003D590F"/>
    <w:rsid w:val="003D6042"/>
    <w:rsid w:val="003D6064"/>
    <w:rsid w:val="003D6095"/>
    <w:rsid w:val="003D61A3"/>
    <w:rsid w:val="003D62DA"/>
    <w:rsid w:val="003D6362"/>
    <w:rsid w:val="003D6473"/>
    <w:rsid w:val="003D6490"/>
    <w:rsid w:val="003D669E"/>
    <w:rsid w:val="003D6908"/>
    <w:rsid w:val="003D72AC"/>
    <w:rsid w:val="003D7AAF"/>
    <w:rsid w:val="003D7E53"/>
    <w:rsid w:val="003D7EB3"/>
    <w:rsid w:val="003E000B"/>
    <w:rsid w:val="003E0CD6"/>
    <w:rsid w:val="003E1492"/>
    <w:rsid w:val="003E190E"/>
    <w:rsid w:val="003E1E28"/>
    <w:rsid w:val="003E1EF3"/>
    <w:rsid w:val="003E21A2"/>
    <w:rsid w:val="003E2310"/>
    <w:rsid w:val="003E2BF2"/>
    <w:rsid w:val="003E2DAA"/>
    <w:rsid w:val="003E2DFF"/>
    <w:rsid w:val="003E3905"/>
    <w:rsid w:val="003E3A86"/>
    <w:rsid w:val="003E40AA"/>
    <w:rsid w:val="003E451B"/>
    <w:rsid w:val="003E4597"/>
    <w:rsid w:val="003E4B64"/>
    <w:rsid w:val="003E53CD"/>
    <w:rsid w:val="003E5E2A"/>
    <w:rsid w:val="003E6126"/>
    <w:rsid w:val="003E62A0"/>
    <w:rsid w:val="003E630D"/>
    <w:rsid w:val="003E6451"/>
    <w:rsid w:val="003E6989"/>
    <w:rsid w:val="003E78FE"/>
    <w:rsid w:val="003F05E7"/>
    <w:rsid w:val="003F075B"/>
    <w:rsid w:val="003F08C2"/>
    <w:rsid w:val="003F1933"/>
    <w:rsid w:val="003F1F53"/>
    <w:rsid w:val="003F2362"/>
    <w:rsid w:val="003F27DD"/>
    <w:rsid w:val="003F37A3"/>
    <w:rsid w:val="003F37C5"/>
    <w:rsid w:val="003F3A69"/>
    <w:rsid w:val="003F3C28"/>
    <w:rsid w:val="003F4291"/>
    <w:rsid w:val="003F45B1"/>
    <w:rsid w:val="003F47B3"/>
    <w:rsid w:val="003F4A1E"/>
    <w:rsid w:val="003F4D3F"/>
    <w:rsid w:val="003F52FC"/>
    <w:rsid w:val="003F5333"/>
    <w:rsid w:val="003F5575"/>
    <w:rsid w:val="003F59F0"/>
    <w:rsid w:val="003F660E"/>
    <w:rsid w:val="003F67A5"/>
    <w:rsid w:val="003F681D"/>
    <w:rsid w:val="003F692E"/>
    <w:rsid w:val="003F6970"/>
    <w:rsid w:val="003F69A0"/>
    <w:rsid w:val="003F6A4B"/>
    <w:rsid w:val="003F6C13"/>
    <w:rsid w:val="003F70F5"/>
    <w:rsid w:val="003F7243"/>
    <w:rsid w:val="003F7314"/>
    <w:rsid w:val="003F78FE"/>
    <w:rsid w:val="004000B0"/>
    <w:rsid w:val="00400320"/>
    <w:rsid w:val="0040089A"/>
    <w:rsid w:val="00400A87"/>
    <w:rsid w:val="00401040"/>
    <w:rsid w:val="0040131B"/>
    <w:rsid w:val="00401675"/>
    <w:rsid w:val="004022C4"/>
    <w:rsid w:val="0040271C"/>
    <w:rsid w:val="0040285F"/>
    <w:rsid w:val="004029F6"/>
    <w:rsid w:val="00402F43"/>
    <w:rsid w:val="004033BC"/>
    <w:rsid w:val="004037C2"/>
    <w:rsid w:val="004039C1"/>
    <w:rsid w:val="00403B2A"/>
    <w:rsid w:val="00404084"/>
    <w:rsid w:val="0040442C"/>
    <w:rsid w:val="00404980"/>
    <w:rsid w:val="00404ADA"/>
    <w:rsid w:val="00404DAE"/>
    <w:rsid w:val="00404DF9"/>
    <w:rsid w:val="00405BAD"/>
    <w:rsid w:val="004076B7"/>
    <w:rsid w:val="00407776"/>
    <w:rsid w:val="00407831"/>
    <w:rsid w:val="00407F1A"/>
    <w:rsid w:val="0041053E"/>
    <w:rsid w:val="00410935"/>
    <w:rsid w:val="004114E2"/>
    <w:rsid w:val="0041153E"/>
    <w:rsid w:val="00411906"/>
    <w:rsid w:val="00411FD6"/>
    <w:rsid w:val="00412012"/>
    <w:rsid w:val="00412656"/>
    <w:rsid w:val="004126D2"/>
    <w:rsid w:val="0041281C"/>
    <w:rsid w:val="00412F35"/>
    <w:rsid w:val="00413697"/>
    <w:rsid w:val="0041420D"/>
    <w:rsid w:val="00414424"/>
    <w:rsid w:val="004144F7"/>
    <w:rsid w:val="00414D05"/>
    <w:rsid w:val="00414F0A"/>
    <w:rsid w:val="00414FDB"/>
    <w:rsid w:val="00415C27"/>
    <w:rsid w:val="00415FC2"/>
    <w:rsid w:val="004162AB"/>
    <w:rsid w:val="0041642C"/>
    <w:rsid w:val="00416506"/>
    <w:rsid w:val="00416613"/>
    <w:rsid w:val="004169F4"/>
    <w:rsid w:val="00416EAE"/>
    <w:rsid w:val="00417516"/>
    <w:rsid w:val="004176A4"/>
    <w:rsid w:val="00417BF7"/>
    <w:rsid w:val="00417D9D"/>
    <w:rsid w:val="0042088A"/>
    <w:rsid w:val="00420C88"/>
    <w:rsid w:val="004212A4"/>
    <w:rsid w:val="004214F2"/>
    <w:rsid w:val="00421976"/>
    <w:rsid w:val="0042240B"/>
    <w:rsid w:val="00422787"/>
    <w:rsid w:val="004229E3"/>
    <w:rsid w:val="00422EB0"/>
    <w:rsid w:val="0042370F"/>
    <w:rsid w:val="0042382A"/>
    <w:rsid w:val="0042418F"/>
    <w:rsid w:val="004242CF"/>
    <w:rsid w:val="004243C2"/>
    <w:rsid w:val="0042443A"/>
    <w:rsid w:val="004246AB"/>
    <w:rsid w:val="00424A0B"/>
    <w:rsid w:val="00424C13"/>
    <w:rsid w:val="00425465"/>
    <w:rsid w:val="00426175"/>
    <w:rsid w:val="0042644D"/>
    <w:rsid w:val="004264BA"/>
    <w:rsid w:val="00426616"/>
    <w:rsid w:val="00427353"/>
    <w:rsid w:val="00427DB4"/>
    <w:rsid w:val="004302E1"/>
    <w:rsid w:val="00430E87"/>
    <w:rsid w:val="004312A9"/>
    <w:rsid w:val="00431710"/>
    <w:rsid w:val="00431B49"/>
    <w:rsid w:val="00431B4C"/>
    <w:rsid w:val="00431D19"/>
    <w:rsid w:val="00431EC1"/>
    <w:rsid w:val="00432556"/>
    <w:rsid w:val="004327BA"/>
    <w:rsid w:val="00432CE1"/>
    <w:rsid w:val="00432DFD"/>
    <w:rsid w:val="00433013"/>
    <w:rsid w:val="004330BA"/>
    <w:rsid w:val="00433880"/>
    <w:rsid w:val="004338B9"/>
    <w:rsid w:val="0043406F"/>
    <w:rsid w:val="00434177"/>
    <w:rsid w:val="0043453A"/>
    <w:rsid w:val="00434760"/>
    <w:rsid w:val="00434802"/>
    <w:rsid w:val="00434A79"/>
    <w:rsid w:val="00434C44"/>
    <w:rsid w:val="00434DFE"/>
    <w:rsid w:val="00434F23"/>
    <w:rsid w:val="004354C1"/>
    <w:rsid w:val="0043564D"/>
    <w:rsid w:val="00435BBC"/>
    <w:rsid w:val="0043628A"/>
    <w:rsid w:val="00436B82"/>
    <w:rsid w:val="00436E54"/>
    <w:rsid w:val="00436ECF"/>
    <w:rsid w:val="0043770B"/>
    <w:rsid w:val="0044017F"/>
    <w:rsid w:val="00440712"/>
    <w:rsid w:val="00440BE8"/>
    <w:rsid w:val="00441072"/>
    <w:rsid w:val="004412AC"/>
    <w:rsid w:val="0044150E"/>
    <w:rsid w:val="00441583"/>
    <w:rsid w:val="0044189B"/>
    <w:rsid w:val="004418D5"/>
    <w:rsid w:val="00441CB8"/>
    <w:rsid w:val="00442937"/>
    <w:rsid w:val="00442E17"/>
    <w:rsid w:val="00443140"/>
    <w:rsid w:val="004431A2"/>
    <w:rsid w:val="00443F59"/>
    <w:rsid w:val="004448AC"/>
    <w:rsid w:val="00444DE1"/>
    <w:rsid w:val="0044591C"/>
    <w:rsid w:val="00445EC1"/>
    <w:rsid w:val="004461A4"/>
    <w:rsid w:val="004466A6"/>
    <w:rsid w:val="004467B1"/>
    <w:rsid w:val="00446847"/>
    <w:rsid w:val="00446EDE"/>
    <w:rsid w:val="004470C3"/>
    <w:rsid w:val="00447369"/>
    <w:rsid w:val="00447795"/>
    <w:rsid w:val="004500E6"/>
    <w:rsid w:val="00450163"/>
    <w:rsid w:val="004502DA"/>
    <w:rsid w:val="00450418"/>
    <w:rsid w:val="00450608"/>
    <w:rsid w:val="004508FC"/>
    <w:rsid w:val="00450C24"/>
    <w:rsid w:val="00450D27"/>
    <w:rsid w:val="00450D61"/>
    <w:rsid w:val="00450E69"/>
    <w:rsid w:val="0045133E"/>
    <w:rsid w:val="00451520"/>
    <w:rsid w:val="00451884"/>
    <w:rsid w:val="00451F54"/>
    <w:rsid w:val="004524D0"/>
    <w:rsid w:val="00452F40"/>
    <w:rsid w:val="004534FE"/>
    <w:rsid w:val="0045355A"/>
    <w:rsid w:val="00453A3A"/>
    <w:rsid w:val="00453A54"/>
    <w:rsid w:val="00454062"/>
    <w:rsid w:val="00454412"/>
    <w:rsid w:val="004545F7"/>
    <w:rsid w:val="004546CE"/>
    <w:rsid w:val="0045470F"/>
    <w:rsid w:val="00454934"/>
    <w:rsid w:val="00454F8D"/>
    <w:rsid w:val="004551F5"/>
    <w:rsid w:val="00455335"/>
    <w:rsid w:val="00455474"/>
    <w:rsid w:val="004557AC"/>
    <w:rsid w:val="004558FB"/>
    <w:rsid w:val="00455E41"/>
    <w:rsid w:val="00455EF9"/>
    <w:rsid w:val="0045660B"/>
    <w:rsid w:val="00456B2C"/>
    <w:rsid w:val="00457167"/>
    <w:rsid w:val="0045728B"/>
    <w:rsid w:val="00460249"/>
    <w:rsid w:val="004602FF"/>
    <w:rsid w:val="004605AA"/>
    <w:rsid w:val="00460828"/>
    <w:rsid w:val="0046095D"/>
    <w:rsid w:val="00460D47"/>
    <w:rsid w:val="00461635"/>
    <w:rsid w:val="00461829"/>
    <w:rsid w:val="00461883"/>
    <w:rsid w:val="0046233F"/>
    <w:rsid w:val="00462B41"/>
    <w:rsid w:val="0046314C"/>
    <w:rsid w:val="0046369C"/>
    <w:rsid w:val="00464049"/>
    <w:rsid w:val="0046444E"/>
    <w:rsid w:val="004644DD"/>
    <w:rsid w:val="00464997"/>
    <w:rsid w:val="0046513A"/>
    <w:rsid w:val="0046569B"/>
    <w:rsid w:val="00465FA9"/>
    <w:rsid w:val="00466425"/>
    <w:rsid w:val="00466470"/>
    <w:rsid w:val="00466588"/>
    <w:rsid w:val="004665A2"/>
    <w:rsid w:val="0046673D"/>
    <w:rsid w:val="00466B2E"/>
    <w:rsid w:val="00466D54"/>
    <w:rsid w:val="00466F0D"/>
    <w:rsid w:val="00467400"/>
    <w:rsid w:val="00467412"/>
    <w:rsid w:val="00467533"/>
    <w:rsid w:val="00467C76"/>
    <w:rsid w:val="004703A3"/>
    <w:rsid w:val="0047088B"/>
    <w:rsid w:val="004708AC"/>
    <w:rsid w:val="00470C9D"/>
    <w:rsid w:val="00470D81"/>
    <w:rsid w:val="00470E36"/>
    <w:rsid w:val="00470E75"/>
    <w:rsid w:val="00470F01"/>
    <w:rsid w:val="004711F6"/>
    <w:rsid w:val="004712B6"/>
    <w:rsid w:val="004715DD"/>
    <w:rsid w:val="00472916"/>
    <w:rsid w:val="00472BEF"/>
    <w:rsid w:val="0047320F"/>
    <w:rsid w:val="00473DDB"/>
    <w:rsid w:val="0047490C"/>
    <w:rsid w:val="00474BE9"/>
    <w:rsid w:val="00474CCE"/>
    <w:rsid w:val="00474F35"/>
    <w:rsid w:val="00474F93"/>
    <w:rsid w:val="004757C1"/>
    <w:rsid w:val="00475928"/>
    <w:rsid w:val="00475AA5"/>
    <w:rsid w:val="00475BBE"/>
    <w:rsid w:val="00475CC7"/>
    <w:rsid w:val="00475E2A"/>
    <w:rsid w:val="0047640B"/>
    <w:rsid w:val="004772DA"/>
    <w:rsid w:val="0047767C"/>
    <w:rsid w:val="00477B7D"/>
    <w:rsid w:val="00480486"/>
    <w:rsid w:val="004805B8"/>
    <w:rsid w:val="00480B7A"/>
    <w:rsid w:val="00480BB8"/>
    <w:rsid w:val="00480DBD"/>
    <w:rsid w:val="00480E5B"/>
    <w:rsid w:val="00480FCF"/>
    <w:rsid w:val="004810AB"/>
    <w:rsid w:val="004812D8"/>
    <w:rsid w:val="00481330"/>
    <w:rsid w:val="00481466"/>
    <w:rsid w:val="004816E8"/>
    <w:rsid w:val="004816FD"/>
    <w:rsid w:val="0048190B"/>
    <w:rsid w:val="00481D51"/>
    <w:rsid w:val="0048274C"/>
    <w:rsid w:val="00482B59"/>
    <w:rsid w:val="00482D61"/>
    <w:rsid w:val="00482F59"/>
    <w:rsid w:val="004831D3"/>
    <w:rsid w:val="0048339D"/>
    <w:rsid w:val="00483884"/>
    <w:rsid w:val="00483C7C"/>
    <w:rsid w:val="00484278"/>
    <w:rsid w:val="00484A3C"/>
    <w:rsid w:val="00484BE9"/>
    <w:rsid w:val="00484C20"/>
    <w:rsid w:val="00485805"/>
    <w:rsid w:val="004859ED"/>
    <w:rsid w:val="00485D87"/>
    <w:rsid w:val="00485FD1"/>
    <w:rsid w:val="004864FD"/>
    <w:rsid w:val="004871EA"/>
    <w:rsid w:val="0048768C"/>
    <w:rsid w:val="004878BE"/>
    <w:rsid w:val="00490242"/>
    <w:rsid w:val="00490BB1"/>
    <w:rsid w:val="00490C5A"/>
    <w:rsid w:val="0049187A"/>
    <w:rsid w:val="00491905"/>
    <w:rsid w:val="00491C59"/>
    <w:rsid w:val="00491D05"/>
    <w:rsid w:val="00491E65"/>
    <w:rsid w:val="00491EE9"/>
    <w:rsid w:val="004921E1"/>
    <w:rsid w:val="004923DB"/>
    <w:rsid w:val="00492466"/>
    <w:rsid w:val="00492931"/>
    <w:rsid w:val="004932FE"/>
    <w:rsid w:val="00493445"/>
    <w:rsid w:val="004936B7"/>
    <w:rsid w:val="004937F9"/>
    <w:rsid w:val="00493812"/>
    <w:rsid w:val="00493D53"/>
    <w:rsid w:val="00493E11"/>
    <w:rsid w:val="00493F23"/>
    <w:rsid w:val="00493FD5"/>
    <w:rsid w:val="004942EB"/>
    <w:rsid w:val="00494512"/>
    <w:rsid w:val="0049485D"/>
    <w:rsid w:val="004948BE"/>
    <w:rsid w:val="00494A81"/>
    <w:rsid w:val="00494F71"/>
    <w:rsid w:val="0049567F"/>
    <w:rsid w:val="004956FA"/>
    <w:rsid w:val="004958D1"/>
    <w:rsid w:val="00495B11"/>
    <w:rsid w:val="00496189"/>
    <w:rsid w:val="004966A0"/>
    <w:rsid w:val="00496BB3"/>
    <w:rsid w:val="00496DE5"/>
    <w:rsid w:val="00496DF8"/>
    <w:rsid w:val="00496E0A"/>
    <w:rsid w:val="00496EA6"/>
    <w:rsid w:val="00497F86"/>
    <w:rsid w:val="004A02F8"/>
    <w:rsid w:val="004A0835"/>
    <w:rsid w:val="004A0AB3"/>
    <w:rsid w:val="004A1356"/>
    <w:rsid w:val="004A1708"/>
    <w:rsid w:val="004A20E3"/>
    <w:rsid w:val="004A2445"/>
    <w:rsid w:val="004A257A"/>
    <w:rsid w:val="004A2DA9"/>
    <w:rsid w:val="004A2DEA"/>
    <w:rsid w:val="004A3182"/>
    <w:rsid w:val="004A32C6"/>
    <w:rsid w:val="004A3417"/>
    <w:rsid w:val="004A3F4C"/>
    <w:rsid w:val="004A466C"/>
    <w:rsid w:val="004A4796"/>
    <w:rsid w:val="004A5AE5"/>
    <w:rsid w:val="004A5BA8"/>
    <w:rsid w:val="004A5BFA"/>
    <w:rsid w:val="004A5D62"/>
    <w:rsid w:val="004A5DFA"/>
    <w:rsid w:val="004A60AC"/>
    <w:rsid w:val="004A61C0"/>
    <w:rsid w:val="004A6CE5"/>
    <w:rsid w:val="004A6F71"/>
    <w:rsid w:val="004A73E7"/>
    <w:rsid w:val="004A7404"/>
    <w:rsid w:val="004A7771"/>
    <w:rsid w:val="004A78C3"/>
    <w:rsid w:val="004A7D9C"/>
    <w:rsid w:val="004A7EF9"/>
    <w:rsid w:val="004B13CD"/>
    <w:rsid w:val="004B19E8"/>
    <w:rsid w:val="004B19EB"/>
    <w:rsid w:val="004B1A41"/>
    <w:rsid w:val="004B1CA9"/>
    <w:rsid w:val="004B1D4D"/>
    <w:rsid w:val="004B1D62"/>
    <w:rsid w:val="004B20F9"/>
    <w:rsid w:val="004B24C3"/>
    <w:rsid w:val="004B2AC8"/>
    <w:rsid w:val="004B2CCB"/>
    <w:rsid w:val="004B2DE1"/>
    <w:rsid w:val="004B2EBF"/>
    <w:rsid w:val="004B3837"/>
    <w:rsid w:val="004B5156"/>
    <w:rsid w:val="004B5350"/>
    <w:rsid w:val="004B541C"/>
    <w:rsid w:val="004B5991"/>
    <w:rsid w:val="004B5C7F"/>
    <w:rsid w:val="004B60DA"/>
    <w:rsid w:val="004B64ED"/>
    <w:rsid w:val="004B6525"/>
    <w:rsid w:val="004B656A"/>
    <w:rsid w:val="004B6668"/>
    <w:rsid w:val="004B6A74"/>
    <w:rsid w:val="004B6FF3"/>
    <w:rsid w:val="004B7142"/>
    <w:rsid w:val="004B77DD"/>
    <w:rsid w:val="004B792C"/>
    <w:rsid w:val="004B7BF9"/>
    <w:rsid w:val="004B7DE9"/>
    <w:rsid w:val="004B7E9F"/>
    <w:rsid w:val="004C0229"/>
    <w:rsid w:val="004C027C"/>
    <w:rsid w:val="004C03CE"/>
    <w:rsid w:val="004C0533"/>
    <w:rsid w:val="004C067F"/>
    <w:rsid w:val="004C0F51"/>
    <w:rsid w:val="004C12A0"/>
    <w:rsid w:val="004C19B3"/>
    <w:rsid w:val="004C1A18"/>
    <w:rsid w:val="004C26E1"/>
    <w:rsid w:val="004C2766"/>
    <w:rsid w:val="004C2AC4"/>
    <w:rsid w:val="004C346F"/>
    <w:rsid w:val="004C3D0D"/>
    <w:rsid w:val="004C405B"/>
    <w:rsid w:val="004C460D"/>
    <w:rsid w:val="004C4721"/>
    <w:rsid w:val="004C48BA"/>
    <w:rsid w:val="004C50A2"/>
    <w:rsid w:val="004C5788"/>
    <w:rsid w:val="004C5DE0"/>
    <w:rsid w:val="004C62A3"/>
    <w:rsid w:val="004C6B02"/>
    <w:rsid w:val="004C7315"/>
    <w:rsid w:val="004C7339"/>
    <w:rsid w:val="004C771A"/>
    <w:rsid w:val="004C7EE8"/>
    <w:rsid w:val="004C7F95"/>
    <w:rsid w:val="004D0139"/>
    <w:rsid w:val="004D02BD"/>
    <w:rsid w:val="004D0366"/>
    <w:rsid w:val="004D09CB"/>
    <w:rsid w:val="004D0C23"/>
    <w:rsid w:val="004D0F73"/>
    <w:rsid w:val="004D13D7"/>
    <w:rsid w:val="004D1422"/>
    <w:rsid w:val="004D15CF"/>
    <w:rsid w:val="004D17E9"/>
    <w:rsid w:val="004D1BC3"/>
    <w:rsid w:val="004D1C54"/>
    <w:rsid w:val="004D1D67"/>
    <w:rsid w:val="004D2480"/>
    <w:rsid w:val="004D2636"/>
    <w:rsid w:val="004D2655"/>
    <w:rsid w:val="004D276C"/>
    <w:rsid w:val="004D2925"/>
    <w:rsid w:val="004D2BE6"/>
    <w:rsid w:val="004D327B"/>
    <w:rsid w:val="004D3326"/>
    <w:rsid w:val="004D3AB1"/>
    <w:rsid w:val="004D3C87"/>
    <w:rsid w:val="004D4075"/>
    <w:rsid w:val="004D44AA"/>
    <w:rsid w:val="004D44C2"/>
    <w:rsid w:val="004D4563"/>
    <w:rsid w:val="004D4741"/>
    <w:rsid w:val="004D4A70"/>
    <w:rsid w:val="004D4D47"/>
    <w:rsid w:val="004D51FC"/>
    <w:rsid w:val="004D54C8"/>
    <w:rsid w:val="004D5804"/>
    <w:rsid w:val="004D5EF6"/>
    <w:rsid w:val="004D61EB"/>
    <w:rsid w:val="004D68CC"/>
    <w:rsid w:val="004D7250"/>
    <w:rsid w:val="004D7576"/>
    <w:rsid w:val="004D75AA"/>
    <w:rsid w:val="004D7612"/>
    <w:rsid w:val="004D79CE"/>
    <w:rsid w:val="004D7DDA"/>
    <w:rsid w:val="004E04BD"/>
    <w:rsid w:val="004E0670"/>
    <w:rsid w:val="004E069D"/>
    <w:rsid w:val="004E0779"/>
    <w:rsid w:val="004E08E0"/>
    <w:rsid w:val="004E098E"/>
    <w:rsid w:val="004E15C2"/>
    <w:rsid w:val="004E1658"/>
    <w:rsid w:val="004E22EB"/>
    <w:rsid w:val="004E29A8"/>
    <w:rsid w:val="004E3D2C"/>
    <w:rsid w:val="004E4767"/>
    <w:rsid w:val="004E4AE2"/>
    <w:rsid w:val="004E4B3C"/>
    <w:rsid w:val="004E4B40"/>
    <w:rsid w:val="004E776D"/>
    <w:rsid w:val="004E7B12"/>
    <w:rsid w:val="004E7E08"/>
    <w:rsid w:val="004F0263"/>
    <w:rsid w:val="004F0276"/>
    <w:rsid w:val="004F065F"/>
    <w:rsid w:val="004F06FD"/>
    <w:rsid w:val="004F07E8"/>
    <w:rsid w:val="004F142C"/>
    <w:rsid w:val="004F16E0"/>
    <w:rsid w:val="004F1872"/>
    <w:rsid w:val="004F198A"/>
    <w:rsid w:val="004F2006"/>
    <w:rsid w:val="004F23AA"/>
    <w:rsid w:val="004F2942"/>
    <w:rsid w:val="004F310D"/>
    <w:rsid w:val="004F33D4"/>
    <w:rsid w:val="004F3511"/>
    <w:rsid w:val="004F385D"/>
    <w:rsid w:val="004F3D6F"/>
    <w:rsid w:val="004F3E82"/>
    <w:rsid w:val="004F44B1"/>
    <w:rsid w:val="004F4690"/>
    <w:rsid w:val="004F477E"/>
    <w:rsid w:val="004F50EF"/>
    <w:rsid w:val="004F516A"/>
    <w:rsid w:val="004F5323"/>
    <w:rsid w:val="004F604D"/>
    <w:rsid w:val="004F6103"/>
    <w:rsid w:val="004F629B"/>
    <w:rsid w:val="004F631A"/>
    <w:rsid w:val="004F640D"/>
    <w:rsid w:val="004F66D6"/>
    <w:rsid w:val="004F6A11"/>
    <w:rsid w:val="004F6D66"/>
    <w:rsid w:val="004F725D"/>
    <w:rsid w:val="004F734F"/>
    <w:rsid w:val="004F75DE"/>
    <w:rsid w:val="004F7705"/>
    <w:rsid w:val="004F786E"/>
    <w:rsid w:val="004F7E06"/>
    <w:rsid w:val="00500003"/>
    <w:rsid w:val="0050088C"/>
    <w:rsid w:val="00501A0C"/>
    <w:rsid w:val="00501A38"/>
    <w:rsid w:val="00501B29"/>
    <w:rsid w:val="0050252F"/>
    <w:rsid w:val="005025FD"/>
    <w:rsid w:val="00503596"/>
    <w:rsid w:val="00503E8E"/>
    <w:rsid w:val="00504BEF"/>
    <w:rsid w:val="00504D98"/>
    <w:rsid w:val="00504DAC"/>
    <w:rsid w:val="00504EE5"/>
    <w:rsid w:val="00505B77"/>
    <w:rsid w:val="00505CB5"/>
    <w:rsid w:val="00505CE6"/>
    <w:rsid w:val="00505ECA"/>
    <w:rsid w:val="005062FE"/>
    <w:rsid w:val="005065C8"/>
    <w:rsid w:val="00506905"/>
    <w:rsid w:val="005069ED"/>
    <w:rsid w:val="005076C6"/>
    <w:rsid w:val="00507958"/>
    <w:rsid w:val="00507E75"/>
    <w:rsid w:val="005104F2"/>
    <w:rsid w:val="00510552"/>
    <w:rsid w:val="0051056D"/>
    <w:rsid w:val="00510AB4"/>
    <w:rsid w:val="00511F75"/>
    <w:rsid w:val="00512069"/>
    <w:rsid w:val="005122EA"/>
    <w:rsid w:val="0051236F"/>
    <w:rsid w:val="00512462"/>
    <w:rsid w:val="00512720"/>
    <w:rsid w:val="00512D72"/>
    <w:rsid w:val="00512EEC"/>
    <w:rsid w:val="00512F16"/>
    <w:rsid w:val="0051315E"/>
    <w:rsid w:val="0051363D"/>
    <w:rsid w:val="00513BAB"/>
    <w:rsid w:val="00513CDD"/>
    <w:rsid w:val="00513D69"/>
    <w:rsid w:val="005144B2"/>
    <w:rsid w:val="00514608"/>
    <w:rsid w:val="00514D15"/>
    <w:rsid w:val="00514E6F"/>
    <w:rsid w:val="00514F8D"/>
    <w:rsid w:val="005152D7"/>
    <w:rsid w:val="00515348"/>
    <w:rsid w:val="00515362"/>
    <w:rsid w:val="0051550E"/>
    <w:rsid w:val="0051592F"/>
    <w:rsid w:val="00515B95"/>
    <w:rsid w:val="0051616D"/>
    <w:rsid w:val="005164C3"/>
    <w:rsid w:val="005165ED"/>
    <w:rsid w:val="005166D0"/>
    <w:rsid w:val="00516984"/>
    <w:rsid w:val="005171CC"/>
    <w:rsid w:val="005173B2"/>
    <w:rsid w:val="00517E0B"/>
    <w:rsid w:val="00517ECB"/>
    <w:rsid w:val="0052081F"/>
    <w:rsid w:val="005209BD"/>
    <w:rsid w:val="00520A8A"/>
    <w:rsid w:val="0052119F"/>
    <w:rsid w:val="005219E4"/>
    <w:rsid w:val="00521A2D"/>
    <w:rsid w:val="00522054"/>
    <w:rsid w:val="00522464"/>
    <w:rsid w:val="00522551"/>
    <w:rsid w:val="00523E19"/>
    <w:rsid w:val="00523ED2"/>
    <w:rsid w:val="00523FFA"/>
    <w:rsid w:val="0052413F"/>
    <w:rsid w:val="00524280"/>
    <w:rsid w:val="00524A14"/>
    <w:rsid w:val="00524F09"/>
    <w:rsid w:val="00525507"/>
    <w:rsid w:val="005258AD"/>
    <w:rsid w:val="00525F92"/>
    <w:rsid w:val="00526087"/>
    <w:rsid w:val="0052608B"/>
    <w:rsid w:val="0052620A"/>
    <w:rsid w:val="00526234"/>
    <w:rsid w:val="0052628B"/>
    <w:rsid w:val="00526351"/>
    <w:rsid w:val="00526518"/>
    <w:rsid w:val="00526894"/>
    <w:rsid w:val="00526DC4"/>
    <w:rsid w:val="00526EE6"/>
    <w:rsid w:val="00527438"/>
    <w:rsid w:val="00527895"/>
    <w:rsid w:val="00527F80"/>
    <w:rsid w:val="005302B8"/>
    <w:rsid w:val="00530652"/>
    <w:rsid w:val="00530856"/>
    <w:rsid w:val="00530A13"/>
    <w:rsid w:val="00530E15"/>
    <w:rsid w:val="005312C1"/>
    <w:rsid w:val="0053157C"/>
    <w:rsid w:val="0053187D"/>
    <w:rsid w:val="0053221C"/>
    <w:rsid w:val="00532358"/>
    <w:rsid w:val="005325D5"/>
    <w:rsid w:val="00532715"/>
    <w:rsid w:val="005331C9"/>
    <w:rsid w:val="005333B8"/>
    <w:rsid w:val="0053347A"/>
    <w:rsid w:val="005335E6"/>
    <w:rsid w:val="00533A92"/>
    <w:rsid w:val="00533BD0"/>
    <w:rsid w:val="00533CA4"/>
    <w:rsid w:val="00533F6A"/>
    <w:rsid w:val="0053426E"/>
    <w:rsid w:val="00534447"/>
    <w:rsid w:val="00534A7F"/>
    <w:rsid w:val="00534C10"/>
    <w:rsid w:val="00534C57"/>
    <w:rsid w:val="00534FE2"/>
    <w:rsid w:val="00535871"/>
    <w:rsid w:val="0053595E"/>
    <w:rsid w:val="00536080"/>
    <w:rsid w:val="005361B5"/>
    <w:rsid w:val="005361D6"/>
    <w:rsid w:val="00536204"/>
    <w:rsid w:val="0053647D"/>
    <w:rsid w:val="00536639"/>
    <w:rsid w:val="005367CE"/>
    <w:rsid w:val="00536993"/>
    <w:rsid w:val="00536C24"/>
    <w:rsid w:val="0053748F"/>
    <w:rsid w:val="00537688"/>
    <w:rsid w:val="00537F30"/>
    <w:rsid w:val="00537F6A"/>
    <w:rsid w:val="00540344"/>
    <w:rsid w:val="005407AF"/>
    <w:rsid w:val="00541344"/>
    <w:rsid w:val="0054155B"/>
    <w:rsid w:val="005418C6"/>
    <w:rsid w:val="0054195D"/>
    <w:rsid w:val="00541B21"/>
    <w:rsid w:val="00541DC7"/>
    <w:rsid w:val="0054286B"/>
    <w:rsid w:val="00542A12"/>
    <w:rsid w:val="00542B5A"/>
    <w:rsid w:val="00542C0F"/>
    <w:rsid w:val="00542F0D"/>
    <w:rsid w:val="00542F30"/>
    <w:rsid w:val="00543162"/>
    <w:rsid w:val="005432EC"/>
    <w:rsid w:val="0054361A"/>
    <w:rsid w:val="005437F8"/>
    <w:rsid w:val="00543896"/>
    <w:rsid w:val="00543F63"/>
    <w:rsid w:val="00543FF2"/>
    <w:rsid w:val="0054448B"/>
    <w:rsid w:val="00544558"/>
    <w:rsid w:val="00544E2F"/>
    <w:rsid w:val="00544EDE"/>
    <w:rsid w:val="00545381"/>
    <w:rsid w:val="00545469"/>
    <w:rsid w:val="00545E61"/>
    <w:rsid w:val="005463CA"/>
    <w:rsid w:val="0054676D"/>
    <w:rsid w:val="0054677E"/>
    <w:rsid w:val="005469D6"/>
    <w:rsid w:val="00547EB7"/>
    <w:rsid w:val="00550C32"/>
    <w:rsid w:val="005514FF"/>
    <w:rsid w:val="005517C7"/>
    <w:rsid w:val="00551A76"/>
    <w:rsid w:val="00551BAB"/>
    <w:rsid w:val="00551C5E"/>
    <w:rsid w:val="00552040"/>
    <w:rsid w:val="005523E1"/>
    <w:rsid w:val="00552704"/>
    <w:rsid w:val="00552D9B"/>
    <w:rsid w:val="00552E7D"/>
    <w:rsid w:val="00553683"/>
    <w:rsid w:val="00553EAC"/>
    <w:rsid w:val="005541E5"/>
    <w:rsid w:val="00554223"/>
    <w:rsid w:val="005549D1"/>
    <w:rsid w:val="0055502D"/>
    <w:rsid w:val="0055523E"/>
    <w:rsid w:val="005564B3"/>
    <w:rsid w:val="00556530"/>
    <w:rsid w:val="0055669D"/>
    <w:rsid w:val="005566D9"/>
    <w:rsid w:val="00556A3A"/>
    <w:rsid w:val="00556A6A"/>
    <w:rsid w:val="00556BD3"/>
    <w:rsid w:val="00556BEE"/>
    <w:rsid w:val="00556F59"/>
    <w:rsid w:val="005570D5"/>
    <w:rsid w:val="00557152"/>
    <w:rsid w:val="005575A1"/>
    <w:rsid w:val="00557A1B"/>
    <w:rsid w:val="00557CBF"/>
    <w:rsid w:val="0056041E"/>
    <w:rsid w:val="005605D2"/>
    <w:rsid w:val="005607AB"/>
    <w:rsid w:val="005607FD"/>
    <w:rsid w:val="00560855"/>
    <w:rsid w:val="00560A67"/>
    <w:rsid w:val="00560FB1"/>
    <w:rsid w:val="00561095"/>
    <w:rsid w:val="00561297"/>
    <w:rsid w:val="00561DF4"/>
    <w:rsid w:val="00562048"/>
    <w:rsid w:val="00562988"/>
    <w:rsid w:val="00562B9F"/>
    <w:rsid w:val="00562EBC"/>
    <w:rsid w:val="00563319"/>
    <w:rsid w:val="0056348F"/>
    <w:rsid w:val="00563997"/>
    <w:rsid w:val="00563D48"/>
    <w:rsid w:val="005640D1"/>
    <w:rsid w:val="00564288"/>
    <w:rsid w:val="0056485F"/>
    <w:rsid w:val="005649F8"/>
    <w:rsid w:val="00564E71"/>
    <w:rsid w:val="005651FB"/>
    <w:rsid w:val="0056559A"/>
    <w:rsid w:val="005659C2"/>
    <w:rsid w:val="00565B05"/>
    <w:rsid w:val="00565E8E"/>
    <w:rsid w:val="0056616D"/>
    <w:rsid w:val="0056617C"/>
    <w:rsid w:val="0056631B"/>
    <w:rsid w:val="0056633F"/>
    <w:rsid w:val="00566414"/>
    <w:rsid w:val="00566516"/>
    <w:rsid w:val="0056685F"/>
    <w:rsid w:val="00566A62"/>
    <w:rsid w:val="00566A6E"/>
    <w:rsid w:val="00566B1E"/>
    <w:rsid w:val="00566B36"/>
    <w:rsid w:val="00566F71"/>
    <w:rsid w:val="00567155"/>
    <w:rsid w:val="005673CD"/>
    <w:rsid w:val="0056755F"/>
    <w:rsid w:val="00567738"/>
    <w:rsid w:val="00567BDA"/>
    <w:rsid w:val="00567E31"/>
    <w:rsid w:val="00567F17"/>
    <w:rsid w:val="00570133"/>
    <w:rsid w:val="005704B3"/>
    <w:rsid w:val="00570F59"/>
    <w:rsid w:val="005713E5"/>
    <w:rsid w:val="0057170A"/>
    <w:rsid w:val="00571985"/>
    <w:rsid w:val="00572052"/>
    <w:rsid w:val="005724E5"/>
    <w:rsid w:val="00572C0B"/>
    <w:rsid w:val="005737EA"/>
    <w:rsid w:val="00573C06"/>
    <w:rsid w:val="00573C90"/>
    <w:rsid w:val="005746FE"/>
    <w:rsid w:val="005749F3"/>
    <w:rsid w:val="00574B3C"/>
    <w:rsid w:val="005751AE"/>
    <w:rsid w:val="00575339"/>
    <w:rsid w:val="0057545F"/>
    <w:rsid w:val="005755CA"/>
    <w:rsid w:val="005756DF"/>
    <w:rsid w:val="0057581D"/>
    <w:rsid w:val="005762A5"/>
    <w:rsid w:val="005762D7"/>
    <w:rsid w:val="005762F4"/>
    <w:rsid w:val="00576899"/>
    <w:rsid w:val="00576AAF"/>
    <w:rsid w:val="00576C12"/>
    <w:rsid w:val="00576C9A"/>
    <w:rsid w:val="00576DE5"/>
    <w:rsid w:val="0057725B"/>
    <w:rsid w:val="005776A2"/>
    <w:rsid w:val="00577CFE"/>
    <w:rsid w:val="00577D96"/>
    <w:rsid w:val="005804FF"/>
    <w:rsid w:val="00580732"/>
    <w:rsid w:val="00580D7F"/>
    <w:rsid w:val="00580EA4"/>
    <w:rsid w:val="005810DD"/>
    <w:rsid w:val="0058116B"/>
    <w:rsid w:val="005812AF"/>
    <w:rsid w:val="005817FB"/>
    <w:rsid w:val="00581D3B"/>
    <w:rsid w:val="00581FD1"/>
    <w:rsid w:val="00582001"/>
    <w:rsid w:val="00582654"/>
    <w:rsid w:val="00582822"/>
    <w:rsid w:val="0058286C"/>
    <w:rsid w:val="00582F84"/>
    <w:rsid w:val="0058373F"/>
    <w:rsid w:val="00583AB3"/>
    <w:rsid w:val="00583B82"/>
    <w:rsid w:val="00584702"/>
    <w:rsid w:val="00584CE2"/>
    <w:rsid w:val="00584F7A"/>
    <w:rsid w:val="005850BF"/>
    <w:rsid w:val="005850D4"/>
    <w:rsid w:val="00585223"/>
    <w:rsid w:val="00585AE5"/>
    <w:rsid w:val="005864A4"/>
    <w:rsid w:val="00586589"/>
    <w:rsid w:val="00586664"/>
    <w:rsid w:val="00586BAA"/>
    <w:rsid w:val="00586D89"/>
    <w:rsid w:val="00587007"/>
    <w:rsid w:val="005870CD"/>
    <w:rsid w:val="00587205"/>
    <w:rsid w:val="005875B3"/>
    <w:rsid w:val="00590235"/>
    <w:rsid w:val="00590348"/>
    <w:rsid w:val="0059082A"/>
    <w:rsid w:val="00590A03"/>
    <w:rsid w:val="005913AC"/>
    <w:rsid w:val="00592586"/>
    <w:rsid w:val="00592770"/>
    <w:rsid w:val="00592B2A"/>
    <w:rsid w:val="00592F63"/>
    <w:rsid w:val="00593014"/>
    <w:rsid w:val="005935C2"/>
    <w:rsid w:val="00593855"/>
    <w:rsid w:val="00593E6C"/>
    <w:rsid w:val="00593F4E"/>
    <w:rsid w:val="005940EB"/>
    <w:rsid w:val="00594280"/>
    <w:rsid w:val="00594AF2"/>
    <w:rsid w:val="00594B74"/>
    <w:rsid w:val="00596021"/>
    <w:rsid w:val="0059605A"/>
    <w:rsid w:val="0059615A"/>
    <w:rsid w:val="0059629D"/>
    <w:rsid w:val="00596354"/>
    <w:rsid w:val="00596558"/>
    <w:rsid w:val="00596926"/>
    <w:rsid w:val="005969FD"/>
    <w:rsid w:val="00596BC5"/>
    <w:rsid w:val="00596EBC"/>
    <w:rsid w:val="005970C6"/>
    <w:rsid w:val="00597268"/>
    <w:rsid w:val="0059774F"/>
    <w:rsid w:val="005977C8"/>
    <w:rsid w:val="0059791B"/>
    <w:rsid w:val="00597FE8"/>
    <w:rsid w:val="005A0FE9"/>
    <w:rsid w:val="005A179D"/>
    <w:rsid w:val="005A193A"/>
    <w:rsid w:val="005A20DF"/>
    <w:rsid w:val="005A22F1"/>
    <w:rsid w:val="005A24CA"/>
    <w:rsid w:val="005A28E0"/>
    <w:rsid w:val="005A2BA6"/>
    <w:rsid w:val="005A35C9"/>
    <w:rsid w:val="005A3991"/>
    <w:rsid w:val="005A3CB1"/>
    <w:rsid w:val="005A3E0F"/>
    <w:rsid w:val="005A435A"/>
    <w:rsid w:val="005A4644"/>
    <w:rsid w:val="005A548F"/>
    <w:rsid w:val="005A558C"/>
    <w:rsid w:val="005A5598"/>
    <w:rsid w:val="005A56AF"/>
    <w:rsid w:val="005A5B6C"/>
    <w:rsid w:val="005A6A99"/>
    <w:rsid w:val="005A7018"/>
    <w:rsid w:val="005A72D0"/>
    <w:rsid w:val="005A732B"/>
    <w:rsid w:val="005A741D"/>
    <w:rsid w:val="005A7479"/>
    <w:rsid w:val="005A760F"/>
    <w:rsid w:val="005A7B59"/>
    <w:rsid w:val="005A7E36"/>
    <w:rsid w:val="005B076B"/>
    <w:rsid w:val="005B0C40"/>
    <w:rsid w:val="005B0CAB"/>
    <w:rsid w:val="005B1457"/>
    <w:rsid w:val="005B1A23"/>
    <w:rsid w:val="005B1C08"/>
    <w:rsid w:val="005B218D"/>
    <w:rsid w:val="005B2543"/>
    <w:rsid w:val="005B29A2"/>
    <w:rsid w:val="005B2A80"/>
    <w:rsid w:val="005B2F85"/>
    <w:rsid w:val="005B333E"/>
    <w:rsid w:val="005B3483"/>
    <w:rsid w:val="005B439A"/>
    <w:rsid w:val="005B4C76"/>
    <w:rsid w:val="005B4E0D"/>
    <w:rsid w:val="005B5812"/>
    <w:rsid w:val="005B590E"/>
    <w:rsid w:val="005B6926"/>
    <w:rsid w:val="005B6BEE"/>
    <w:rsid w:val="005B6D04"/>
    <w:rsid w:val="005B72EC"/>
    <w:rsid w:val="005B73B1"/>
    <w:rsid w:val="005B7833"/>
    <w:rsid w:val="005B78A3"/>
    <w:rsid w:val="005B79C2"/>
    <w:rsid w:val="005C0224"/>
    <w:rsid w:val="005C040E"/>
    <w:rsid w:val="005C04AD"/>
    <w:rsid w:val="005C06F4"/>
    <w:rsid w:val="005C0A3C"/>
    <w:rsid w:val="005C0A3E"/>
    <w:rsid w:val="005C1238"/>
    <w:rsid w:val="005C1971"/>
    <w:rsid w:val="005C1E94"/>
    <w:rsid w:val="005C252E"/>
    <w:rsid w:val="005C25CD"/>
    <w:rsid w:val="005C2644"/>
    <w:rsid w:val="005C2B19"/>
    <w:rsid w:val="005C34CF"/>
    <w:rsid w:val="005C3657"/>
    <w:rsid w:val="005C3984"/>
    <w:rsid w:val="005C3A4B"/>
    <w:rsid w:val="005C3E33"/>
    <w:rsid w:val="005C43A5"/>
    <w:rsid w:val="005C445D"/>
    <w:rsid w:val="005C4630"/>
    <w:rsid w:val="005C47C2"/>
    <w:rsid w:val="005C4A6B"/>
    <w:rsid w:val="005C510F"/>
    <w:rsid w:val="005C586D"/>
    <w:rsid w:val="005C58CC"/>
    <w:rsid w:val="005C5E5F"/>
    <w:rsid w:val="005C68D1"/>
    <w:rsid w:val="005C6B04"/>
    <w:rsid w:val="005C6E49"/>
    <w:rsid w:val="005C6ECF"/>
    <w:rsid w:val="005C6F45"/>
    <w:rsid w:val="005C746F"/>
    <w:rsid w:val="005C79BC"/>
    <w:rsid w:val="005D0578"/>
    <w:rsid w:val="005D0A40"/>
    <w:rsid w:val="005D0C43"/>
    <w:rsid w:val="005D144D"/>
    <w:rsid w:val="005D1E64"/>
    <w:rsid w:val="005D26D6"/>
    <w:rsid w:val="005D27B2"/>
    <w:rsid w:val="005D2C7B"/>
    <w:rsid w:val="005D33F8"/>
    <w:rsid w:val="005D3628"/>
    <w:rsid w:val="005D36F9"/>
    <w:rsid w:val="005D3876"/>
    <w:rsid w:val="005D3D0D"/>
    <w:rsid w:val="005D3FDD"/>
    <w:rsid w:val="005D40A3"/>
    <w:rsid w:val="005D4116"/>
    <w:rsid w:val="005D4321"/>
    <w:rsid w:val="005D4508"/>
    <w:rsid w:val="005D450D"/>
    <w:rsid w:val="005D480C"/>
    <w:rsid w:val="005D4901"/>
    <w:rsid w:val="005D4976"/>
    <w:rsid w:val="005D4AFD"/>
    <w:rsid w:val="005D4BCF"/>
    <w:rsid w:val="005D52D6"/>
    <w:rsid w:val="005D52E7"/>
    <w:rsid w:val="005D592E"/>
    <w:rsid w:val="005D5E9E"/>
    <w:rsid w:val="005D626F"/>
    <w:rsid w:val="005D6315"/>
    <w:rsid w:val="005D635C"/>
    <w:rsid w:val="005D64BA"/>
    <w:rsid w:val="005D6777"/>
    <w:rsid w:val="005D6A82"/>
    <w:rsid w:val="005D6A88"/>
    <w:rsid w:val="005D6FD2"/>
    <w:rsid w:val="005D7230"/>
    <w:rsid w:val="005D748B"/>
    <w:rsid w:val="005D75EA"/>
    <w:rsid w:val="005D773E"/>
    <w:rsid w:val="005D7868"/>
    <w:rsid w:val="005D7E5F"/>
    <w:rsid w:val="005D7EE5"/>
    <w:rsid w:val="005D7F8B"/>
    <w:rsid w:val="005E05D9"/>
    <w:rsid w:val="005E10AD"/>
    <w:rsid w:val="005E162C"/>
    <w:rsid w:val="005E1804"/>
    <w:rsid w:val="005E18DE"/>
    <w:rsid w:val="005E1A49"/>
    <w:rsid w:val="005E1B13"/>
    <w:rsid w:val="005E1C33"/>
    <w:rsid w:val="005E1CD8"/>
    <w:rsid w:val="005E27D8"/>
    <w:rsid w:val="005E29A3"/>
    <w:rsid w:val="005E2C76"/>
    <w:rsid w:val="005E2F01"/>
    <w:rsid w:val="005E346D"/>
    <w:rsid w:val="005E3572"/>
    <w:rsid w:val="005E35DA"/>
    <w:rsid w:val="005E37B3"/>
    <w:rsid w:val="005E37EC"/>
    <w:rsid w:val="005E4F97"/>
    <w:rsid w:val="005E53BC"/>
    <w:rsid w:val="005E5774"/>
    <w:rsid w:val="005E5A85"/>
    <w:rsid w:val="005E5DC8"/>
    <w:rsid w:val="005E6313"/>
    <w:rsid w:val="005E6783"/>
    <w:rsid w:val="005E7565"/>
    <w:rsid w:val="005F08EC"/>
    <w:rsid w:val="005F09DB"/>
    <w:rsid w:val="005F0F49"/>
    <w:rsid w:val="005F1589"/>
    <w:rsid w:val="005F190A"/>
    <w:rsid w:val="005F1A5A"/>
    <w:rsid w:val="005F1FB5"/>
    <w:rsid w:val="005F1FC5"/>
    <w:rsid w:val="005F2AF3"/>
    <w:rsid w:val="005F2BE9"/>
    <w:rsid w:val="005F2E51"/>
    <w:rsid w:val="005F335A"/>
    <w:rsid w:val="005F3D43"/>
    <w:rsid w:val="005F4D58"/>
    <w:rsid w:val="005F4EFA"/>
    <w:rsid w:val="005F56B2"/>
    <w:rsid w:val="005F57B3"/>
    <w:rsid w:val="005F57C6"/>
    <w:rsid w:val="005F5A69"/>
    <w:rsid w:val="005F5D80"/>
    <w:rsid w:val="005F62EF"/>
    <w:rsid w:val="005F64A4"/>
    <w:rsid w:val="005F6603"/>
    <w:rsid w:val="005F669E"/>
    <w:rsid w:val="005F6853"/>
    <w:rsid w:val="005F6C54"/>
    <w:rsid w:val="005F6D9F"/>
    <w:rsid w:val="005F7378"/>
    <w:rsid w:val="005F7453"/>
    <w:rsid w:val="005F7FFB"/>
    <w:rsid w:val="00600033"/>
    <w:rsid w:val="00600A9D"/>
    <w:rsid w:val="00600B3B"/>
    <w:rsid w:val="00600C44"/>
    <w:rsid w:val="0060111A"/>
    <w:rsid w:val="006013CF"/>
    <w:rsid w:val="00601800"/>
    <w:rsid w:val="006018FD"/>
    <w:rsid w:val="00601CA3"/>
    <w:rsid w:val="00601CEC"/>
    <w:rsid w:val="00601E08"/>
    <w:rsid w:val="00602398"/>
    <w:rsid w:val="006025ED"/>
    <w:rsid w:val="00602657"/>
    <w:rsid w:val="00603711"/>
    <w:rsid w:val="006037F6"/>
    <w:rsid w:val="00603EDD"/>
    <w:rsid w:val="006045F6"/>
    <w:rsid w:val="00604E23"/>
    <w:rsid w:val="0060529B"/>
    <w:rsid w:val="0060531C"/>
    <w:rsid w:val="006053F6"/>
    <w:rsid w:val="0060567D"/>
    <w:rsid w:val="00605AA4"/>
    <w:rsid w:val="00605B03"/>
    <w:rsid w:val="00605B1C"/>
    <w:rsid w:val="00605C4A"/>
    <w:rsid w:val="00605E7A"/>
    <w:rsid w:val="00606155"/>
    <w:rsid w:val="006064C3"/>
    <w:rsid w:val="00606D54"/>
    <w:rsid w:val="00607217"/>
    <w:rsid w:val="00607252"/>
    <w:rsid w:val="00607270"/>
    <w:rsid w:val="006075E3"/>
    <w:rsid w:val="006077F3"/>
    <w:rsid w:val="006079D6"/>
    <w:rsid w:val="00607A0F"/>
    <w:rsid w:val="00607B9F"/>
    <w:rsid w:val="00607CF7"/>
    <w:rsid w:val="00610210"/>
    <w:rsid w:val="006105F9"/>
    <w:rsid w:val="0061089F"/>
    <w:rsid w:val="00610B60"/>
    <w:rsid w:val="00611126"/>
    <w:rsid w:val="006113EC"/>
    <w:rsid w:val="00611B8E"/>
    <w:rsid w:val="00611FD6"/>
    <w:rsid w:val="0061200B"/>
    <w:rsid w:val="006126CD"/>
    <w:rsid w:val="00613395"/>
    <w:rsid w:val="00613758"/>
    <w:rsid w:val="00613B25"/>
    <w:rsid w:val="00613D89"/>
    <w:rsid w:val="00613F22"/>
    <w:rsid w:val="0061425A"/>
    <w:rsid w:val="0061489F"/>
    <w:rsid w:val="006149EB"/>
    <w:rsid w:val="006152E2"/>
    <w:rsid w:val="00615341"/>
    <w:rsid w:val="006158B3"/>
    <w:rsid w:val="00615F30"/>
    <w:rsid w:val="00616F98"/>
    <w:rsid w:val="00617923"/>
    <w:rsid w:val="006179C0"/>
    <w:rsid w:val="00620538"/>
    <w:rsid w:val="0062157C"/>
    <w:rsid w:val="006216B3"/>
    <w:rsid w:val="00622243"/>
    <w:rsid w:val="00622454"/>
    <w:rsid w:val="00622BB5"/>
    <w:rsid w:val="00622EA3"/>
    <w:rsid w:val="00623423"/>
    <w:rsid w:val="00623625"/>
    <w:rsid w:val="00623672"/>
    <w:rsid w:val="00623794"/>
    <w:rsid w:val="00623AB0"/>
    <w:rsid w:val="00623CBA"/>
    <w:rsid w:val="00624092"/>
    <w:rsid w:val="00624109"/>
    <w:rsid w:val="006244DB"/>
    <w:rsid w:val="0062486D"/>
    <w:rsid w:val="00624CB4"/>
    <w:rsid w:val="00625320"/>
    <w:rsid w:val="006254FE"/>
    <w:rsid w:val="00625668"/>
    <w:rsid w:val="006258C1"/>
    <w:rsid w:val="006264D6"/>
    <w:rsid w:val="006266E4"/>
    <w:rsid w:val="006269F0"/>
    <w:rsid w:val="00626A46"/>
    <w:rsid w:val="00627508"/>
    <w:rsid w:val="00627886"/>
    <w:rsid w:val="006300A6"/>
    <w:rsid w:val="006300D9"/>
    <w:rsid w:val="00630556"/>
    <w:rsid w:val="0063064A"/>
    <w:rsid w:val="00630A6F"/>
    <w:rsid w:val="00630A87"/>
    <w:rsid w:val="00630A88"/>
    <w:rsid w:val="00630AE5"/>
    <w:rsid w:val="00630D18"/>
    <w:rsid w:val="0063117E"/>
    <w:rsid w:val="00631203"/>
    <w:rsid w:val="00631621"/>
    <w:rsid w:val="006317B8"/>
    <w:rsid w:val="006317BC"/>
    <w:rsid w:val="006319AC"/>
    <w:rsid w:val="006322A3"/>
    <w:rsid w:val="006327E3"/>
    <w:rsid w:val="006330F5"/>
    <w:rsid w:val="00633235"/>
    <w:rsid w:val="006334BB"/>
    <w:rsid w:val="0063357C"/>
    <w:rsid w:val="006339E1"/>
    <w:rsid w:val="00633E75"/>
    <w:rsid w:val="006349A1"/>
    <w:rsid w:val="00635040"/>
    <w:rsid w:val="00635491"/>
    <w:rsid w:val="006355B4"/>
    <w:rsid w:val="006358B9"/>
    <w:rsid w:val="006359A2"/>
    <w:rsid w:val="00635CDF"/>
    <w:rsid w:val="00635EAA"/>
    <w:rsid w:val="006363CD"/>
    <w:rsid w:val="00636BC5"/>
    <w:rsid w:val="00637445"/>
    <w:rsid w:val="0063797A"/>
    <w:rsid w:val="00637B9B"/>
    <w:rsid w:val="00640222"/>
    <w:rsid w:val="00640416"/>
    <w:rsid w:val="006407F4"/>
    <w:rsid w:val="00640AEC"/>
    <w:rsid w:val="00640CC9"/>
    <w:rsid w:val="00641076"/>
    <w:rsid w:val="00641797"/>
    <w:rsid w:val="0064183B"/>
    <w:rsid w:val="00641E51"/>
    <w:rsid w:val="00642088"/>
    <w:rsid w:val="006423B8"/>
    <w:rsid w:val="006425C5"/>
    <w:rsid w:val="00642856"/>
    <w:rsid w:val="00642A43"/>
    <w:rsid w:val="00642C4A"/>
    <w:rsid w:val="00642FEA"/>
    <w:rsid w:val="00643B79"/>
    <w:rsid w:val="00643FD8"/>
    <w:rsid w:val="00644018"/>
    <w:rsid w:val="00644A47"/>
    <w:rsid w:val="00644F8A"/>
    <w:rsid w:val="00645406"/>
    <w:rsid w:val="0064580C"/>
    <w:rsid w:val="00645979"/>
    <w:rsid w:val="00645DA3"/>
    <w:rsid w:val="0064616D"/>
    <w:rsid w:val="006465F6"/>
    <w:rsid w:val="00646B99"/>
    <w:rsid w:val="00646BF1"/>
    <w:rsid w:val="00646CA3"/>
    <w:rsid w:val="00646CF6"/>
    <w:rsid w:val="0064707C"/>
    <w:rsid w:val="0064729A"/>
    <w:rsid w:val="006476EB"/>
    <w:rsid w:val="00647B17"/>
    <w:rsid w:val="0065057D"/>
    <w:rsid w:val="006505E2"/>
    <w:rsid w:val="006508C9"/>
    <w:rsid w:val="00650E9B"/>
    <w:rsid w:val="006512FD"/>
    <w:rsid w:val="00651489"/>
    <w:rsid w:val="00651786"/>
    <w:rsid w:val="00651854"/>
    <w:rsid w:val="00651CC7"/>
    <w:rsid w:val="00652180"/>
    <w:rsid w:val="00652790"/>
    <w:rsid w:val="00652AEE"/>
    <w:rsid w:val="00652D52"/>
    <w:rsid w:val="00652DF7"/>
    <w:rsid w:val="00653195"/>
    <w:rsid w:val="0065325A"/>
    <w:rsid w:val="006537F0"/>
    <w:rsid w:val="00653AD8"/>
    <w:rsid w:val="00653C88"/>
    <w:rsid w:val="006541D3"/>
    <w:rsid w:val="00654342"/>
    <w:rsid w:val="006547CB"/>
    <w:rsid w:val="006548F4"/>
    <w:rsid w:val="00654D80"/>
    <w:rsid w:val="00654DF8"/>
    <w:rsid w:val="00655007"/>
    <w:rsid w:val="00655636"/>
    <w:rsid w:val="00655705"/>
    <w:rsid w:val="00656076"/>
    <w:rsid w:val="006565F2"/>
    <w:rsid w:val="0065665C"/>
    <w:rsid w:val="00656BF1"/>
    <w:rsid w:val="00656EC8"/>
    <w:rsid w:val="00657373"/>
    <w:rsid w:val="00657661"/>
    <w:rsid w:val="006576A7"/>
    <w:rsid w:val="00657813"/>
    <w:rsid w:val="0065788F"/>
    <w:rsid w:val="006579E7"/>
    <w:rsid w:val="00657FA9"/>
    <w:rsid w:val="00660342"/>
    <w:rsid w:val="006604AF"/>
    <w:rsid w:val="00660E6F"/>
    <w:rsid w:val="006615C6"/>
    <w:rsid w:val="00661FF3"/>
    <w:rsid w:val="0066200A"/>
    <w:rsid w:val="00662485"/>
    <w:rsid w:val="006628D2"/>
    <w:rsid w:val="0066304D"/>
    <w:rsid w:val="00663518"/>
    <w:rsid w:val="006635B1"/>
    <w:rsid w:val="006636AF"/>
    <w:rsid w:val="0066409A"/>
    <w:rsid w:val="00664F8C"/>
    <w:rsid w:val="006650AA"/>
    <w:rsid w:val="006653EB"/>
    <w:rsid w:val="006656D2"/>
    <w:rsid w:val="006657A3"/>
    <w:rsid w:val="006657D1"/>
    <w:rsid w:val="00665C6A"/>
    <w:rsid w:val="00666386"/>
    <w:rsid w:val="0066642F"/>
    <w:rsid w:val="00666452"/>
    <w:rsid w:val="0066661C"/>
    <w:rsid w:val="00666884"/>
    <w:rsid w:val="00666E22"/>
    <w:rsid w:val="00667308"/>
    <w:rsid w:val="006701AC"/>
    <w:rsid w:val="00670373"/>
    <w:rsid w:val="00670BEA"/>
    <w:rsid w:val="00670F63"/>
    <w:rsid w:val="00671117"/>
    <w:rsid w:val="0067161B"/>
    <w:rsid w:val="00671B30"/>
    <w:rsid w:val="00671BDC"/>
    <w:rsid w:val="00671CB3"/>
    <w:rsid w:val="00671E1E"/>
    <w:rsid w:val="00672280"/>
    <w:rsid w:val="006723EA"/>
    <w:rsid w:val="006724A6"/>
    <w:rsid w:val="006725A0"/>
    <w:rsid w:val="00673405"/>
    <w:rsid w:val="00673492"/>
    <w:rsid w:val="006739FF"/>
    <w:rsid w:val="00674316"/>
    <w:rsid w:val="00674346"/>
    <w:rsid w:val="006745B0"/>
    <w:rsid w:val="00674908"/>
    <w:rsid w:val="0067492B"/>
    <w:rsid w:val="00674F11"/>
    <w:rsid w:val="00674FFF"/>
    <w:rsid w:val="0067515D"/>
    <w:rsid w:val="00675468"/>
    <w:rsid w:val="006755CB"/>
    <w:rsid w:val="00675615"/>
    <w:rsid w:val="00675CD2"/>
    <w:rsid w:val="0067603F"/>
    <w:rsid w:val="006767AF"/>
    <w:rsid w:val="006767C7"/>
    <w:rsid w:val="00676BE6"/>
    <w:rsid w:val="00676D11"/>
    <w:rsid w:val="00676FC1"/>
    <w:rsid w:val="0067704F"/>
    <w:rsid w:val="0067721F"/>
    <w:rsid w:val="00677312"/>
    <w:rsid w:val="0067736C"/>
    <w:rsid w:val="0067759C"/>
    <w:rsid w:val="006775F6"/>
    <w:rsid w:val="00677718"/>
    <w:rsid w:val="00677A94"/>
    <w:rsid w:val="00677BC7"/>
    <w:rsid w:val="00677EA1"/>
    <w:rsid w:val="00677ECD"/>
    <w:rsid w:val="00680077"/>
    <w:rsid w:val="006801AD"/>
    <w:rsid w:val="00680595"/>
    <w:rsid w:val="006809D5"/>
    <w:rsid w:val="00680A34"/>
    <w:rsid w:val="00680AEE"/>
    <w:rsid w:val="00680C0D"/>
    <w:rsid w:val="00680E64"/>
    <w:rsid w:val="00681156"/>
    <w:rsid w:val="006812BE"/>
    <w:rsid w:val="00681747"/>
    <w:rsid w:val="00682075"/>
    <w:rsid w:val="006822AF"/>
    <w:rsid w:val="00682402"/>
    <w:rsid w:val="00682755"/>
    <w:rsid w:val="00682814"/>
    <w:rsid w:val="00683325"/>
    <w:rsid w:val="0068336D"/>
    <w:rsid w:val="00683386"/>
    <w:rsid w:val="00683648"/>
    <w:rsid w:val="00683919"/>
    <w:rsid w:val="00683EC9"/>
    <w:rsid w:val="006840CC"/>
    <w:rsid w:val="0068433C"/>
    <w:rsid w:val="00684ED6"/>
    <w:rsid w:val="00685840"/>
    <w:rsid w:val="006862E5"/>
    <w:rsid w:val="00686B9C"/>
    <w:rsid w:val="006879D9"/>
    <w:rsid w:val="00687CA5"/>
    <w:rsid w:val="00687F1B"/>
    <w:rsid w:val="006902C5"/>
    <w:rsid w:val="00690678"/>
    <w:rsid w:val="0069086A"/>
    <w:rsid w:val="00690976"/>
    <w:rsid w:val="00690B2D"/>
    <w:rsid w:val="00690D4B"/>
    <w:rsid w:val="00690E3B"/>
    <w:rsid w:val="00691045"/>
    <w:rsid w:val="006914E2"/>
    <w:rsid w:val="006915EA"/>
    <w:rsid w:val="00692190"/>
    <w:rsid w:val="00692294"/>
    <w:rsid w:val="00692686"/>
    <w:rsid w:val="00692F8A"/>
    <w:rsid w:val="00692FB8"/>
    <w:rsid w:val="006930B5"/>
    <w:rsid w:val="0069337D"/>
    <w:rsid w:val="0069341D"/>
    <w:rsid w:val="006935D5"/>
    <w:rsid w:val="00693D95"/>
    <w:rsid w:val="00693E60"/>
    <w:rsid w:val="00693FF4"/>
    <w:rsid w:val="00694B10"/>
    <w:rsid w:val="00694C03"/>
    <w:rsid w:val="006956D7"/>
    <w:rsid w:val="0069584E"/>
    <w:rsid w:val="00695A35"/>
    <w:rsid w:val="0069620B"/>
    <w:rsid w:val="00696903"/>
    <w:rsid w:val="00696AD2"/>
    <w:rsid w:val="00696E20"/>
    <w:rsid w:val="00696FFE"/>
    <w:rsid w:val="006970DA"/>
    <w:rsid w:val="00697506"/>
    <w:rsid w:val="006A085B"/>
    <w:rsid w:val="006A14D8"/>
    <w:rsid w:val="006A1801"/>
    <w:rsid w:val="006A230A"/>
    <w:rsid w:val="006A2CB7"/>
    <w:rsid w:val="006A3384"/>
    <w:rsid w:val="006A341F"/>
    <w:rsid w:val="006A3426"/>
    <w:rsid w:val="006A402D"/>
    <w:rsid w:val="006A42B2"/>
    <w:rsid w:val="006A4321"/>
    <w:rsid w:val="006A4378"/>
    <w:rsid w:val="006A4856"/>
    <w:rsid w:val="006A4D4C"/>
    <w:rsid w:val="006A5021"/>
    <w:rsid w:val="006A5118"/>
    <w:rsid w:val="006A55BC"/>
    <w:rsid w:val="006A6741"/>
    <w:rsid w:val="006A71BA"/>
    <w:rsid w:val="006A73BC"/>
    <w:rsid w:val="006A74C9"/>
    <w:rsid w:val="006A7856"/>
    <w:rsid w:val="006A7907"/>
    <w:rsid w:val="006A7F4E"/>
    <w:rsid w:val="006A7F84"/>
    <w:rsid w:val="006B0B35"/>
    <w:rsid w:val="006B0BA0"/>
    <w:rsid w:val="006B108C"/>
    <w:rsid w:val="006B113F"/>
    <w:rsid w:val="006B12F7"/>
    <w:rsid w:val="006B1985"/>
    <w:rsid w:val="006B1AB2"/>
    <w:rsid w:val="006B1C1A"/>
    <w:rsid w:val="006B2558"/>
    <w:rsid w:val="006B2922"/>
    <w:rsid w:val="006B2A5A"/>
    <w:rsid w:val="006B2EE1"/>
    <w:rsid w:val="006B3091"/>
    <w:rsid w:val="006B3199"/>
    <w:rsid w:val="006B3251"/>
    <w:rsid w:val="006B3277"/>
    <w:rsid w:val="006B347B"/>
    <w:rsid w:val="006B34AA"/>
    <w:rsid w:val="006B39F1"/>
    <w:rsid w:val="006B4540"/>
    <w:rsid w:val="006B46BF"/>
    <w:rsid w:val="006B4893"/>
    <w:rsid w:val="006B4AF9"/>
    <w:rsid w:val="006B52C0"/>
    <w:rsid w:val="006B5787"/>
    <w:rsid w:val="006B59F3"/>
    <w:rsid w:val="006B5C8B"/>
    <w:rsid w:val="006B6653"/>
    <w:rsid w:val="006B677E"/>
    <w:rsid w:val="006B68C2"/>
    <w:rsid w:val="006B6E11"/>
    <w:rsid w:val="006B6F96"/>
    <w:rsid w:val="006B75DF"/>
    <w:rsid w:val="006B7921"/>
    <w:rsid w:val="006B7B27"/>
    <w:rsid w:val="006B7B85"/>
    <w:rsid w:val="006B7BB0"/>
    <w:rsid w:val="006B7E77"/>
    <w:rsid w:val="006B7EF6"/>
    <w:rsid w:val="006B7F23"/>
    <w:rsid w:val="006C0AC9"/>
    <w:rsid w:val="006C0C86"/>
    <w:rsid w:val="006C0F26"/>
    <w:rsid w:val="006C189D"/>
    <w:rsid w:val="006C1905"/>
    <w:rsid w:val="006C1CE0"/>
    <w:rsid w:val="006C1E19"/>
    <w:rsid w:val="006C27F5"/>
    <w:rsid w:val="006C2A11"/>
    <w:rsid w:val="006C2BAE"/>
    <w:rsid w:val="006C3008"/>
    <w:rsid w:val="006C30BF"/>
    <w:rsid w:val="006C3866"/>
    <w:rsid w:val="006C3DF6"/>
    <w:rsid w:val="006C3F04"/>
    <w:rsid w:val="006C4032"/>
    <w:rsid w:val="006C40E1"/>
    <w:rsid w:val="006C43FD"/>
    <w:rsid w:val="006C4499"/>
    <w:rsid w:val="006C48CA"/>
    <w:rsid w:val="006C4A66"/>
    <w:rsid w:val="006C4A84"/>
    <w:rsid w:val="006C5168"/>
    <w:rsid w:val="006C5964"/>
    <w:rsid w:val="006C59BC"/>
    <w:rsid w:val="006C5FD1"/>
    <w:rsid w:val="006C63E4"/>
    <w:rsid w:val="006C64F4"/>
    <w:rsid w:val="006C6555"/>
    <w:rsid w:val="006C6896"/>
    <w:rsid w:val="006C7494"/>
    <w:rsid w:val="006C7735"/>
    <w:rsid w:val="006C77CB"/>
    <w:rsid w:val="006C7F54"/>
    <w:rsid w:val="006D0394"/>
    <w:rsid w:val="006D0C3E"/>
    <w:rsid w:val="006D0D5A"/>
    <w:rsid w:val="006D0E4E"/>
    <w:rsid w:val="006D0ED6"/>
    <w:rsid w:val="006D12D9"/>
    <w:rsid w:val="006D14D0"/>
    <w:rsid w:val="006D1650"/>
    <w:rsid w:val="006D18CE"/>
    <w:rsid w:val="006D1EB2"/>
    <w:rsid w:val="006D2267"/>
    <w:rsid w:val="006D2411"/>
    <w:rsid w:val="006D2CC9"/>
    <w:rsid w:val="006D2F08"/>
    <w:rsid w:val="006D31B6"/>
    <w:rsid w:val="006D36EB"/>
    <w:rsid w:val="006D3870"/>
    <w:rsid w:val="006D39E9"/>
    <w:rsid w:val="006D3DD9"/>
    <w:rsid w:val="006D422F"/>
    <w:rsid w:val="006D431D"/>
    <w:rsid w:val="006D54E5"/>
    <w:rsid w:val="006D5684"/>
    <w:rsid w:val="006D57C6"/>
    <w:rsid w:val="006D593A"/>
    <w:rsid w:val="006D5D5E"/>
    <w:rsid w:val="006D5D9E"/>
    <w:rsid w:val="006D6A47"/>
    <w:rsid w:val="006D6B99"/>
    <w:rsid w:val="006D710D"/>
    <w:rsid w:val="006D78C5"/>
    <w:rsid w:val="006D7DA9"/>
    <w:rsid w:val="006E1424"/>
    <w:rsid w:val="006E1576"/>
    <w:rsid w:val="006E1861"/>
    <w:rsid w:val="006E1A5B"/>
    <w:rsid w:val="006E1B36"/>
    <w:rsid w:val="006E1B99"/>
    <w:rsid w:val="006E23D9"/>
    <w:rsid w:val="006E2710"/>
    <w:rsid w:val="006E2975"/>
    <w:rsid w:val="006E2C14"/>
    <w:rsid w:val="006E2F21"/>
    <w:rsid w:val="006E3816"/>
    <w:rsid w:val="006E3902"/>
    <w:rsid w:val="006E413E"/>
    <w:rsid w:val="006E4409"/>
    <w:rsid w:val="006E44C7"/>
    <w:rsid w:val="006E4E80"/>
    <w:rsid w:val="006E5087"/>
    <w:rsid w:val="006E508C"/>
    <w:rsid w:val="006E5238"/>
    <w:rsid w:val="006E5749"/>
    <w:rsid w:val="006E5981"/>
    <w:rsid w:val="006E5BB3"/>
    <w:rsid w:val="006E625B"/>
    <w:rsid w:val="006E69BC"/>
    <w:rsid w:val="006E6C4D"/>
    <w:rsid w:val="006E7415"/>
    <w:rsid w:val="006E752F"/>
    <w:rsid w:val="006E7D81"/>
    <w:rsid w:val="006E7FC9"/>
    <w:rsid w:val="006F03D0"/>
    <w:rsid w:val="006F08A1"/>
    <w:rsid w:val="006F08C3"/>
    <w:rsid w:val="006F0C4D"/>
    <w:rsid w:val="006F0D56"/>
    <w:rsid w:val="006F10BD"/>
    <w:rsid w:val="006F10FC"/>
    <w:rsid w:val="006F1213"/>
    <w:rsid w:val="006F1407"/>
    <w:rsid w:val="006F1E94"/>
    <w:rsid w:val="006F22B6"/>
    <w:rsid w:val="006F2452"/>
    <w:rsid w:val="006F255E"/>
    <w:rsid w:val="006F28CE"/>
    <w:rsid w:val="006F2AA2"/>
    <w:rsid w:val="006F2B69"/>
    <w:rsid w:val="006F32E9"/>
    <w:rsid w:val="006F3847"/>
    <w:rsid w:val="006F3B5E"/>
    <w:rsid w:val="006F3BFD"/>
    <w:rsid w:val="006F3E25"/>
    <w:rsid w:val="006F3F84"/>
    <w:rsid w:val="006F3FF2"/>
    <w:rsid w:val="006F4774"/>
    <w:rsid w:val="006F4E5B"/>
    <w:rsid w:val="006F4F35"/>
    <w:rsid w:val="006F53BF"/>
    <w:rsid w:val="006F5990"/>
    <w:rsid w:val="006F5DED"/>
    <w:rsid w:val="006F5EE3"/>
    <w:rsid w:val="006F6F19"/>
    <w:rsid w:val="006F7073"/>
    <w:rsid w:val="006F7C00"/>
    <w:rsid w:val="00701592"/>
    <w:rsid w:val="007018B1"/>
    <w:rsid w:val="0070213B"/>
    <w:rsid w:val="007024A9"/>
    <w:rsid w:val="00702852"/>
    <w:rsid w:val="00702FD1"/>
    <w:rsid w:val="00703E31"/>
    <w:rsid w:val="00704D20"/>
    <w:rsid w:val="00704E6C"/>
    <w:rsid w:val="007052E8"/>
    <w:rsid w:val="007054DB"/>
    <w:rsid w:val="00705A9A"/>
    <w:rsid w:val="00705ECE"/>
    <w:rsid w:val="007062E0"/>
    <w:rsid w:val="00706634"/>
    <w:rsid w:val="007066AC"/>
    <w:rsid w:val="00706C52"/>
    <w:rsid w:val="007075A8"/>
    <w:rsid w:val="0070766B"/>
    <w:rsid w:val="00707E85"/>
    <w:rsid w:val="00707E87"/>
    <w:rsid w:val="00710349"/>
    <w:rsid w:val="00710754"/>
    <w:rsid w:val="00711102"/>
    <w:rsid w:val="00711159"/>
    <w:rsid w:val="007112D0"/>
    <w:rsid w:val="0071147B"/>
    <w:rsid w:val="00712952"/>
    <w:rsid w:val="00713078"/>
    <w:rsid w:val="00713657"/>
    <w:rsid w:val="0071414F"/>
    <w:rsid w:val="007149EA"/>
    <w:rsid w:val="00714CCC"/>
    <w:rsid w:val="00714E5E"/>
    <w:rsid w:val="0071506D"/>
    <w:rsid w:val="007152DF"/>
    <w:rsid w:val="007158B1"/>
    <w:rsid w:val="00716703"/>
    <w:rsid w:val="00716AC2"/>
    <w:rsid w:val="00716D4E"/>
    <w:rsid w:val="00716D5A"/>
    <w:rsid w:val="00716FFD"/>
    <w:rsid w:val="007171D8"/>
    <w:rsid w:val="00717A45"/>
    <w:rsid w:val="00717CA7"/>
    <w:rsid w:val="0072056C"/>
    <w:rsid w:val="007210CF"/>
    <w:rsid w:val="007215EE"/>
    <w:rsid w:val="0072340B"/>
    <w:rsid w:val="00723517"/>
    <w:rsid w:val="00723768"/>
    <w:rsid w:val="007237F5"/>
    <w:rsid w:val="00723C52"/>
    <w:rsid w:val="00723E1A"/>
    <w:rsid w:val="00724179"/>
    <w:rsid w:val="00724865"/>
    <w:rsid w:val="00725053"/>
    <w:rsid w:val="00725247"/>
    <w:rsid w:val="00725281"/>
    <w:rsid w:val="007255A9"/>
    <w:rsid w:val="00725AB2"/>
    <w:rsid w:val="00725D05"/>
    <w:rsid w:val="0072609C"/>
    <w:rsid w:val="00726139"/>
    <w:rsid w:val="00726612"/>
    <w:rsid w:val="00726B81"/>
    <w:rsid w:val="00727EBC"/>
    <w:rsid w:val="00730487"/>
    <w:rsid w:val="00730BD0"/>
    <w:rsid w:val="00730D92"/>
    <w:rsid w:val="00730E73"/>
    <w:rsid w:val="00730ED7"/>
    <w:rsid w:val="00730F54"/>
    <w:rsid w:val="007311AC"/>
    <w:rsid w:val="007314AF"/>
    <w:rsid w:val="007316DD"/>
    <w:rsid w:val="00731892"/>
    <w:rsid w:val="0073229D"/>
    <w:rsid w:val="007325D0"/>
    <w:rsid w:val="007326B6"/>
    <w:rsid w:val="007327D6"/>
    <w:rsid w:val="00732D67"/>
    <w:rsid w:val="00732F3B"/>
    <w:rsid w:val="00733303"/>
    <w:rsid w:val="00733622"/>
    <w:rsid w:val="007336E5"/>
    <w:rsid w:val="0073375E"/>
    <w:rsid w:val="00733975"/>
    <w:rsid w:val="00733AD3"/>
    <w:rsid w:val="007343EE"/>
    <w:rsid w:val="007345C5"/>
    <w:rsid w:val="0073474A"/>
    <w:rsid w:val="00734A7C"/>
    <w:rsid w:val="00734B28"/>
    <w:rsid w:val="00734D40"/>
    <w:rsid w:val="007352AB"/>
    <w:rsid w:val="00736539"/>
    <w:rsid w:val="00736A3A"/>
    <w:rsid w:val="00737193"/>
    <w:rsid w:val="007374B9"/>
    <w:rsid w:val="007377DC"/>
    <w:rsid w:val="007379EB"/>
    <w:rsid w:val="0074045F"/>
    <w:rsid w:val="00740EC1"/>
    <w:rsid w:val="007415F3"/>
    <w:rsid w:val="0074170A"/>
    <w:rsid w:val="007418FF"/>
    <w:rsid w:val="00741B73"/>
    <w:rsid w:val="00741E2C"/>
    <w:rsid w:val="007425BA"/>
    <w:rsid w:val="0074365C"/>
    <w:rsid w:val="00743882"/>
    <w:rsid w:val="007438A1"/>
    <w:rsid w:val="00743E8E"/>
    <w:rsid w:val="00744659"/>
    <w:rsid w:val="007448AD"/>
    <w:rsid w:val="00744991"/>
    <w:rsid w:val="00744CBB"/>
    <w:rsid w:val="00744EED"/>
    <w:rsid w:val="00745368"/>
    <w:rsid w:val="00745D99"/>
    <w:rsid w:val="00745FAF"/>
    <w:rsid w:val="007461A4"/>
    <w:rsid w:val="0074734C"/>
    <w:rsid w:val="007477CF"/>
    <w:rsid w:val="0074780E"/>
    <w:rsid w:val="00747ED9"/>
    <w:rsid w:val="00750212"/>
    <w:rsid w:val="0075062E"/>
    <w:rsid w:val="007511C6"/>
    <w:rsid w:val="007513E1"/>
    <w:rsid w:val="007515AC"/>
    <w:rsid w:val="00751843"/>
    <w:rsid w:val="007518AC"/>
    <w:rsid w:val="007523FD"/>
    <w:rsid w:val="00752B79"/>
    <w:rsid w:val="00753475"/>
    <w:rsid w:val="0075359E"/>
    <w:rsid w:val="007538A9"/>
    <w:rsid w:val="007538F1"/>
    <w:rsid w:val="00753B5B"/>
    <w:rsid w:val="00753C85"/>
    <w:rsid w:val="00753F07"/>
    <w:rsid w:val="0075453D"/>
    <w:rsid w:val="00754680"/>
    <w:rsid w:val="00754A99"/>
    <w:rsid w:val="00754E17"/>
    <w:rsid w:val="00754FDD"/>
    <w:rsid w:val="00755064"/>
    <w:rsid w:val="007550A6"/>
    <w:rsid w:val="00755205"/>
    <w:rsid w:val="00755845"/>
    <w:rsid w:val="00755C88"/>
    <w:rsid w:val="00755E22"/>
    <w:rsid w:val="00756136"/>
    <w:rsid w:val="00756ACA"/>
    <w:rsid w:val="007576BF"/>
    <w:rsid w:val="00757B64"/>
    <w:rsid w:val="00757BAA"/>
    <w:rsid w:val="00757FEE"/>
    <w:rsid w:val="007601A1"/>
    <w:rsid w:val="007601E0"/>
    <w:rsid w:val="0076045B"/>
    <w:rsid w:val="007605FB"/>
    <w:rsid w:val="007607A5"/>
    <w:rsid w:val="00760C84"/>
    <w:rsid w:val="00760CD0"/>
    <w:rsid w:val="00760F46"/>
    <w:rsid w:val="0076153F"/>
    <w:rsid w:val="00761CB1"/>
    <w:rsid w:val="00762FFB"/>
    <w:rsid w:val="00763224"/>
    <w:rsid w:val="00764301"/>
    <w:rsid w:val="00764469"/>
    <w:rsid w:val="007647CA"/>
    <w:rsid w:val="00764A43"/>
    <w:rsid w:val="00765182"/>
    <w:rsid w:val="0076538C"/>
    <w:rsid w:val="00765528"/>
    <w:rsid w:val="0076556C"/>
    <w:rsid w:val="00765BA3"/>
    <w:rsid w:val="00765C5C"/>
    <w:rsid w:val="0076652D"/>
    <w:rsid w:val="00766569"/>
    <w:rsid w:val="00766658"/>
    <w:rsid w:val="007666BF"/>
    <w:rsid w:val="007668A5"/>
    <w:rsid w:val="00766AED"/>
    <w:rsid w:val="007672C8"/>
    <w:rsid w:val="00767633"/>
    <w:rsid w:val="00767890"/>
    <w:rsid w:val="00767A5A"/>
    <w:rsid w:val="00767F70"/>
    <w:rsid w:val="0077015E"/>
    <w:rsid w:val="0077025D"/>
    <w:rsid w:val="00770834"/>
    <w:rsid w:val="00770BF1"/>
    <w:rsid w:val="00771B86"/>
    <w:rsid w:val="00772305"/>
    <w:rsid w:val="00772A20"/>
    <w:rsid w:val="00772AFF"/>
    <w:rsid w:val="007731D4"/>
    <w:rsid w:val="007731F1"/>
    <w:rsid w:val="007733BB"/>
    <w:rsid w:val="007734FE"/>
    <w:rsid w:val="00773DA4"/>
    <w:rsid w:val="0077411C"/>
    <w:rsid w:val="007745BF"/>
    <w:rsid w:val="00774650"/>
    <w:rsid w:val="00774696"/>
    <w:rsid w:val="00774906"/>
    <w:rsid w:val="00774E25"/>
    <w:rsid w:val="007752B6"/>
    <w:rsid w:val="00775959"/>
    <w:rsid w:val="00775A48"/>
    <w:rsid w:val="00775C7C"/>
    <w:rsid w:val="00775F22"/>
    <w:rsid w:val="00775FCC"/>
    <w:rsid w:val="00776010"/>
    <w:rsid w:val="00776292"/>
    <w:rsid w:val="007764C5"/>
    <w:rsid w:val="00776519"/>
    <w:rsid w:val="007768D5"/>
    <w:rsid w:val="00776C43"/>
    <w:rsid w:val="00777404"/>
    <w:rsid w:val="00777442"/>
    <w:rsid w:val="00777A09"/>
    <w:rsid w:val="00777A18"/>
    <w:rsid w:val="00777A24"/>
    <w:rsid w:val="00777BC4"/>
    <w:rsid w:val="007800F0"/>
    <w:rsid w:val="00780531"/>
    <w:rsid w:val="00780614"/>
    <w:rsid w:val="0078073E"/>
    <w:rsid w:val="007807CE"/>
    <w:rsid w:val="007811E0"/>
    <w:rsid w:val="00781A08"/>
    <w:rsid w:val="00781C40"/>
    <w:rsid w:val="00781CD1"/>
    <w:rsid w:val="00782334"/>
    <w:rsid w:val="0078331C"/>
    <w:rsid w:val="007835EE"/>
    <w:rsid w:val="00783625"/>
    <w:rsid w:val="00783B9C"/>
    <w:rsid w:val="00784169"/>
    <w:rsid w:val="00784198"/>
    <w:rsid w:val="00784292"/>
    <w:rsid w:val="0078489C"/>
    <w:rsid w:val="00785509"/>
    <w:rsid w:val="00786493"/>
    <w:rsid w:val="00786787"/>
    <w:rsid w:val="00786D2F"/>
    <w:rsid w:val="0078756D"/>
    <w:rsid w:val="007877E8"/>
    <w:rsid w:val="00787BB3"/>
    <w:rsid w:val="00787C00"/>
    <w:rsid w:val="00787DE5"/>
    <w:rsid w:val="00787E84"/>
    <w:rsid w:val="007905F4"/>
    <w:rsid w:val="007906EA"/>
    <w:rsid w:val="007906FD"/>
    <w:rsid w:val="007909C5"/>
    <w:rsid w:val="00790BCE"/>
    <w:rsid w:val="00790E9F"/>
    <w:rsid w:val="00790F12"/>
    <w:rsid w:val="00790F6E"/>
    <w:rsid w:val="00791309"/>
    <w:rsid w:val="00791FD6"/>
    <w:rsid w:val="00792121"/>
    <w:rsid w:val="007921F5"/>
    <w:rsid w:val="007923F5"/>
    <w:rsid w:val="007924E2"/>
    <w:rsid w:val="00792782"/>
    <w:rsid w:val="00792B5A"/>
    <w:rsid w:val="00792EDE"/>
    <w:rsid w:val="007930C4"/>
    <w:rsid w:val="007932DB"/>
    <w:rsid w:val="0079370B"/>
    <w:rsid w:val="00793714"/>
    <w:rsid w:val="00793847"/>
    <w:rsid w:val="00793C7E"/>
    <w:rsid w:val="007941E4"/>
    <w:rsid w:val="007942BB"/>
    <w:rsid w:val="00794F58"/>
    <w:rsid w:val="00795986"/>
    <w:rsid w:val="007959D9"/>
    <w:rsid w:val="00795A8E"/>
    <w:rsid w:val="007964F1"/>
    <w:rsid w:val="007966D5"/>
    <w:rsid w:val="007976D6"/>
    <w:rsid w:val="00797A1F"/>
    <w:rsid w:val="00797AA3"/>
    <w:rsid w:val="007A054E"/>
    <w:rsid w:val="007A067E"/>
    <w:rsid w:val="007A0F1E"/>
    <w:rsid w:val="007A1C6B"/>
    <w:rsid w:val="007A1EB9"/>
    <w:rsid w:val="007A1F5A"/>
    <w:rsid w:val="007A1FA5"/>
    <w:rsid w:val="007A227E"/>
    <w:rsid w:val="007A27B9"/>
    <w:rsid w:val="007A2B46"/>
    <w:rsid w:val="007A2FCE"/>
    <w:rsid w:val="007A30D3"/>
    <w:rsid w:val="007A399B"/>
    <w:rsid w:val="007A3F67"/>
    <w:rsid w:val="007A45CA"/>
    <w:rsid w:val="007A46E8"/>
    <w:rsid w:val="007A485B"/>
    <w:rsid w:val="007A494C"/>
    <w:rsid w:val="007A4BB4"/>
    <w:rsid w:val="007A4E29"/>
    <w:rsid w:val="007A5346"/>
    <w:rsid w:val="007A5493"/>
    <w:rsid w:val="007A59A1"/>
    <w:rsid w:val="007A5A0D"/>
    <w:rsid w:val="007A5B39"/>
    <w:rsid w:val="007A5CB3"/>
    <w:rsid w:val="007A5EAE"/>
    <w:rsid w:val="007A6089"/>
    <w:rsid w:val="007A666A"/>
    <w:rsid w:val="007A67FB"/>
    <w:rsid w:val="007A6A7A"/>
    <w:rsid w:val="007A6DF2"/>
    <w:rsid w:val="007A7488"/>
    <w:rsid w:val="007A776C"/>
    <w:rsid w:val="007A7794"/>
    <w:rsid w:val="007B04E1"/>
    <w:rsid w:val="007B0A28"/>
    <w:rsid w:val="007B0C2A"/>
    <w:rsid w:val="007B0F68"/>
    <w:rsid w:val="007B144D"/>
    <w:rsid w:val="007B19E7"/>
    <w:rsid w:val="007B1D77"/>
    <w:rsid w:val="007B1F6E"/>
    <w:rsid w:val="007B2237"/>
    <w:rsid w:val="007B2405"/>
    <w:rsid w:val="007B28AC"/>
    <w:rsid w:val="007B2B3D"/>
    <w:rsid w:val="007B3EFD"/>
    <w:rsid w:val="007B400B"/>
    <w:rsid w:val="007B4139"/>
    <w:rsid w:val="007B5871"/>
    <w:rsid w:val="007B5A5C"/>
    <w:rsid w:val="007B5BD3"/>
    <w:rsid w:val="007B5FFB"/>
    <w:rsid w:val="007B6019"/>
    <w:rsid w:val="007B6270"/>
    <w:rsid w:val="007B6C19"/>
    <w:rsid w:val="007B7773"/>
    <w:rsid w:val="007C10AF"/>
    <w:rsid w:val="007C1428"/>
    <w:rsid w:val="007C155A"/>
    <w:rsid w:val="007C15FA"/>
    <w:rsid w:val="007C1EB4"/>
    <w:rsid w:val="007C1FAA"/>
    <w:rsid w:val="007C234E"/>
    <w:rsid w:val="007C2981"/>
    <w:rsid w:val="007C2D2F"/>
    <w:rsid w:val="007C3145"/>
    <w:rsid w:val="007C3492"/>
    <w:rsid w:val="007C3721"/>
    <w:rsid w:val="007C3866"/>
    <w:rsid w:val="007C38CB"/>
    <w:rsid w:val="007C3A2B"/>
    <w:rsid w:val="007C3DC8"/>
    <w:rsid w:val="007C3E02"/>
    <w:rsid w:val="007C43A0"/>
    <w:rsid w:val="007C4609"/>
    <w:rsid w:val="007C4963"/>
    <w:rsid w:val="007C4E08"/>
    <w:rsid w:val="007C5140"/>
    <w:rsid w:val="007C5215"/>
    <w:rsid w:val="007C52A9"/>
    <w:rsid w:val="007C5442"/>
    <w:rsid w:val="007C54D0"/>
    <w:rsid w:val="007C5872"/>
    <w:rsid w:val="007C5BF6"/>
    <w:rsid w:val="007C5CD0"/>
    <w:rsid w:val="007C649C"/>
    <w:rsid w:val="007C6877"/>
    <w:rsid w:val="007C68E9"/>
    <w:rsid w:val="007C6901"/>
    <w:rsid w:val="007C7341"/>
    <w:rsid w:val="007C7C56"/>
    <w:rsid w:val="007D0028"/>
    <w:rsid w:val="007D0449"/>
    <w:rsid w:val="007D08CF"/>
    <w:rsid w:val="007D0E46"/>
    <w:rsid w:val="007D0E4D"/>
    <w:rsid w:val="007D1299"/>
    <w:rsid w:val="007D138B"/>
    <w:rsid w:val="007D1779"/>
    <w:rsid w:val="007D1FCC"/>
    <w:rsid w:val="007D2D5F"/>
    <w:rsid w:val="007D3141"/>
    <w:rsid w:val="007D3606"/>
    <w:rsid w:val="007D3C1B"/>
    <w:rsid w:val="007D400A"/>
    <w:rsid w:val="007D4553"/>
    <w:rsid w:val="007D4D6E"/>
    <w:rsid w:val="007D5030"/>
    <w:rsid w:val="007D5451"/>
    <w:rsid w:val="007D566D"/>
    <w:rsid w:val="007D56C5"/>
    <w:rsid w:val="007D5B9E"/>
    <w:rsid w:val="007D5C34"/>
    <w:rsid w:val="007D7112"/>
    <w:rsid w:val="007D712B"/>
    <w:rsid w:val="007D7197"/>
    <w:rsid w:val="007D7279"/>
    <w:rsid w:val="007D7794"/>
    <w:rsid w:val="007D78CD"/>
    <w:rsid w:val="007D7C88"/>
    <w:rsid w:val="007D7CC8"/>
    <w:rsid w:val="007D7D2F"/>
    <w:rsid w:val="007E0B01"/>
    <w:rsid w:val="007E1112"/>
    <w:rsid w:val="007E1F41"/>
    <w:rsid w:val="007E23BA"/>
    <w:rsid w:val="007E241E"/>
    <w:rsid w:val="007E288A"/>
    <w:rsid w:val="007E2919"/>
    <w:rsid w:val="007E2AE0"/>
    <w:rsid w:val="007E2B59"/>
    <w:rsid w:val="007E2C6C"/>
    <w:rsid w:val="007E2EE7"/>
    <w:rsid w:val="007E2F15"/>
    <w:rsid w:val="007E2F2C"/>
    <w:rsid w:val="007E366E"/>
    <w:rsid w:val="007E396F"/>
    <w:rsid w:val="007E3DF9"/>
    <w:rsid w:val="007E4094"/>
    <w:rsid w:val="007E40BB"/>
    <w:rsid w:val="007E4BFA"/>
    <w:rsid w:val="007E4C37"/>
    <w:rsid w:val="007E4D69"/>
    <w:rsid w:val="007E5009"/>
    <w:rsid w:val="007E56C4"/>
    <w:rsid w:val="007E5784"/>
    <w:rsid w:val="007E57CB"/>
    <w:rsid w:val="007E5F70"/>
    <w:rsid w:val="007E62A2"/>
    <w:rsid w:val="007E6461"/>
    <w:rsid w:val="007E6532"/>
    <w:rsid w:val="007E669E"/>
    <w:rsid w:val="007E6BEA"/>
    <w:rsid w:val="007E6FE5"/>
    <w:rsid w:val="007E7139"/>
    <w:rsid w:val="007E71B5"/>
    <w:rsid w:val="007E72F2"/>
    <w:rsid w:val="007F0482"/>
    <w:rsid w:val="007F0575"/>
    <w:rsid w:val="007F067C"/>
    <w:rsid w:val="007F0680"/>
    <w:rsid w:val="007F082B"/>
    <w:rsid w:val="007F09A1"/>
    <w:rsid w:val="007F16C1"/>
    <w:rsid w:val="007F1745"/>
    <w:rsid w:val="007F20BA"/>
    <w:rsid w:val="007F23AA"/>
    <w:rsid w:val="007F2792"/>
    <w:rsid w:val="007F2876"/>
    <w:rsid w:val="007F2DB7"/>
    <w:rsid w:val="007F4057"/>
    <w:rsid w:val="007F4129"/>
    <w:rsid w:val="007F4189"/>
    <w:rsid w:val="007F42CE"/>
    <w:rsid w:val="007F44E2"/>
    <w:rsid w:val="007F49CE"/>
    <w:rsid w:val="007F593D"/>
    <w:rsid w:val="007F5A63"/>
    <w:rsid w:val="007F5B50"/>
    <w:rsid w:val="007F636A"/>
    <w:rsid w:val="007F6EC5"/>
    <w:rsid w:val="007F75B8"/>
    <w:rsid w:val="007F7646"/>
    <w:rsid w:val="007F76AB"/>
    <w:rsid w:val="007F7797"/>
    <w:rsid w:val="007F787A"/>
    <w:rsid w:val="00800834"/>
    <w:rsid w:val="008009B0"/>
    <w:rsid w:val="008009E3"/>
    <w:rsid w:val="008017FE"/>
    <w:rsid w:val="00801E4C"/>
    <w:rsid w:val="00801F19"/>
    <w:rsid w:val="008025B9"/>
    <w:rsid w:val="008028AE"/>
    <w:rsid w:val="00803058"/>
    <w:rsid w:val="0080339E"/>
    <w:rsid w:val="00803617"/>
    <w:rsid w:val="00803D3E"/>
    <w:rsid w:val="008040DB"/>
    <w:rsid w:val="0080437C"/>
    <w:rsid w:val="00804C7C"/>
    <w:rsid w:val="00805687"/>
    <w:rsid w:val="0080594A"/>
    <w:rsid w:val="008063C1"/>
    <w:rsid w:val="008064C8"/>
    <w:rsid w:val="00806565"/>
    <w:rsid w:val="00806619"/>
    <w:rsid w:val="008067CE"/>
    <w:rsid w:val="008078A0"/>
    <w:rsid w:val="0080792A"/>
    <w:rsid w:val="0081028D"/>
    <w:rsid w:val="00810BEA"/>
    <w:rsid w:val="00810D4D"/>
    <w:rsid w:val="00810D7F"/>
    <w:rsid w:val="008114A8"/>
    <w:rsid w:val="00811A2A"/>
    <w:rsid w:val="008122BD"/>
    <w:rsid w:val="008128AD"/>
    <w:rsid w:val="0081299E"/>
    <w:rsid w:val="0081350A"/>
    <w:rsid w:val="00813BD1"/>
    <w:rsid w:val="0081411A"/>
    <w:rsid w:val="00814D08"/>
    <w:rsid w:val="0081531A"/>
    <w:rsid w:val="00815348"/>
    <w:rsid w:val="00815AA0"/>
    <w:rsid w:val="00815D2C"/>
    <w:rsid w:val="00815D8F"/>
    <w:rsid w:val="00816540"/>
    <w:rsid w:val="0081655F"/>
    <w:rsid w:val="0081667D"/>
    <w:rsid w:val="008168E7"/>
    <w:rsid w:val="0081765C"/>
    <w:rsid w:val="00817F65"/>
    <w:rsid w:val="00820371"/>
    <w:rsid w:val="00820B64"/>
    <w:rsid w:val="00820D09"/>
    <w:rsid w:val="00820E5D"/>
    <w:rsid w:val="0082173C"/>
    <w:rsid w:val="0082193F"/>
    <w:rsid w:val="00821BF7"/>
    <w:rsid w:val="00822112"/>
    <w:rsid w:val="00822288"/>
    <w:rsid w:val="0082257E"/>
    <w:rsid w:val="008228A2"/>
    <w:rsid w:val="00822AC2"/>
    <w:rsid w:val="00822E14"/>
    <w:rsid w:val="008232B8"/>
    <w:rsid w:val="0082348A"/>
    <w:rsid w:val="0082358C"/>
    <w:rsid w:val="00823A1F"/>
    <w:rsid w:val="00823DDA"/>
    <w:rsid w:val="00823DFE"/>
    <w:rsid w:val="00824798"/>
    <w:rsid w:val="00824FF2"/>
    <w:rsid w:val="0082557B"/>
    <w:rsid w:val="00825CFD"/>
    <w:rsid w:val="0082624F"/>
    <w:rsid w:val="008262DC"/>
    <w:rsid w:val="008268E0"/>
    <w:rsid w:val="00826B8F"/>
    <w:rsid w:val="00826DB0"/>
    <w:rsid w:val="00826E39"/>
    <w:rsid w:val="00827293"/>
    <w:rsid w:val="0082743E"/>
    <w:rsid w:val="00827FD3"/>
    <w:rsid w:val="00830003"/>
    <w:rsid w:val="00830216"/>
    <w:rsid w:val="0083030B"/>
    <w:rsid w:val="00830498"/>
    <w:rsid w:val="0083049C"/>
    <w:rsid w:val="00830737"/>
    <w:rsid w:val="00830E4B"/>
    <w:rsid w:val="00830EA9"/>
    <w:rsid w:val="00831008"/>
    <w:rsid w:val="0083124A"/>
    <w:rsid w:val="008315DF"/>
    <w:rsid w:val="008317E9"/>
    <w:rsid w:val="00831E6F"/>
    <w:rsid w:val="0083253E"/>
    <w:rsid w:val="00832CC4"/>
    <w:rsid w:val="00833284"/>
    <w:rsid w:val="00833AD4"/>
    <w:rsid w:val="0083444D"/>
    <w:rsid w:val="00834457"/>
    <w:rsid w:val="00834970"/>
    <w:rsid w:val="00834A03"/>
    <w:rsid w:val="00834D8E"/>
    <w:rsid w:val="00835057"/>
    <w:rsid w:val="008354AC"/>
    <w:rsid w:val="0083649D"/>
    <w:rsid w:val="008364F2"/>
    <w:rsid w:val="008368B3"/>
    <w:rsid w:val="00836CBA"/>
    <w:rsid w:val="00836DBF"/>
    <w:rsid w:val="00837739"/>
    <w:rsid w:val="0083773B"/>
    <w:rsid w:val="00837A36"/>
    <w:rsid w:val="00837A44"/>
    <w:rsid w:val="00837AFC"/>
    <w:rsid w:val="00840050"/>
    <w:rsid w:val="0084037D"/>
    <w:rsid w:val="0084064C"/>
    <w:rsid w:val="00840DA9"/>
    <w:rsid w:val="0084131E"/>
    <w:rsid w:val="00841910"/>
    <w:rsid w:val="00841946"/>
    <w:rsid w:val="00842222"/>
    <w:rsid w:val="00842773"/>
    <w:rsid w:val="008429EB"/>
    <w:rsid w:val="00843153"/>
    <w:rsid w:val="008432C4"/>
    <w:rsid w:val="00844072"/>
    <w:rsid w:val="0084482F"/>
    <w:rsid w:val="008448B3"/>
    <w:rsid w:val="00844F24"/>
    <w:rsid w:val="008453BE"/>
    <w:rsid w:val="00845C45"/>
    <w:rsid w:val="00846264"/>
    <w:rsid w:val="00846740"/>
    <w:rsid w:val="0084677E"/>
    <w:rsid w:val="008467CB"/>
    <w:rsid w:val="00846C16"/>
    <w:rsid w:val="00847786"/>
    <w:rsid w:val="00847F3A"/>
    <w:rsid w:val="00847FCB"/>
    <w:rsid w:val="008503F4"/>
    <w:rsid w:val="00850820"/>
    <w:rsid w:val="00850BB7"/>
    <w:rsid w:val="008510C9"/>
    <w:rsid w:val="0085172F"/>
    <w:rsid w:val="00851AD0"/>
    <w:rsid w:val="00851B8C"/>
    <w:rsid w:val="00852166"/>
    <w:rsid w:val="00852328"/>
    <w:rsid w:val="0085236A"/>
    <w:rsid w:val="008525B8"/>
    <w:rsid w:val="008525F4"/>
    <w:rsid w:val="00852BE1"/>
    <w:rsid w:val="00852FB9"/>
    <w:rsid w:val="008530FD"/>
    <w:rsid w:val="008545D8"/>
    <w:rsid w:val="00854721"/>
    <w:rsid w:val="00854F9A"/>
    <w:rsid w:val="0085503E"/>
    <w:rsid w:val="00855726"/>
    <w:rsid w:val="00856222"/>
    <w:rsid w:val="00856382"/>
    <w:rsid w:val="008566C2"/>
    <w:rsid w:val="0085690E"/>
    <w:rsid w:val="008570BF"/>
    <w:rsid w:val="008570ED"/>
    <w:rsid w:val="008571E6"/>
    <w:rsid w:val="00857C27"/>
    <w:rsid w:val="00857F75"/>
    <w:rsid w:val="008606FB"/>
    <w:rsid w:val="00860860"/>
    <w:rsid w:val="0086089C"/>
    <w:rsid w:val="00860E93"/>
    <w:rsid w:val="008615F9"/>
    <w:rsid w:val="008618F9"/>
    <w:rsid w:val="00861E13"/>
    <w:rsid w:val="00861E28"/>
    <w:rsid w:val="008621E4"/>
    <w:rsid w:val="008627E3"/>
    <w:rsid w:val="00862CB4"/>
    <w:rsid w:val="0086334B"/>
    <w:rsid w:val="008633AC"/>
    <w:rsid w:val="008637C9"/>
    <w:rsid w:val="008639F3"/>
    <w:rsid w:val="00863D8C"/>
    <w:rsid w:val="008643F5"/>
    <w:rsid w:val="00864B5A"/>
    <w:rsid w:val="00864F90"/>
    <w:rsid w:val="008650C8"/>
    <w:rsid w:val="0086541E"/>
    <w:rsid w:val="00865541"/>
    <w:rsid w:val="00865920"/>
    <w:rsid w:val="0086593C"/>
    <w:rsid w:val="00865CBB"/>
    <w:rsid w:val="00865D32"/>
    <w:rsid w:val="00865FAD"/>
    <w:rsid w:val="0086655B"/>
    <w:rsid w:val="00866F27"/>
    <w:rsid w:val="008673D5"/>
    <w:rsid w:val="00867652"/>
    <w:rsid w:val="00867A6F"/>
    <w:rsid w:val="00867C59"/>
    <w:rsid w:val="00867D01"/>
    <w:rsid w:val="00867D8B"/>
    <w:rsid w:val="00867F0B"/>
    <w:rsid w:val="0087019F"/>
    <w:rsid w:val="0087153B"/>
    <w:rsid w:val="0087231A"/>
    <w:rsid w:val="008723C4"/>
    <w:rsid w:val="00872483"/>
    <w:rsid w:val="008726A9"/>
    <w:rsid w:val="00873DCD"/>
    <w:rsid w:val="00873DDB"/>
    <w:rsid w:val="008740A4"/>
    <w:rsid w:val="00874530"/>
    <w:rsid w:val="008745BB"/>
    <w:rsid w:val="0087484C"/>
    <w:rsid w:val="008748F0"/>
    <w:rsid w:val="00875BE8"/>
    <w:rsid w:val="00875C54"/>
    <w:rsid w:val="0087621B"/>
    <w:rsid w:val="0087650E"/>
    <w:rsid w:val="0087695F"/>
    <w:rsid w:val="00876BED"/>
    <w:rsid w:val="00877020"/>
    <w:rsid w:val="008774D8"/>
    <w:rsid w:val="008777C9"/>
    <w:rsid w:val="00877A9C"/>
    <w:rsid w:val="00877E7C"/>
    <w:rsid w:val="00877FD6"/>
    <w:rsid w:val="0088004B"/>
    <w:rsid w:val="00880055"/>
    <w:rsid w:val="00880A8A"/>
    <w:rsid w:val="008814AA"/>
    <w:rsid w:val="00881B4B"/>
    <w:rsid w:val="00882822"/>
    <w:rsid w:val="00882EE1"/>
    <w:rsid w:val="00883A4E"/>
    <w:rsid w:val="00883F81"/>
    <w:rsid w:val="0088455B"/>
    <w:rsid w:val="00884897"/>
    <w:rsid w:val="008848CB"/>
    <w:rsid w:val="00884DDF"/>
    <w:rsid w:val="00884E91"/>
    <w:rsid w:val="008851B8"/>
    <w:rsid w:val="008861D2"/>
    <w:rsid w:val="00886AC2"/>
    <w:rsid w:val="00886FA0"/>
    <w:rsid w:val="00886FB0"/>
    <w:rsid w:val="0088717B"/>
    <w:rsid w:val="0088739E"/>
    <w:rsid w:val="00887509"/>
    <w:rsid w:val="0088792F"/>
    <w:rsid w:val="00887C28"/>
    <w:rsid w:val="00887C7F"/>
    <w:rsid w:val="00887CE6"/>
    <w:rsid w:val="008903B8"/>
    <w:rsid w:val="008903E2"/>
    <w:rsid w:val="008907D2"/>
    <w:rsid w:val="0089084D"/>
    <w:rsid w:val="00891081"/>
    <w:rsid w:val="0089131A"/>
    <w:rsid w:val="00891720"/>
    <w:rsid w:val="00892496"/>
    <w:rsid w:val="008924A6"/>
    <w:rsid w:val="008927AF"/>
    <w:rsid w:val="00892A28"/>
    <w:rsid w:val="00892D83"/>
    <w:rsid w:val="008930B2"/>
    <w:rsid w:val="00893318"/>
    <w:rsid w:val="00893562"/>
    <w:rsid w:val="00893CA9"/>
    <w:rsid w:val="0089440F"/>
    <w:rsid w:val="00894B92"/>
    <w:rsid w:val="00894C65"/>
    <w:rsid w:val="00894E45"/>
    <w:rsid w:val="00894E64"/>
    <w:rsid w:val="0089549C"/>
    <w:rsid w:val="0089558A"/>
    <w:rsid w:val="008955F0"/>
    <w:rsid w:val="008959C6"/>
    <w:rsid w:val="00895B2C"/>
    <w:rsid w:val="00895FC4"/>
    <w:rsid w:val="00896120"/>
    <w:rsid w:val="00896D8B"/>
    <w:rsid w:val="0089755A"/>
    <w:rsid w:val="00897597"/>
    <w:rsid w:val="008975D8"/>
    <w:rsid w:val="008979C7"/>
    <w:rsid w:val="00897C18"/>
    <w:rsid w:val="00897C82"/>
    <w:rsid w:val="00897D24"/>
    <w:rsid w:val="00897D5B"/>
    <w:rsid w:val="00897DC5"/>
    <w:rsid w:val="008A060A"/>
    <w:rsid w:val="008A10DE"/>
    <w:rsid w:val="008A1828"/>
    <w:rsid w:val="008A1D5A"/>
    <w:rsid w:val="008A1D72"/>
    <w:rsid w:val="008A1E6A"/>
    <w:rsid w:val="008A2576"/>
    <w:rsid w:val="008A25F6"/>
    <w:rsid w:val="008A26B1"/>
    <w:rsid w:val="008A282B"/>
    <w:rsid w:val="008A2974"/>
    <w:rsid w:val="008A29FB"/>
    <w:rsid w:val="008A2DD5"/>
    <w:rsid w:val="008A2F86"/>
    <w:rsid w:val="008A3B1C"/>
    <w:rsid w:val="008A3EEC"/>
    <w:rsid w:val="008A3F18"/>
    <w:rsid w:val="008A4812"/>
    <w:rsid w:val="008A4986"/>
    <w:rsid w:val="008A4BA8"/>
    <w:rsid w:val="008A4DDA"/>
    <w:rsid w:val="008A552B"/>
    <w:rsid w:val="008A59F6"/>
    <w:rsid w:val="008A67A1"/>
    <w:rsid w:val="008A6EF6"/>
    <w:rsid w:val="008A7135"/>
    <w:rsid w:val="008A79E1"/>
    <w:rsid w:val="008B039C"/>
    <w:rsid w:val="008B0ABF"/>
    <w:rsid w:val="008B172E"/>
    <w:rsid w:val="008B1AC2"/>
    <w:rsid w:val="008B1D17"/>
    <w:rsid w:val="008B1F25"/>
    <w:rsid w:val="008B1F6E"/>
    <w:rsid w:val="008B2438"/>
    <w:rsid w:val="008B267C"/>
    <w:rsid w:val="008B29CE"/>
    <w:rsid w:val="008B29F6"/>
    <w:rsid w:val="008B3748"/>
    <w:rsid w:val="008B3845"/>
    <w:rsid w:val="008B3890"/>
    <w:rsid w:val="008B3C4F"/>
    <w:rsid w:val="008B3F9E"/>
    <w:rsid w:val="008B4786"/>
    <w:rsid w:val="008B479F"/>
    <w:rsid w:val="008B4DCE"/>
    <w:rsid w:val="008B50FF"/>
    <w:rsid w:val="008B5255"/>
    <w:rsid w:val="008B55BB"/>
    <w:rsid w:val="008B5D8F"/>
    <w:rsid w:val="008B632E"/>
    <w:rsid w:val="008B6ACD"/>
    <w:rsid w:val="008B6B48"/>
    <w:rsid w:val="008B72BE"/>
    <w:rsid w:val="008B73D9"/>
    <w:rsid w:val="008B756B"/>
    <w:rsid w:val="008B7961"/>
    <w:rsid w:val="008B7D7E"/>
    <w:rsid w:val="008B7F39"/>
    <w:rsid w:val="008C020E"/>
    <w:rsid w:val="008C05F0"/>
    <w:rsid w:val="008C0D13"/>
    <w:rsid w:val="008C0DB3"/>
    <w:rsid w:val="008C0FD8"/>
    <w:rsid w:val="008C1117"/>
    <w:rsid w:val="008C17FF"/>
    <w:rsid w:val="008C268A"/>
    <w:rsid w:val="008C2D9A"/>
    <w:rsid w:val="008C31C8"/>
    <w:rsid w:val="008C3B14"/>
    <w:rsid w:val="008C3D1F"/>
    <w:rsid w:val="008C3DE3"/>
    <w:rsid w:val="008C3FCA"/>
    <w:rsid w:val="008C4474"/>
    <w:rsid w:val="008C4625"/>
    <w:rsid w:val="008C47B2"/>
    <w:rsid w:val="008C48E8"/>
    <w:rsid w:val="008C4CC4"/>
    <w:rsid w:val="008C5129"/>
    <w:rsid w:val="008C5234"/>
    <w:rsid w:val="008C55DF"/>
    <w:rsid w:val="008C575E"/>
    <w:rsid w:val="008C5C6C"/>
    <w:rsid w:val="008C5EF5"/>
    <w:rsid w:val="008C6139"/>
    <w:rsid w:val="008C6351"/>
    <w:rsid w:val="008C6974"/>
    <w:rsid w:val="008C6C0F"/>
    <w:rsid w:val="008C6D6C"/>
    <w:rsid w:val="008C7813"/>
    <w:rsid w:val="008C7DE3"/>
    <w:rsid w:val="008D00BB"/>
    <w:rsid w:val="008D04A9"/>
    <w:rsid w:val="008D0668"/>
    <w:rsid w:val="008D0B6C"/>
    <w:rsid w:val="008D0D93"/>
    <w:rsid w:val="008D19BE"/>
    <w:rsid w:val="008D211F"/>
    <w:rsid w:val="008D2374"/>
    <w:rsid w:val="008D2380"/>
    <w:rsid w:val="008D2693"/>
    <w:rsid w:val="008D296F"/>
    <w:rsid w:val="008D2981"/>
    <w:rsid w:val="008D2A41"/>
    <w:rsid w:val="008D2D32"/>
    <w:rsid w:val="008D2D77"/>
    <w:rsid w:val="008D316D"/>
    <w:rsid w:val="008D377E"/>
    <w:rsid w:val="008D37B3"/>
    <w:rsid w:val="008D3B78"/>
    <w:rsid w:val="008D3FF1"/>
    <w:rsid w:val="008D4522"/>
    <w:rsid w:val="008D48FF"/>
    <w:rsid w:val="008D505E"/>
    <w:rsid w:val="008D5CFC"/>
    <w:rsid w:val="008D5D65"/>
    <w:rsid w:val="008D61ED"/>
    <w:rsid w:val="008D6418"/>
    <w:rsid w:val="008D6608"/>
    <w:rsid w:val="008D66A8"/>
    <w:rsid w:val="008D6875"/>
    <w:rsid w:val="008D6CF7"/>
    <w:rsid w:val="008D73A5"/>
    <w:rsid w:val="008D77BF"/>
    <w:rsid w:val="008D7C79"/>
    <w:rsid w:val="008D7CDE"/>
    <w:rsid w:val="008D7D2F"/>
    <w:rsid w:val="008D7D61"/>
    <w:rsid w:val="008E02A7"/>
    <w:rsid w:val="008E0860"/>
    <w:rsid w:val="008E0ABD"/>
    <w:rsid w:val="008E132A"/>
    <w:rsid w:val="008E13A3"/>
    <w:rsid w:val="008E19F7"/>
    <w:rsid w:val="008E1CF1"/>
    <w:rsid w:val="008E1F39"/>
    <w:rsid w:val="008E2C7B"/>
    <w:rsid w:val="008E2FC2"/>
    <w:rsid w:val="008E3C3B"/>
    <w:rsid w:val="008E3FC7"/>
    <w:rsid w:val="008E449C"/>
    <w:rsid w:val="008E469F"/>
    <w:rsid w:val="008E47CE"/>
    <w:rsid w:val="008E4A63"/>
    <w:rsid w:val="008E5969"/>
    <w:rsid w:val="008E5DCF"/>
    <w:rsid w:val="008E6395"/>
    <w:rsid w:val="008E6BDC"/>
    <w:rsid w:val="008E7052"/>
    <w:rsid w:val="008E773E"/>
    <w:rsid w:val="008E7C8C"/>
    <w:rsid w:val="008F04D1"/>
    <w:rsid w:val="008F05BE"/>
    <w:rsid w:val="008F0CBD"/>
    <w:rsid w:val="008F1341"/>
    <w:rsid w:val="008F181E"/>
    <w:rsid w:val="008F193E"/>
    <w:rsid w:val="008F1BFC"/>
    <w:rsid w:val="008F1C94"/>
    <w:rsid w:val="008F1D8E"/>
    <w:rsid w:val="008F1F33"/>
    <w:rsid w:val="008F2055"/>
    <w:rsid w:val="008F25FA"/>
    <w:rsid w:val="008F2716"/>
    <w:rsid w:val="008F291A"/>
    <w:rsid w:val="008F2A6A"/>
    <w:rsid w:val="008F2C3A"/>
    <w:rsid w:val="008F2FFF"/>
    <w:rsid w:val="008F41AA"/>
    <w:rsid w:val="008F42AE"/>
    <w:rsid w:val="008F4921"/>
    <w:rsid w:val="008F4B1C"/>
    <w:rsid w:val="008F57E6"/>
    <w:rsid w:val="008F5880"/>
    <w:rsid w:val="008F5BC3"/>
    <w:rsid w:val="008F5D20"/>
    <w:rsid w:val="008F5F2B"/>
    <w:rsid w:val="008F6DBF"/>
    <w:rsid w:val="008F7039"/>
    <w:rsid w:val="008F7144"/>
    <w:rsid w:val="008F73CE"/>
    <w:rsid w:val="008F7652"/>
    <w:rsid w:val="008F76C2"/>
    <w:rsid w:val="008F7C7B"/>
    <w:rsid w:val="008F7E39"/>
    <w:rsid w:val="009005A0"/>
    <w:rsid w:val="009006F2"/>
    <w:rsid w:val="009008F0"/>
    <w:rsid w:val="009009E7"/>
    <w:rsid w:val="009010D7"/>
    <w:rsid w:val="009015E3"/>
    <w:rsid w:val="0090172B"/>
    <w:rsid w:val="009019C3"/>
    <w:rsid w:val="00901C6B"/>
    <w:rsid w:val="00901E31"/>
    <w:rsid w:val="00902451"/>
    <w:rsid w:val="00902DBC"/>
    <w:rsid w:val="00902EF6"/>
    <w:rsid w:val="009039EA"/>
    <w:rsid w:val="00903EE6"/>
    <w:rsid w:val="00904162"/>
    <w:rsid w:val="0090419C"/>
    <w:rsid w:val="00904414"/>
    <w:rsid w:val="0090464E"/>
    <w:rsid w:val="0090474E"/>
    <w:rsid w:val="0090493B"/>
    <w:rsid w:val="0090524B"/>
    <w:rsid w:val="00905846"/>
    <w:rsid w:val="00905B92"/>
    <w:rsid w:val="00905D10"/>
    <w:rsid w:val="00906238"/>
    <w:rsid w:val="00906650"/>
    <w:rsid w:val="009066F3"/>
    <w:rsid w:val="0090673B"/>
    <w:rsid w:val="00906A6F"/>
    <w:rsid w:val="00906B87"/>
    <w:rsid w:val="00907020"/>
    <w:rsid w:val="00907391"/>
    <w:rsid w:val="009076D8"/>
    <w:rsid w:val="009077E6"/>
    <w:rsid w:val="00910353"/>
    <w:rsid w:val="0091037F"/>
    <w:rsid w:val="009104AA"/>
    <w:rsid w:val="00910535"/>
    <w:rsid w:val="009105B2"/>
    <w:rsid w:val="00910928"/>
    <w:rsid w:val="00910AD3"/>
    <w:rsid w:val="00910B0D"/>
    <w:rsid w:val="009110ED"/>
    <w:rsid w:val="0091135C"/>
    <w:rsid w:val="00911FCB"/>
    <w:rsid w:val="0091279B"/>
    <w:rsid w:val="00912A78"/>
    <w:rsid w:val="00912EF6"/>
    <w:rsid w:val="00912F8A"/>
    <w:rsid w:val="009130C1"/>
    <w:rsid w:val="0091327F"/>
    <w:rsid w:val="0091366D"/>
    <w:rsid w:val="009136A5"/>
    <w:rsid w:val="00913B9F"/>
    <w:rsid w:val="00913CBD"/>
    <w:rsid w:val="0091422D"/>
    <w:rsid w:val="00914E76"/>
    <w:rsid w:val="00914FFC"/>
    <w:rsid w:val="00915682"/>
    <w:rsid w:val="009157E2"/>
    <w:rsid w:val="009158BB"/>
    <w:rsid w:val="009158EA"/>
    <w:rsid w:val="009159A5"/>
    <w:rsid w:val="00916274"/>
    <w:rsid w:val="00916286"/>
    <w:rsid w:val="009166CD"/>
    <w:rsid w:val="0091677D"/>
    <w:rsid w:val="009169E1"/>
    <w:rsid w:val="00916AEF"/>
    <w:rsid w:val="009170D1"/>
    <w:rsid w:val="009171FA"/>
    <w:rsid w:val="009178C7"/>
    <w:rsid w:val="00917A51"/>
    <w:rsid w:val="00917AC6"/>
    <w:rsid w:val="00920354"/>
    <w:rsid w:val="00920A17"/>
    <w:rsid w:val="0092117E"/>
    <w:rsid w:val="00921BA7"/>
    <w:rsid w:val="00921D76"/>
    <w:rsid w:val="009220F4"/>
    <w:rsid w:val="00923013"/>
    <w:rsid w:val="00923218"/>
    <w:rsid w:val="00923A6B"/>
    <w:rsid w:val="00923C8A"/>
    <w:rsid w:val="00924652"/>
    <w:rsid w:val="00924A56"/>
    <w:rsid w:val="00925004"/>
    <w:rsid w:val="009254AD"/>
    <w:rsid w:val="009257CB"/>
    <w:rsid w:val="0092581E"/>
    <w:rsid w:val="009258F7"/>
    <w:rsid w:val="00925A3F"/>
    <w:rsid w:val="00925A89"/>
    <w:rsid w:val="00925F7F"/>
    <w:rsid w:val="009262F6"/>
    <w:rsid w:val="009263BB"/>
    <w:rsid w:val="009269A1"/>
    <w:rsid w:val="00926C15"/>
    <w:rsid w:val="009272F2"/>
    <w:rsid w:val="00927432"/>
    <w:rsid w:val="00930E9A"/>
    <w:rsid w:val="00930F3E"/>
    <w:rsid w:val="00931112"/>
    <w:rsid w:val="009314AA"/>
    <w:rsid w:val="00931817"/>
    <w:rsid w:val="00931896"/>
    <w:rsid w:val="009318B5"/>
    <w:rsid w:val="009321AB"/>
    <w:rsid w:val="0093249B"/>
    <w:rsid w:val="00932B61"/>
    <w:rsid w:val="00932B9B"/>
    <w:rsid w:val="009338D0"/>
    <w:rsid w:val="00933BF7"/>
    <w:rsid w:val="00933D88"/>
    <w:rsid w:val="00933E52"/>
    <w:rsid w:val="009344A3"/>
    <w:rsid w:val="0093465C"/>
    <w:rsid w:val="00934798"/>
    <w:rsid w:val="009347B4"/>
    <w:rsid w:val="009348F4"/>
    <w:rsid w:val="009349C3"/>
    <w:rsid w:val="00934D54"/>
    <w:rsid w:val="00934DF0"/>
    <w:rsid w:val="00934E77"/>
    <w:rsid w:val="00934EBA"/>
    <w:rsid w:val="00935A98"/>
    <w:rsid w:val="00935BFB"/>
    <w:rsid w:val="00936174"/>
    <w:rsid w:val="009368CD"/>
    <w:rsid w:val="00936B8C"/>
    <w:rsid w:val="0093719F"/>
    <w:rsid w:val="00937307"/>
    <w:rsid w:val="00937572"/>
    <w:rsid w:val="0093790C"/>
    <w:rsid w:val="00937D3F"/>
    <w:rsid w:val="00937D73"/>
    <w:rsid w:val="0094020C"/>
    <w:rsid w:val="00940228"/>
    <w:rsid w:val="0094082F"/>
    <w:rsid w:val="00940D72"/>
    <w:rsid w:val="00940E5B"/>
    <w:rsid w:val="009414D9"/>
    <w:rsid w:val="0094187E"/>
    <w:rsid w:val="00942150"/>
    <w:rsid w:val="0094265D"/>
    <w:rsid w:val="00942952"/>
    <w:rsid w:val="00942DD1"/>
    <w:rsid w:val="00942FD5"/>
    <w:rsid w:val="00943142"/>
    <w:rsid w:val="009432F6"/>
    <w:rsid w:val="00943B7C"/>
    <w:rsid w:val="009441D6"/>
    <w:rsid w:val="00944E3B"/>
    <w:rsid w:val="00944E46"/>
    <w:rsid w:val="00944EAC"/>
    <w:rsid w:val="00944FC2"/>
    <w:rsid w:val="0094501C"/>
    <w:rsid w:val="009456A8"/>
    <w:rsid w:val="00945B6B"/>
    <w:rsid w:val="00945C84"/>
    <w:rsid w:val="00945E34"/>
    <w:rsid w:val="00945F74"/>
    <w:rsid w:val="00947170"/>
    <w:rsid w:val="00947817"/>
    <w:rsid w:val="00947BCA"/>
    <w:rsid w:val="00947D84"/>
    <w:rsid w:val="00950133"/>
    <w:rsid w:val="0095030E"/>
    <w:rsid w:val="00950312"/>
    <w:rsid w:val="00950359"/>
    <w:rsid w:val="00950753"/>
    <w:rsid w:val="00950952"/>
    <w:rsid w:val="00950BDC"/>
    <w:rsid w:val="00950CA5"/>
    <w:rsid w:val="0095115A"/>
    <w:rsid w:val="009517FB"/>
    <w:rsid w:val="009518D5"/>
    <w:rsid w:val="00951FD0"/>
    <w:rsid w:val="0095202A"/>
    <w:rsid w:val="0095202E"/>
    <w:rsid w:val="0095250F"/>
    <w:rsid w:val="0095271E"/>
    <w:rsid w:val="00952741"/>
    <w:rsid w:val="00952F59"/>
    <w:rsid w:val="0095342E"/>
    <w:rsid w:val="0095349E"/>
    <w:rsid w:val="009535ED"/>
    <w:rsid w:val="0095385D"/>
    <w:rsid w:val="00953A96"/>
    <w:rsid w:val="00953C64"/>
    <w:rsid w:val="009548D2"/>
    <w:rsid w:val="00954A0A"/>
    <w:rsid w:val="00955087"/>
    <w:rsid w:val="00955117"/>
    <w:rsid w:val="00955462"/>
    <w:rsid w:val="00955F65"/>
    <w:rsid w:val="009563DC"/>
    <w:rsid w:val="00956AC1"/>
    <w:rsid w:val="00957096"/>
    <w:rsid w:val="009571B6"/>
    <w:rsid w:val="009571D7"/>
    <w:rsid w:val="00957419"/>
    <w:rsid w:val="0095743C"/>
    <w:rsid w:val="009574B1"/>
    <w:rsid w:val="00957D8E"/>
    <w:rsid w:val="00957F91"/>
    <w:rsid w:val="009605F3"/>
    <w:rsid w:val="00960683"/>
    <w:rsid w:val="00960928"/>
    <w:rsid w:val="00960A47"/>
    <w:rsid w:val="00960B2C"/>
    <w:rsid w:val="009616E1"/>
    <w:rsid w:val="0096178E"/>
    <w:rsid w:val="0096248F"/>
    <w:rsid w:val="009627E2"/>
    <w:rsid w:val="00962896"/>
    <w:rsid w:val="00962962"/>
    <w:rsid w:val="00963171"/>
    <w:rsid w:val="0096324D"/>
    <w:rsid w:val="009633FB"/>
    <w:rsid w:val="0096388B"/>
    <w:rsid w:val="00963BAD"/>
    <w:rsid w:val="00963DCA"/>
    <w:rsid w:val="00963F38"/>
    <w:rsid w:val="00964177"/>
    <w:rsid w:val="00964208"/>
    <w:rsid w:val="0096430E"/>
    <w:rsid w:val="009646C4"/>
    <w:rsid w:val="00964BF8"/>
    <w:rsid w:val="0096539D"/>
    <w:rsid w:val="0096540A"/>
    <w:rsid w:val="00965573"/>
    <w:rsid w:val="0096573D"/>
    <w:rsid w:val="00965898"/>
    <w:rsid w:val="00966282"/>
    <w:rsid w:val="0096639C"/>
    <w:rsid w:val="00966537"/>
    <w:rsid w:val="009667A7"/>
    <w:rsid w:val="00966DE6"/>
    <w:rsid w:val="0096729A"/>
    <w:rsid w:val="009701A4"/>
    <w:rsid w:val="00970481"/>
    <w:rsid w:val="009707B0"/>
    <w:rsid w:val="009709CD"/>
    <w:rsid w:val="00970B7B"/>
    <w:rsid w:val="00971418"/>
    <w:rsid w:val="009716D6"/>
    <w:rsid w:val="0097200B"/>
    <w:rsid w:val="009729C6"/>
    <w:rsid w:val="00972B96"/>
    <w:rsid w:val="0097362E"/>
    <w:rsid w:val="009737B1"/>
    <w:rsid w:val="00973AC1"/>
    <w:rsid w:val="0097440D"/>
    <w:rsid w:val="0097448C"/>
    <w:rsid w:val="009745EC"/>
    <w:rsid w:val="0097469F"/>
    <w:rsid w:val="009748D4"/>
    <w:rsid w:val="00974D2A"/>
    <w:rsid w:val="00975766"/>
    <w:rsid w:val="00976042"/>
    <w:rsid w:val="00976B34"/>
    <w:rsid w:val="00976DBD"/>
    <w:rsid w:val="0097721C"/>
    <w:rsid w:val="009777E7"/>
    <w:rsid w:val="00980658"/>
    <w:rsid w:val="00980950"/>
    <w:rsid w:val="00980BF7"/>
    <w:rsid w:val="00981176"/>
    <w:rsid w:val="00981405"/>
    <w:rsid w:val="009819F3"/>
    <w:rsid w:val="0098254C"/>
    <w:rsid w:val="009827FE"/>
    <w:rsid w:val="00982C65"/>
    <w:rsid w:val="00982E39"/>
    <w:rsid w:val="00982E49"/>
    <w:rsid w:val="0098337D"/>
    <w:rsid w:val="00983419"/>
    <w:rsid w:val="00983654"/>
    <w:rsid w:val="00983A57"/>
    <w:rsid w:val="00983DAC"/>
    <w:rsid w:val="0098411C"/>
    <w:rsid w:val="0098413C"/>
    <w:rsid w:val="009844D9"/>
    <w:rsid w:val="00984AB0"/>
    <w:rsid w:val="00984C83"/>
    <w:rsid w:val="00984E73"/>
    <w:rsid w:val="009852F2"/>
    <w:rsid w:val="009854F9"/>
    <w:rsid w:val="00985B0B"/>
    <w:rsid w:val="00985DF0"/>
    <w:rsid w:val="00985E02"/>
    <w:rsid w:val="00985E53"/>
    <w:rsid w:val="00985F95"/>
    <w:rsid w:val="009863AE"/>
    <w:rsid w:val="009864E3"/>
    <w:rsid w:val="00986CDE"/>
    <w:rsid w:val="00986CF8"/>
    <w:rsid w:val="00986D28"/>
    <w:rsid w:val="009870DF"/>
    <w:rsid w:val="0098773B"/>
    <w:rsid w:val="00987871"/>
    <w:rsid w:val="00987998"/>
    <w:rsid w:val="009879F7"/>
    <w:rsid w:val="00987C9A"/>
    <w:rsid w:val="009902E7"/>
    <w:rsid w:val="0099050C"/>
    <w:rsid w:val="00990798"/>
    <w:rsid w:val="00990812"/>
    <w:rsid w:val="00990885"/>
    <w:rsid w:val="00990B1F"/>
    <w:rsid w:val="00991738"/>
    <w:rsid w:val="0099180B"/>
    <w:rsid w:val="0099223E"/>
    <w:rsid w:val="00992595"/>
    <w:rsid w:val="009926A8"/>
    <w:rsid w:val="00992983"/>
    <w:rsid w:val="00992A45"/>
    <w:rsid w:val="00992D9E"/>
    <w:rsid w:val="00992EAE"/>
    <w:rsid w:val="009931F2"/>
    <w:rsid w:val="00993252"/>
    <w:rsid w:val="00993B0B"/>
    <w:rsid w:val="009941F8"/>
    <w:rsid w:val="0099461A"/>
    <w:rsid w:val="00994794"/>
    <w:rsid w:val="00994887"/>
    <w:rsid w:val="00994959"/>
    <w:rsid w:val="00994E9A"/>
    <w:rsid w:val="0099515A"/>
    <w:rsid w:val="00995918"/>
    <w:rsid w:val="00995A46"/>
    <w:rsid w:val="00996153"/>
    <w:rsid w:val="009969CA"/>
    <w:rsid w:val="00996CF8"/>
    <w:rsid w:val="00996D16"/>
    <w:rsid w:val="00996F90"/>
    <w:rsid w:val="00997063"/>
    <w:rsid w:val="0099742B"/>
    <w:rsid w:val="009977DC"/>
    <w:rsid w:val="00997F37"/>
    <w:rsid w:val="009A0841"/>
    <w:rsid w:val="009A0E01"/>
    <w:rsid w:val="009A13BC"/>
    <w:rsid w:val="009A140D"/>
    <w:rsid w:val="009A18E4"/>
    <w:rsid w:val="009A199C"/>
    <w:rsid w:val="009A1E01"/>
    <w:rsid w:val="009A1F0A"/>
    <w:rsid w:val="009A28AD"/>
    <w:rsid w:val="009A28C9"/>
    <w:rsid w:val="009A28D9"/>
    <w:rsid w:val="009A290A"/>
    <w:rsid w:val="009A2A75"/>
    <w:rsid w:val="009A3240"/>
    <w:rsid w:val="009A3308"/>
    <w:rsid w:val="009A3AE9"/>
    <w:rsid w:val="009A3BB5"/>
    <w:rsid w:val="009A3E13"/>
    <w:rsid w:val="009A3ECF"/>
    <w:rsid w:val="009A4090"/>
    <w:rsid w:val="009A411D"/>
    <w:rsid w:val="009A4218"/>
    <w:rsid w:val="009A448A"/>
    <w:rsid w:val="009A490A"/>
    <w:rsid w:val="009A4A5A"/>
    <w:rsid w:val="009A4DAC"/>
    <w:rsid w:val="009A4DF5"/>
    <w:rsid w:val="009A4F77"/>
    <w:rsid w:val="009A5615"/>
    <w:rsid w:val="009A5E38"/>
    <w:rsid w:val="009A67BE"/>
    <w:rsid w:val="009A6C01"/>
    <w:rsid w:val="009A71F5"/>
    <w:rsid w:val="009A7F11"/>
    <w:rsid w:val="009B003C"/>
    <w:rsid w:val="009B059D"/>
    <w:rsid w:val="009B17F4"/>
    <w:rsid w:val="009B2224"/>
    <w:rsid w:val="009B25D1"/>
    <w:rsid w:val="009B2614"/>
    <w:rsid w:val="009B2B23"/>
    <w:rsid w:val="009B322B"/>
    <w:rsid w:val="009B3BE2"/>
    <w:rsid w:val="009B3F21"/>
    <w:rsid w:val="009B456E"/>
    <w:rsid w:val="009B48EB"/>
    <w:rsid w:val="009B4B0A"/>
    <w:rsid w:val="009B5077"/>
    <w:rsid w:val="009B52DF"/>
    <w:rsid w:val="009B596D"/>
    <w:rsid w:val="009B59A6"/>
    <w:rsid w:val="009B5DC2"/>
    <w:rsid w:val="009B5DCB"/>
    <w:rsid w:val="009B640E"/>
    <w:rsid w:val="009B7112"/>
    <w:rsid w:val="009B723C"/>
    <w:rsid w:val="009B7542"/>
    <w:rsid w:val="009B7662"/>
    <w:rsid w:val="009B7AE3"/>
    <w:rsid w:val="009C08F1"/>
    <w:rsid w:val="009C0E0D"/>
    <w:rsid w:val="009C15EE"/>
    <w:rsid w:val="009C16D4"/>
    <w:rsid w:val="009C1A83"/>
    <w:rsid w:val="009C1E0A"/>
    <w:rsid w:val="009C25FC"/>
    <w:rsid w:val="009C29F8"/>
    <w:rsid w:val="009C2B97"/>
    <w:rsid w:val="009C2C19"/>
    <w:rsid w:val="009C2FF4"/>
    <w:rsid w:val="009C35F2"/>
    <w:rsid w:val="009C3823"/>
    <w:rsid w:val="009C3B06"/>
    <w:rsid w:val="009C3B5F"/>
    <w:rsid w:val="009C3BB4"/>
    <w:rsid w:val="009C3C14"/>
    <w:rsid w:val="009C3E03"/>
    <w:rsid w:val="009C45A4"/>
    <w:rsid w:val="009C4AD2"/>
    <w:rsid w:val="009C5376"/>
    <w:rsid w:val="009C6051"/>
    <w:rsid w:val="009C6489"/>
    <w:rsid w:val="009C64B0"/>
    <w:rsid w:val="009C78C9"/>
    <w:rsid w:val="009C7986"/>
    <w:rsid w:val="009D01D1"/>
    <w:rsid w:val="009D0867"/>
    <w:rsid w:val="009D128A"/>
    <w:rsid w:val="009D14B0"/>
    <w:rsid w:val="009D2090"/>
    <w:rsid w:val="009D20BD"/>
    <w:rsid w:val="009D2343"/>
    <w:rsid w:val="009D25B4"/>
    <w:rsid w:val="009D2698"/>
    <w:rsid w:val="009D2B70"/>
    <w:rsid w:val="009D2FF7"/>
    <w:rsid w:val="009D3280"/>
    <w:rsid w:val="009D3ACE"/>
    <w:rsid w:val="009D3B02"/>
    <w:rsid w:val="009D3B3D"/>
    <w:rsid w:val="009D3E78"/>
    <w:rsid w:val="009D40C7"/>
    <w:rsid w:val="009D4646"/>
    <w:rsid w:val="009D4783"/>
    <w:rsid w:val="009D5053"/>
    <w:rsid w:val="009D51CB"/>
    <w:rsid w:val="009D55B9"/>
    <w:rsid w:val="009D58BD"/>
    <w:rsid w:val="009D5EC1"/>
    <w:rsid w:val="009D603A"/>
    <w:rsid w:val="009D62B1"/>
    <w:rsid w:val="009D6615"/>
    <w:rsid w:val="009D664E"/>
    <w:rsid w:val="009D6754"/>
    <w:rsid w:val="009D67E4"/>
    <w:rsid w:val="009D6F87"/>
    <w:rsid w:val="009D7123"/>
    <w:rsid w:val="009D728B"/>
    <w:rsid w:val="009D7B58"/>
    <w:rsid w:val="009D7CAF"/>
    <w:rsid w:val="009E013B"/>
    <w:rsid w:val="009E019A"/>
    <w:rsid w:val="009E06AD"/>
    <w:rsid w:val="009E071D"/>
    <w:rsid w:val="009E0753"/>
    <w:rsid w:val="009E099E"/>
    <w:rsid w:val="009E0D07"/>
    <w:rsid w:val="009E0D88"/>
    <w:rsid w:val="009E1715"/>
    <w:rsid w:val="009E2370"/>
    <w:rsid w:val="009E23EC"/>
    <w:rsid w:val="009E2902"/>
    <w:rsid w:val="009E370F"/>
    <w:rsid w:val="009E3F72"/>
    <w:rsid w:val="009E40D3"/>
    <w:rsid w:val="009E4219"/>
    <w:rsid w:val="009E42B5"/>
    <w:rsid w:val="009E42C2"/>
    <w:rsid w:val="009E4407"/>
    <w:rsid w:val="009E47ED"/>
    <w:rsid w:val="009E571B"/>
    <w:rsid w:val="009E5DDD"/>
    <w:rsid w:val="009E6030"/>
    <w:rsid w:val="009E6180"/>
    <w:rsid w:val="009E6428"/>
    <w:rsid w:val="009E69E6"/>
    <w:rsid w:val="009E6B77"/>
    <w:rsid w:val="009E77A9"/>
    <w:rsid w:val="009E7DF6"/>
    <w:rsid w:val="009E7F9D"/>
    <w:rsid w:val="009F0C9E"/>
    <w:rsid w:val="009F10A4"/>
    <w:rsid w:val="009F12B9"/>
    <w:rsid w:val="009F1B3B"/>
    <w:rsid w:val="009F2626"/>
    <w:rsid w:val="009F2BE5"/>
    <w:rsid w:val="009F2C42"/>
    <w:rsid w:val="009F2E05"/>
    <w:rsid w:val="009F3470"/>
    <w:rsid w:val="009F35F3"/>
    <w:rsid w:val="009F3D5A"/>
    <w:rsid w:val="009F3DAE"/>
    <w:rsid w:val="009F4412"/>
    <w:rsid w:val="009F456E"/>
    <w:rsid w:val="009F49A3"/>
    <w:rsid w:val="009F49CD"/>
    <w:rsid w:val="009F4AB6"/>
    <w:rsid w:val="009F4D5A"/>
    <w:rsid w:val="009F4D75"/>
    <w:rsid w:val="009F4E5E"/>
    <w:rsid w:val="009F4E70"/>
    <w:rsid w:val="009F5052"/>
    <w:rsid w:val="009F518E"/>
    <w:rsid w:val="009F536D"/>
    <w:rsid w:val="009F587F"/>
    <w:rsid w:val="009F589D"/>
    <w:rsid w:val="009F5F77"/>
    <w:rsid w:val="009F640E"/>
    <w:rsid w:val="009F651B"/>
    <w:rsid w:val="009F66A1"/>
    <w:rsid w:val="009F6CE7"/>
    <w:rsid w:val="009F6F68"/>
    <w:rsid w:val="009F7193"/>
    <w:rsid w:val="009F734C"/>
    <w:rsid w:val="009F7452"/>
    <w:rsid w:val="009F7D24"/>
    <w:rsid w:val="00A00300"/>
    <w:rsid w:val="00A009AF"/>
    <w:rsid w:val="00A01360"/>
    <w:rsid w:val="00A01719"/>
    <w:rsid w:val="00A018F3"/>
    <w:rsid w:val="00A0236D"/>
    <w:rsid w:val="00A0247D"/>
    <w:rsid w:val="00A0306C"/>
    <w:rsid w:val="00A038B4"/>
    <w:rsid w:val="00A03B67"/>
    <w:rsid w:val="00A03CE6"/>
    <w:rsid w:val="00A0438E"/>
    <w:rsid w:val="00A0439E"/>
    <w:rsid w:val="00A04AB6"/>
    <w:rsid w:val="00A058BD"/>
    <w:rsid w:val="00A05DB4"/>
    <w:rsid w:val="00A05FE8"/>
    <w:rsid w:val="00A0606F"/>
    <w:rsid w:val="00A069E5"/>
    <w:rsid w:val="00A069EC"/>
    <w:rsid w:val="00A06A68"/>
    <w:rsid w:val="00A06DA2"/>
    <w:rsid w:val="00A106EC"/>
    <w:rsid w:val="00A10A4F"/>
    <w:rsid w:val="00A10BCC"/>
    <w:rsid w:val="00A10F87"/>
    <w:rsid w:val="00A11745"/>
    <w:rsid w:val="00A125ED"/>
    <w:rsid w:val="00A127AE"/>
    <w:rsid w:val="00A12DFB"/>
    <w:rsid w:val="00A136C9"/>
    <w:rsid w:val="00A1468E"/>
    <w:rsid w:val="00A149C9"/>
    <w:rsid w:val="00A14F7D"/>
    <w:rsid w:val="00A153FD"/>
    <w:rsid w:val="00A156D5"/>
    <w:rsid w:val="00A16191"/>
    <w:rsid w:val="00A161F3"/>
    <w:rsid w:val="00A16586"/>
    <w:rsid w:val="00A16B59"/>
    <w:rsid w:val="00A16DEE"/>
    <w:rsid w:val="00A170CD"/>
    <w:rsid w:val="00A173EE"/>
    <w:rsid w:val="00A17D81"/>
    <w:rsid w:val="00A2012A"/>
    <w:rsid w:val="00A20EC8"/>
    <w:rsid w:val="00A21203"/>
    <w:rsid w:val="00A214FB"/>
    <w:rsid w:val="00A21542"/>
    <w:rsid w:val="00A21716"/>
    <w:rsid w:val="00A21D02"/>
    <w:rsid w:val="00A21D8C"/>
    <w:rsid w:val="00A21EAD"/>
    <w:rsid w:val="00A21F0E"/>
    <w:rsid w:val="00A220DE"/>
    <w:rsid w:val="00A223EC"/>
    <w:rsid w:val="00A22CB3"/>
    <w:rsid w:val="00A2319E"/>
    <w:rsid w:val="00A231FE"/>
    <w:rsid w:val="00A24926"/>
    <w:rsid w:val="00A2571B"/>
    <w:rsid w:val="00A25FAF"/>
    <w:rsid w:val="00A26063"/>
    <w:rsid w:val="00A26E4B"/>
    <w:rsid w:val="00A26E52"/>
    <w:rsid w:val="00A26EB9"/>
    <w:rsid w:val="00A2716A"/>
    <w:rsid w:val="00A27E8B"/>
    <w:rsid w:val="00A302BA"/>
    <w:rsid w:val="00A30601"/>
    <w:rsid w:val="00A307D7"/>
    <w:rsid w:val="00A30900"/>
    <w:rsid w:val="00A30947"/>
    <w:rsid w:val="00A309EC"/>
    <w:rsid w:val="00A309FE"/>
    <w:rsid w:val="00A30F54"/>
    <w:rsid w:val="00A31047"/>
    <w:rsid w:val="00A31EE0"/>
    <w:rsid w:val="00A31F8C"/>
    <w:rsid w:val="00A32480"/>
    <w:rsid w:val="00A3265B"/>
    <w:rsid w:val="00A32A48"/>
    <w:rsid w:val="00A32F46"/>
    <w:rsid w:val="00A33596"/>
    <w:rsid w:val="00A33700"/>
    <w:rsid w:val="00A33780"/>
    <w:rsid w:val="00A33896"/>
    <w:rsid w:val="00A3439C"/>
    <w:rsid w:val="00A3452C"/>
    <w:rsid w:val="00A34ABF"/>
    <w:rsid w:val="00A34BD2"/>
    <w:rsid w:val="00A34C5F"/>
    <w:rsid w:val="00A34DDC"/>
    <w:rsid w:val="00A34E1A"/>
    <w:rsid w:val="00A35177"/>
    <w:rsid w:val="00A35524"/>
    <w:rsid w:val="00A356FE"/>
    <w:rsid w:val="00A35887"/>
    <w:rsid w:val="00A3589C"/>
    <w:rsid w:val="00A36547"/>
    <w:rsid w:val="00A370A7"/>
    <w:rsid w:val="00A376B7"/>
    <w:rsid w:val="00A377D4"/>
    <w:rsid w:val="00A37856"/>
    <w:rsid w:val="00A37F95"/>
    <w:rsid w:val="00A403C9"/>
    <w:rsid w:val="00A405F7"/>
    <w:rsid w:val="00A40718"/>
    <w:rsid w:val="00A40754"/>
    <w:rsid w:val="00A40802"/>
    <w:rsid w:val="00A409A0"/>
    <w:rsid w:val="00A40E50"/>
    <w:rsid w:val="00A41BF7"/>
    <w:rsid w:val="00A41D4E"/>
    <w:rsid w:val="00A41F3B"/>
    <w:rsid w:val="00A4246E"/>
    <w:rsid w:val="00A425C6"/>
    <w:rsid w:val="00A42692"/>
    <w:rsid w:val="00A43E7A"/>
    <w:rsid w:val="00A43EFA"/>
    <w:rsid w:val="00A43F88"/>
    <w:rsid w:val="00A44071"/>
    <w:rsid w:val="00A440FA"/>
    <w:rsid w:val="00A44BF7"/>
    <w:rsid w:val="00A44BFB"/>
    <w:rsid w:val="00A44C9C"/>
    <w:rsid w:val="00A45225"/>
    <w:rsid w:val="00A4576F"/>
    <w:rsid w:val="00A458C4"/>
    <w:rsid w:val="00A459B9"/>
    <w:rsid w:val="00A45A64"/>
    <w:rsid w:val="00A45BD4"/>
    <w:rsid w:val="00A461D3"/>
    <w:rsid w:val="00A4687C"/>
    <w:rsid w:val="00A46E14"/>
    <w:rsid w:val="00A4712D"/>
    <w:rsid w:val="00A4747A"/>
    <w:rsid w:val="00A47575"/>
    <w:rsid w:val="00A47878"/>
    <w:rsid w:val="00A47D3D"/>
    <w:rsid w:val="00A47E0C"/>
    <w:rsid w:val="00A500E0"/>
    <w:rsid w:val="00A50592"/>
    <w:rsid w:val="00A507F2"/>
    <w:rsid w:val="00A50C4A"/>
    <w:rsid w:val="00A50C98"/>
    <w:rsid w:val="00A511AF"/>
    <w:rsid w:val="00A519AF"/>
    <w:rsid w:val="00A52114"/>
    <w:rsid w:val="00A52292"/>
    <w:rsid w:val="00A5289B"/>
    <w:rsid w:val="00A52A8F"/>
    <w:rsid w:val="00A52B69"/>
    <w:rsid w:val="00A52BC8"/>
    <w:rsid w:val="00A52D9B"/>
    <w:rsid w:val="00A52F0E"/>
    <w:rsid w:val="00A530A5"/>
    <w:rsid w:val="00A530C0"/>
    <w:rsid w:val="00A53233"/>
    <w:rsid w:val="00A534EE"/>
    <w:rsid w:val="00A53921"/>
    <w:rsid w:val="00A53ADA"/>
    <w:rsid w:val="00A540AC"/>
    <w:rsid w:val="00A5455D"/>
    <w:rsid w:val="00A54CEA"/>
    <w:rsid w:val="00A54E37"/>
    <w:rsid w:val="00A54EA4"/>
    <w:rsid w:val="00A5519C"/>
    <w:rsid w:val="00A55D18"/>
    <w:rsid w:val="00A5634A"/>
    <w:rsid w:val="00A563C6"/>
    <w:rsid w:val="00A5709B"/>
    <w:rsid w:val="00A570CB"/>
    <w:rsid w:val="00A57166"/>
    <w:rsid w:val="00A60348"/>
    <w:rsid w:val="00A604FE"/>
    <w:rsid w:val="00A6057C"/>
    <w:rsid w:val="00A60684"/>
    <w:rsid w:val="00A610B9"/>
    <w:rsid w:val="00A613D8"/>
    <w:rsid w:val="00A61741"/>
    <w:rsid w:val="00A61CA7"/>
    <w:rsid w:val="00A620B1"/>
    <w:rsid w:val="00A62780"/>
    <w:rsid w:val="00A628CA"/>
    <w:rsid w:val="00A62A57"/>
    <w:rsid w:val="00A62EDE"/>
    <w:rsid w:val="00A635F4"/>
    <w:rsid w:val="00A63607"/>
    <w:rsid w:val="00A63EC7"/>
    <w:rsid w:val="00A64116"/>
    <w:rsid w:val="00A646FD"/>
    <w:rsid w:val="00A649A0"/>
    <w:rsid w:val="00A6509F"/>
    <w:rsid w:val="00A6530B"/>
    <w:rsid w:val="00A65422"/>
    <w:rsid w:val="00A65542"/>
    <w:rsid w:val="00A65902"/>
    <w:rsid w:val="00A65C0A"/>
    <w:rsid w:val="00A65DBA"/>
    <w:rsid w:val="00A665AE"/>
    <w:rsid w:val="00A66759"/>
    <w:rsid w:val="00A6688D"/>
    <w:rsid w:val="00A668EA"/>
    <w:rsid w:val="00A67735"/>
    <w:rsid w:val="00A678C5"/>
    <w:rsid w:val="00A6791B"/>
    <w:rsid w:val="00A679B3"/>
    <w:rsid w:val="00A67ED4"/>
    <w:rsid w:val="00A701CE"/>
    <w:rsid w:val="00A70347"/>
    <w:rsid w:val="00A70851"/>
    <w:rsid w:val="00A709B5"/>
    <w:rsid w:val="00A70E03"/>
    <w:rsid w:val="00A71216"/>
    <w:rsid w:val="00A7161B"/>
    <w:rsid w:val="00A71D9B"/>
    <w:rsid w:val="00A71E2A"/>
    <w:rsid w:val="00A71F73"/>
    <w:rsid w:val="00A72435"/>
    <w:rsid w:val="00A73027"/>
    <w:rsid w:val="00A731A1"/>
    <w:rsid w:val="00A73BCC"/>
    <w:rsid w:val="00A73CB8"/>
    <w:rsid w:val="00A73F37"/>
    <w:rsid w:val="00A73F4C"/>
    <w:rsid w:val="00A741A4"/>
    <w:rsid w:val="00A74926"/>
    <w:rsid w:val="00A74E3F"/>
    <w:rsid w:val="00A74F20"/>
    <w:rsid w:val="00A75330"/>
    <w:rsid w:val="00A7592A"/>
    <w:rsid w:val="00A75DBD"/>
    <w:rsid w:val="00A7649E"/>
    <w:rsid w:val="00A769FF"/>
    <w:rsid w:val="00A76B0F"/>
    <w:rsid w:val="00A77812"/>
    <w:rsid w:val="00A7781A"/>
    <w:rsid w:val="00A77A34"/>
    <w:rsid w:val="00A77E06"/>
    <w:rsid w:val="00A80291"/>
    <w:rsid w:val="00A805B8"/>
    <w:rsid w:val="00A80690"/>
    <w:rsid w:val="00A80739"/>
    <w:rsid w:val="00A809EC"/>
    <w:rsid w:val="00A80B31"/>
    <w:rsid w:val="00A80BA7"/>
    <w:rsid w:val="00A80E83"/>
    <w:rsid w:val="00A81121"/>
    <w:rsid w:val="00A817C6"/>
    <w:rsid w:val="00A81865"/>
    <w:rsid w:val="00A81F96"/>
    <w:rsid w:val="00A81FE7"/>
    <w:rsid w:val="00A82A9D"/>
    <w:rsid w:val="00A82E34"/>
    <w:rsid w:val="00A83376"/>
    <w:rsid w:val="00A83884"/>
    <w:rsid w:val="00A83A96"/>
    <w:rsid w:val="00A83B38"/>
    <w:rsid w:val="00A83FD6"/>
    <w:rsid w:val="00A83FFD"/>
    <w:rsid w:val="00A8408D"/>
    <w:rsid w:val="00A848A9"/>
    <w:rsid w:val="00A84B89"/>
    <w:rsid w:val="00A84C17"/>
    <w:rsid w:val="00A84C1F"/>
    <w:rsid w:val="00A84D4E"/>
    <w:rsid w:val="00A84DBE"/>
    <w:rsid w:val="00A84EE2"/>
    <w:rsid w:val="00A8519D"/>
    <w:rsid w:val="00A854B1"/>
    <w:rsid w:val="00A85529"/>
    <w:rsid w:val="00A86326"/>
    <w:rsid w:val="00A864D5"/>
    <w:rsid w:val="00A865C6"/>
    <w:rsid w:val="00A86834"/>
    <w:rsid w:val="00A874EE"/>
    <w:rsid w:val="00A876D9"/>
    <w:rsid w:val="00A905BC"/>
    <w:rsid w:val="00A90B15"/>
    <w:rsid w:val="00A911BC"/>
    <w:rsid w:val="00A914FB"/>
    <w:rsid w:val="00A916D0"/>
    <w:rsid w:val="00A9171C"/>
    <w:rsid w:val="00A91A1C"/>
    <w:rsid w:val="00A91E34"/>
    <w:rsid w:val="00A92A0B"/>
    <w:rsid w:val="00A92CD6"/>
    <w:rsid w:val="00A92FA0"/>
    <w:rsid w:val="00A937C3"/>
    <w:rsid w:val="00A93F77"/>
    <w:rsid w:val="00A944F4"/>
    <w:rsid w:val="00A94740"/>
    <w:rsid w:val="00A94791"/>
    <w:rsid w:val="00A94A38"/>
    <w:rsid w:val="00A94B83"/>
    <w:rsid w:val="00A94F05"/>
    <w:rsid w:val="00A94FCF"/>
    <w:rsid w:val="00A952C0"/>
    <w:rsid w:val="00A955B2"/>
    <w:rsid w:val="00A9576C"/>
    <w:rsid w:val="00A95AEA"/>
    <w:rsid w:val="00A95D20"/>
    <w:rsid w:val="00A95FE4"/>
    <w:rsid w:val="00A967FD"/>
    <w:rsid w:val="00A96AAD"/>
    <w:rsid w:val="00A96B23"/>
    <w:rsid w:val="00A96CE0"/>
    <w:rsid w:val="00A96E80"/>
    <w:rsid w:val="00A96EBC"/>
    <w:rsid w:val="00A96F38"/>
    <w:rsid w:val="00A96FD0"/>
    <w:rsid w:val="00A97319"/>
    <w:rsid w:val="00A97A6A"/>
    <w:rsid w:val="00A97F83"/>
    <w:rsid w:val="00AA0063"/>
    <w:rsid w:val="00AA04AC"/>
    <w:rsid w:val="00AA04FF"/>
    <w:rsid w:val="00AA0AE3"/>
    <w:rsid w:val="00AA0B50"/>
    <w:rsid w:val="00AA1209"/>
    <w:rsid w:val="00AA1C6D"/>
    <w:rsid w:val="00AA218C"/>
    <w:rsid w:val="00AA3066"/>
    <w:rsid w:val="00AA3585"/>
    <w:rsid w:val="00AA40F5"/>
    <w:rsid w:val="00AA40FD"/>
    <w:rsid w:val="00AA4227"/>
    <w:rsid w:val="00AA4583"/>
    <w:rsid w:val="00AA45E1"/>
    <w:rsid w:val="00AA471C"/>
    <w:rsid w:val="00AA4ABE"/>
    <w:rsid w:val="00AA4AC8"/>
    <w:rsid w:val="00AA4BE8"/>
    <w:rsid w:val="00AA4D9D"/>
    <w:rsid w:val="00AA4DB3"/>
    <w:rsid w:val="00AA4EC0"/>
    <w:rsid w:val="00AA5186"/>
    <w:rsid w:val="00AA5261"/>
    <w:rsid w:val="00AA5432"/>
    <w:rsid w:val="00AA55CE"/>
    <w:rsid w:val="00AA55DA"/>
    <w:rsid w:val="00AA59D7"/>
    <w:rsid w:val="00AA5BAB"/>
    <w:rsid w:val="00AA6764"/>
    <w:rsid w:val="00AA68CE"/>
    <w:rsid w:val="00AA6FFA"/>
    <w:rsid w:val="00AA7A78"/>
    <w:rsid w:val="00AB030A"/>
    <w:rsid w:val="00AB05D6"/>
    <w:rsid w:val="00AB0955"/>
    <w:rsid w:val="00AB09AD"/>
    <w:rsid w:val="00AB0BAA"/>
    <w:rsid w:val="00AB0C0A"/>
    <w:rsid w:val="00AB0D83"/>
    <w:rsid w:val="00AB17B9"/>
    <w:rsid w:val="00AB1E03"/>
    <w:rsid w:val="00AB2082"/>
    <w:rsid w:val="00AB2B44"/>
    <w:rsid w:val="00AB3442"/>
    <w:rsid w:val="00AB3466"/>
    <w:rsid w:val="00AB37A2"/>
    <w:rsid w:val="00AB44CE"/>
    <w:rsid w:val="00AB4B5B"/>
    <w:rsid w:val="00AB4BDF"/>
    <w:rsid w:val="00AB50E4"/>
    <w:rsid w:val="00AB540B"/>
    <w:rsid w:val="00AB586A"/>
    <w:rsid w:val="00AB5EFA"/>
    <w:rsid w:val="00AB6100"/>
    <w:rsid w:val="00AB61C3"/>
    <w:rsid w:val="00AB64B0"/>
    <w:rsid w:val="00AB65FB"/>
    <w:rsid w:val="00AB6EC2"/>
    <w:rsid w:val="00AB76F5"/>
    <w:rsid w:val="00AB776A"/>
    <w:rsid w:val="00AB7826"/>
    <w:rsid w:val="00AB7DE8"/>
    <w:rsid w:val="00AC0062"/>
    <w:rsid w:val="00AC0527"/>
    <w:rsid w:val="00AC0528"/>
    <w:rsid w:val="00AC0901"/>
    <w:rsid w:val="00AC0D49"/>
    <w:rsid w:val="00AC0E4D"/>
    <w:rsid w:val="00AC1179"/>
    <w:rsid w:val="00AC11E6"/>
    <w:rsid w:val="00AC12B7"/>
    <w:rsid w:val="00AC1844"/>
    <w:rsid w:val="00AC1AA6"/>
    <w:rsid w:val="00AC214B"/>
    <w:rsid w:val="00AC2283"/>
    <w:rsid w:val="00AC2446"/>
    <w:rsid w:val="00AC25E4"/>
    <w:rsid w:val="00AC2738"/>
    <w:rsid w:val="00AC27A9"/>
    <w:rsid w:val="00AC2883"/>
    <w:rsid w:val="00AC28F1"/>
    <w:rsid w:val="00AC29B4"/>
    <w:rsid w:val="00AC2BFF"/>
    <w:rsid w:val="00AC2F25"/>
    <w:rsid w:val="00AC32AC"/>
    <w:rsid w:val="00AC32E2"/>
    <w:rsid w:val="00AC3BAF"/>
    <w:rsid w:val="00AC3C8D"/>
    <w:rsid w:val="00AC3CEA"/>
    <w:rsid w:val="00AC45FD"/>
    <w:rsid w:val="00AC47D6"/>
    <w:rsid w:val="00AC4956"/>
    <w:rsid w:val="00AC4BE4"/>
    <w:rsid w:val="00AC57E6"/>
    <w:rsid w:val="00AC604B"/>
    <w:rsid w:val="00AC61E6"/>
    <w:rsid w:val="00AC6538"/>
    <w:rsid w:val="00AC654E"/>
    <w:rsid w:val="00AC6B95"/>
    <w:rsid w:val="00AC6F25"/>
    <w:rsid w:val="00AC752E"/>
    <w:rsid w:val="00AC769E"/>
    <w:rsid w:val="00AC76C9"/>
    <w:rsid w:val="00AC774B"/>
    <w:rsid w:val="00AC7B1E"/>
    <w:rsid w:val="00AC7D85"/>
    <w:rsid w:val="00AD0004"/>
    <w:rsid w:val="00AD142A"/>
    <w:rsid w:val="00AD193E"/>
    <w:rsid w:val="00AD2438"/>
    <w:rsid w:val="00AD2D7C"/>
    <w:rsid w:val="00AD3050"/>
    <w:rsid w:val="00AD3217"/>
    <w:rsid w:val="00AD37E2"/>
    <w:rsid w:val="00AD3A62"/>
    <w:rsid w:val="00AD4B59"/>
    <w:rsid w:val="00AD4C04"/>
    <w:rsid w:val="00AD4E17"/>
    <w:rsid w:val="00AD54C2"/>
    <w:rsid w:val="00AD5DA6"/>
    <w:rsid w:val="00AD5DE3"/>
    <w:rsid w:val="00AD5F54"/>
    <w:rsid w:val="00AD621E"/>
    <w:rsid w:val="00AD6271"/>
    <w:rsid w:val="00AD6399"/>
    <w:rsid w:val="00AD655D"/>
    <w:rsid w:val="00AD678B"/>
    <w:rsid w:val="00AD6D60"/>
    <w:rsid w:val="00AD6F0F"/>
    <w:rsid w:val="00AD772C"/>
    <w:rsid w:val="00AD7CCF"/>
    <w:rsid w:val="00AD7D68"/>
    <w:rsid w:val="00AE07E1"/>
    <w:rsid w:val="00AE0968"/>
    <w:rsid w:val="00AE09B2"/>
    <w:rsid w:val="00AE0D32"/>
    <w:rsid w:val="00AE1416"/>
    <w:rsid w:val="00AE1C94"/>
    <w:rsid w:val="00AE1DBC"/>
    <w:rsid w:val="00AE247F"/>
    <w:rsid w:val="00AE24EB"/>
    <w:rsid w:val="00AE3446"/>
    <w:rsid w:val="00AE3464"/>
    <w:rsid w:val="00AE3E5E"/>
    <w:rsid w:val="00AE42E5"/>
    <w:rsid w:val="00AE4398"/>
    <w:rsid w:val="00AE4807"/>
    <w:rsid w:val="00AE48E9"/>
    <w:rsid w:val="00AE4B1F"/>
    <w:rsid w:val="00AE4C26"/>
    <w:rsid w:val="00AE53C9"/>
    <w:rsid w:val="00AE5B6A"/>
    <w:rsid w:val="00AE61DD"/>
    <w:rsid w:val="00AE64D6"/>
    <w:rsid w:val="00AE6A13"/>
    <w:rsid w:val="00AE6A38"/>
    <w:rsid w:val="00AE7871"/>
    <w:rsid w:val="00AF0553"/>
    <w:rsid w:val="00AF0B0C"/>
    <w:rsid w:val="00AF0F9C"/>
    <w:rsid w:val="00AF1518"/>
    <w:rsid w:val="00AF1D37"/>
    <w:rsid w:val="00AF2180"/>
    <w:rsid w:val="00AF2224"/>
    <w:rsid w:val="00AF2900"/>
    <w:rsid w:val="00AF296C"/>
    <w:rsid w:val="00AF2A4B"/>
    <w:rsid w:val="00AF31C5"/>
    <w:rsid w:val="00AF3C16"/>
    <w:rsid w:val="00AF4785"/>
    <w:rsid w:val="00AF5463"/>
    <w:rsid w:val="00AF587C"/>
    <w:rsid w:val="00AF593C"/>
    <w:rsid w:val="00AF5974"/>
    <w:rsid w:val="00AF5C92"/>
    <w:rsid w:val="00AF5D8F"/>
    <w:rsid w:val="00AF5DD7"/>
    <w:rsid w:val="00AF5DED"/>
    <w:rsid w:val="00AF64B4"/>
    <w:rsid w:val="00AF68D8"/>
    <w:rsid w:val="00AF74E9"/>
    <w:rsid w:val="00AF7920"/>
    <w:rsid w:val="00AF7BDE"/>
    <w:rsid w:val="00AF7E23"/>
    <w:rsid w:val="00B005A1"/>
    <w:rsid w:val="00B00908"/>
    <w:rsid w:val="00B00B3D"/>
    <w:rsid w:val="00B00B5F"/>
    <w:rsid w:val="00B00CFD"/>
    <w:rsid w:val="00B012F3"/>
    <w:rsid w:val="00B019B2"/>
    <w:rsid w:val="00B01A55"/>
    <w:rsid w:val="00B01B06"/>
    <w:rsid w:val="00B01C47"/>
    <w:rsid w:val="00B01FE7"/>
    <w:rsid w:val="00B02477"/>
    <w:rsid w:val="00B02645"/>
    <w:rsid w:val="00B02912"/>
    <w:rsid w:val="00B02F9A"/>
    <w:rsid w:val="00B031DC"/>
    <w:rsid w:val="00B033F9"/>
    <w:rsid w:val="00B036EB"/>
    <w:rsid w:val="00B03A8D"/>
    <w:rsid w:val="00B03BA7"/>
    <w:rsid w:val="00B03F09"/>
    <w:rsid w:val="00B0421B"/>
    <w:rsid w:val="00B049B8"/>
    <w:rsid w:val="00B04BDA"/>
    <w:rsid w:val="00B04BE3"/>
    <w:rsid w:val="00B057B3"/>
    <w:rsid w:val="00B05AED"/>
    <w:rsid w:val="00B05AF6"/>
    <w:rsid w:val="00B06874"/>
    <w:rsid w:val="00B06EBE"/>
    <w:rsid w:val="00B06F89"/>
    <w:rsid w:val="00B0744B"/>
    <w:rsid w:val="00B076DF"/>
    <w:rsid w:val="00B078E3"/>
    <w:rsid w:val="00B10222"/>
    <w:rsid w:val="00B1068A"/>
    <w:rsid w:val="00B10C36"/>
    <w:rsid w:val="00B10EA8"/>
    <w:rsid w:val="00B10FEE"/>
    <w:rsid w:val="00B10FF7"/>
    <w:rsid w:val="00B1170E"/>
    <w:rsid w:val="00B11E59"/>
    <w:rsid w:val="00B1270F"/>
    <w:rsid w:val="00B127E4"/>
    <w:rsid w:val="00B13231"/>
    <w:rsid w:val="00B13265"/>
    <w:rsid w:val="00B134B7"/>
    <w:rsid w:val="00B1373A"/>
    <w:rsid w:val="00B13B4E"/>
    <w:rsid w:val="00B146FB"/>
    <w:rsid w:val="00B14D97"/>
    <w:rsid w:val="00B1561F"/>
    <w:rsid w:val="00B1587E"/>
    <w:rsid w:val="00B15C3D"/>
    <w:rsid w:val="00B15DB6"/>
    <w:rsid w:val="00B15EE2"/>
    <w:rsid w:val="00B1617E"/>
    <w:rsid w:val="00B163D5"/>
    <w:rsid w:val="00B1698D"/>
    <w:rsid w:val="00B16F84"/>
    <w:rsid w:val="00B171BB"/>
    <w:rsid w:val="00B17641"/>
    <w:rsid w:val="00B17B22"/>
    <w:rsid w:val="00B2032D"/>
    <w:rsid w:val="00B20493"/>
    <w:rsid w:val="00B20892"/>
    <w:rsid w:val="00B2123F"/>
    <w:rsid w:val="00B2155A"/>
    <w:rsid w:val="00B21584"/>
    <w:rsid w:val="00B21A27"/>
    <w:rsid w:val="00B225B1"/>
    <w:rsid w:val="00B230BA"/>
    <w:rsid w:val="00B231EC"/>
    <w:rsid w:val="00B23691"/>
    <w:rsid w:val="00B23882"/>
    <w:rsid w:val="00B239C5"/>
    <w:rsid w:val="00B23DA7"/>
    <w:rsid w:val="00B243F6"/>
    <w:rsid w:val="00B24461"/>
    <w:rsid w:val="00B246CC"/>
    <w:rsid w:val="00B24F3C"/>
    <w:rsid w:val="00B25100"/>
    <w:rsid w:val="00B26068"/>
    <w:rsid w:val="00B2636B"/>
    <w:rsid w:val="00B27504"/>
    <w:rsid w:val="00B27BF9"/>
    <w:rsid w:val="00B30372"/>
    <w:rsid w:val="00B30700"/>
    <w:rsid w:val="00B315DF"/>
    <w:rsid w:val="00B318C2"/>
    <w:rsid w:val="00B31962"/>
    <w:rsid w:val="00B31B6B"/>
    <w:rsid w:val="00B31EA5"/>
    <w:rsid w:val="00B322B6"/>
    <w:rsid w:val="00B325A4"/>
    <w:rsid w:val="00B32BF9"/>
    <w:rsid w:val="00B33C5A"/>
    <w:rsid w:val="00B340ED"/>
    <w:rsid w:val="00B34F3E"/>
    <w:rsid w:val="00B3514C"/>
    <w:rsid w:val="00B3520C"/>
    <w:rsid w:val="00B3538E"/>
    <w:rsid w:val="00B3552D"/>
    <w:rsid w:val="00B359E0"/>
    <w:rsid w:val="00B361FF"/>
    <w:rsid w:val="00B3620E"/>
    <w:rsid w:val="00B3691A"/>
    <w:rsid w:val="00B36E62"/>
    <w:rsid w:val="00B36F86"/>
    <w:rsid w:val="00B36F90"/>
    <w:rsid w:val="00B37012"/>
    <w:rsid w:val="00B378D2"/>
    <w:rsid w:val="00B37A44"/>
    <w:rsid w:val="00B40546"/>
    <w:rsid w:val="00B408D1"/>
    <w:rsid w:val="00B40C0D"/>
    <w:rsid w:val="00B4151F"/>
    <w:rsid w:val="00B415CF"/>
    <w:rsid w:val="00B422F2"/>
    <w:rsid w:val="00B42456"/>
    <w:rsid w:val="00B42A84"/>
    <w:rsid w:val="00B42BA1"/>
    <w:rsid w:val="00B42CD2"/>
    <w:rsid w:val="00B42DF4"/>
    <w:rsid w:val="00B42F77"/>
    <w:rsid w:val="00B4355E"/>
    <w:rsid w:val="00B438E0"/>
    <w:rsid w:val="00B443A4"/>
    <w:rsid w:val="00B4524E"/>
    <w:rsid w:val="00B4579B"/>
    <w:rsid w:val="00B459FC"/>
    <w:rsid w:val="00B45D6E"/>
    <w:rsid w:val="00B4639F"/>
    <w:rsid w:val="00B46772"/>
    <w:rsid w:val="00B46BCE"/>
    <w:rsid w:val="00B46BE4"/>
    <w:rsid w:val="00B46EF2"/>
    <w:rsid w:val="00B47C03"/>
    <w:rsid w:val="00B47E4A"/>
    <w:rsid w:val="00B47F88"/>
    <w:rsid w:val="00B501D2"/>
    <w:rsid w:val="00B50977"/>
    <w:rsid w:val="00B50D98"/>
    <w:rsid w:val="00B50ED0"/>
    <w:rsid w:val="00B51189"/>
    <w:rsid w:val="00B51331"/>
    <w:rsid w:val="00B519D8"/>
    <w:rsid w:val="00B51A4B"/>
    <w:rsid w:val="00B51F57"/>
    <w:rsid w:val="00B51F97"/>
    <w:rsid w:val="00B520DB"/>
    <w:rsid w:val="00B52183"/>
    <w:rsid w:val="00B52282"/>
    <w:rsid w:val="00B5252D"/>
    <w:rsid w:val="00B53C93"/>
    <w:rsid w:val="00B53D0C"/>
    <w:rsid w:val="00B53DDD"/>
    <w:rsid w:val="00B5405B"/>
    <w:rsid w:val="00B543F4"/>
    <w:rsid w:val="00B54694"/>
    <w:rsid w:val="00B54AA9"/>
    <w:rsid w:val="00B54CB2"/>
    <w:rsid w:val="00B54D38"/>
    <w:rsid w:val="00B551F8"/>
    <w:rsid w:val="00B5551E"/>
    <w:rsid w:val="00B55944"/>
    <w:rsid w:val="00B57227"/>
    <w:rsid w:val="00B601CC"/>
    <w:rsid w:val="00B602C2"/>
    <w:rsid w:val="00B605F1"/>
    <w:rsid w:val="00B60C20"/>
    <w:rsid w:val="00B60D17"/>
    <w:rsid w:val="00B60FD7"/>
    <w:rsid w:val="00B61505"/>
    <w:rsid w:val="00B62121"/>
    <w:rsid w:val="00B6241A"/>
    <w:rsid w:val="00B624EF"/>
    <w:rsid w:val="00B62E39"/>
    <w:rsid w:val="00B63192"/>
    <w:rsid w:val="00B63241"/>
    <w:rsid w:val="00B63505"/>
    <w:rsid w:val="00B63B48"/>
    <w:rsid w:val="00B63B5F"/>
    <w:rsid w:val="00B63BEA"/>
    <w:rsid w:val="00B63D17"/>
    <w:rsid w:val="00B642D2"/>
    <w:rsid w:val="00B64431"/>
    <w:rsid w:val="00B64907"/>
    <w:rsid w:val="00B6509F"/>
    <w:rsid w:val="00B65281"/>
    <w:rsid w:val="00B66083"/>
    <w:rsid w:val="00B6608B"/>
    <w:rsid w:val="00B663F7"/>
    <w:rsid w:val="00B6658C"/>
    <w:rsid w:val="00B666D0"/>
    <w:rsid w:val="00B66AAF"/>
    <w:rsid w:val="00B67391"/>
    <w:rsid w:val="00B673E4"/>
    <w:rsid w:val="00B673EF"/>
    <w:rsid w:val="00B67788"/>
    <w:rsid w:val="00B677DC"/>
    <w:rsid w:val="00B6791C"/>
    <w:rsid w:val="00B67E11"/>
    <w:rsid w:val="00B701C4"/>
    <w:rsid w:val="00B701D0"/>
    <w:rsid w:val="00B705C0"/>
    <w:rsid w:val="00B706D1"/>
    <w:rsid w:val="00B70757"/>
    <w:rsid w:val="00B7085D"/>
    <w:rsid w:val="00B70A29"/>
    <w:rsid w:val="00B70E01"/>
    <w:rsid w:val="00B7109C"/>
    <w:rsid w:val="00B7130E"/>
    <w:rsid w:val="00B71674"/>
    <w:rsid w:val="00B71CB4"/>
    <w:rsid w:val="00B71E8E"/>
    <w:rsid w:val="00B721D1"/>
    <w:rsid w:val="00B72396"/>
    <w:rsid w:val="00B72628"/>
    <w:rsid w:val="00B72BE9"/>
    <w:rsid w:val="00B73105"/>
    <w:rsid w:val="00B73781"/>
    <w:rsid w:val="00B737E8"/>
    <w:rsid w:val="00B73969"/>
    <w:rsid w:val="00B73A18"/>
    <w:rsid w:val="00B73E0E"/>
    <w:rsid w:val="00B74072"/>
    <w:rsid w:val="00B74C00"/>
    <w:rsid w:val="00B752E7"/>
    <w:rsid w:val="00B75526"/>
    <w:rsid w:val="00B75C09"/>
    <w:rsid w:val="00B75E11"/>
    <w:rsid w:val="00B75EE9"/>
    <w:rsid w:val="00B7608F"/>
    <w:rsid w:val="00B762F9"/>
    <w:rsid w:val="00B76711"/>
    <w:rsid w:val="00B76AB8"/>
    <w:rsid w:val="00B76E0B"/>
    <w:rsid w:val="00B77105"/>
    <w:rsid w:val="00B774F5"/>
    <w:rsid w:val="00B77588"/>
    <w:rsid w:val="00B77AF5"/>
    <w:rsid w:val="00B77D54"/>
    <w:rsid w:val="00B77DE7"/>
    <w:rsid w:val="00B800C1"/>
    <w:rsid w:val="00B802A9"/>
    <w:rsid w:val="00B8067D"/>
    <w:rsid w:val="00B806A9"/>
    <w:rsid w:val="00B80E66"/>
    <w:rsid w:val="00B80FD2"/>
    <w:rsid w:val="00B81BDF"/>
    <w:rsid w:val="00B828DC"/>
    <w:rsid w:val="00B82A1F"/>
    <w:rsid w:val="00B82B04"/>
    <w:rsid w:val="00B839B7"/>
    <w:rsid w:val="00B83C5B"/>
    <w:rsid w:val="00B83C80"/>
    <w:rsid w:val="00B83D91"/>
    <w:rsid w:val="00B84150"/>
    <w:rsid w:val="00B847CA"/>
    <w:rsid w:val="00B84919"/>
    <w:rsid w:val="00B84AA4"/>
    <w:rsid w:val="00B84DB4"/>
    <w:rsid w:val="00B85DF5"/>
    <w:rsid w:val="00B85F68"/>
    <w:rsid w:val="00B86049"/>
    <w:rsid w:val="00B86190"/>
    <w:rsid w:val="00B862B7"/>
    <w:rsid w:val="00B863F1"/>
    <w:rsid w:val="00B86A09"/>
    <w:rsid w:val="00B87544"/>
    <w:rsid w:val="00B879C9"/>
    <w:rsid w:val="00B87C38"/>
    <w:rsid w:val="00B87D41"/>
    <w:rsid w:val="00B90056"/>
    <w:rsid w:val="00B900E4"/>
    <w:rsid w:val="00B906B7"/>
    <w:rsid w:val="00B9089B"/>
    <w:rsid w:val="00B90915"/>
    <w:rsid w:val="00B910AF"/>
    <w:rsid w:val="00B916A8"/>
    <w:rsid w:val="00B91A77"/>
    <w:rsid w:val="00B91FB4"/>
    <w:rsid w:val="00B923DB"/>
    <w:rsid w:val="00B9259C"/>
    <w:rsid w:val="00B92644"/>
    <w:rsid w:val="00B92979"/>
    <w:rsid w:val="00B92A01"/>
    <w:rsid w:val="00B92A26"/>
    <w:rsid w:val="00B932FD"/>
    <w:rsid w:val="00B93B0B"/>
    <w:rsid w:val="00B94745"/>
    <w:rsid w:val="00B94A77"/>
    <w:rsid w:val="00B951AF"/>
    <w:rsid w:val="00B952BA"/>
    <w:rsid w:val="00B95A0C"/>
    <w:rsid w:val="00B96141"/>
    <w:rsid w:val="00B96B16"/>
    <w:rsid w:val="00BA0354"/>
    <w:rsid w:val="00BA0706"/>
    <w:rsid w:val="00BA1287"/>
    <w:rsid w:val="00BA1415"/>
    <w:rsid w:val="00BA18C9"/>
    <w:rsid w:val="00BA1F62"/>
    <w:rsid w:val="00BA224C"/>
    <w:rsid w:val="00BA2286"/>
    <w:rsid w:val="00BA2FDA"/>
    <w:rsid w:val="00BA373A"/>
    <w:rsid w:val="00BA3A4D"/>
    <w:rsid w:val="00BA4345"/>
    <w:rsid w:val="00BA4386"/>
    <w:rsid w:val="00BA439F"/>
    <w:rsid w:val="00BA45AE"/>
    <w:rsid w:val="00BA4898"/>
    <w:rsid w:val="00BA4BA2"/>
    <w:rsid w:val="00BA4CC3"/>
    <w:rsid w:val="00BA4F4A"/>
    <w:rsid w:val="00BA4F83"/>
    <w:rsid w:val="00BA5227"/>
    <w:rsid w:val="00BA5B85"/>
    <w:rsid w:val="00BA5C91"/>
    <w:rsid w:val="00BA5EFF"/>
    <w:rsid w:val="00BA5F3F"/>
    <w:rsid w:val="00BA5F89"/>
    <w:rsid w:val="00BA6129"/>
    <w:rsid w:val="00BA6A43"/>
    <w:rsid w:val="00BA71C7"/>
    <w:rsid w:val="00BA726F"/>
    <w:rsid w:val="00BA7745"/>
    <w:rsid w:val="00BA77C5"/>
    <w:rsid w:val="00BA7B9B"/>
    <w:rsid w:val="00BA7E74"/>
    <w:rsid w:val="00BA7F31"/>
    <w:rsid w:val="00BB0446"/>
    <w:rsid w:val="00BB061B"/>
    <w:rsid w:val="00BB06E3"/>
    <w:rsid w:val="00BB14AE"/>
    <w:rsid w:val="00BB2023"/>
    <w:rsid w:val="00BB20BE"/>
    <w:rsid w:val="00BB23D2"/>
    <w:rsid w:val="00BB24F1"/>
    <w:rsid w:val="00BB2A6B"/>
    <w:rsid w:val="00BB2EC3"/>
    <w:rsid w:val="00BB3754"/>
    <w:rsid w:val="00BB38B2"/>
    <w:rsid w:val="00BB3A0C"/>
    <w:rsid w:val="00BB43D8"/>
    <w:rsid w:val="00BB4A0C"/>
    <w:rsid w:val="00BB4A2E"/>
    <w:rsid w:val="00BB4BB3"/>
    <w:rsid w:val="00BB505F"/>
    <w:rsid w:val="00BB5ACC"/>
    <w:rsid w:val="00BB5E53"/>
    <w:rsid w:val="00BB6318"/>
    <w:rsid w:val="00BB6515"/>
    <w:rsid w:val="00BB667F"/>
    <w:rsid w:val="00BB702E"/>
    <w:rsid w:val="00BB76B5"/>
    <w:rsid w:val="00BB79A5"/>
    <w:rsid w:val="00BB7AC7"/>
    <w:rsid w:val="00BB7B14"/>
    <w:rsid w:val="00BB7E6A"/>
    <w:rsid w:val="00BC02DD"/>
    <w:rsid w:val="00BC094D"/>
    <w:rsid w:val="00BC09DF"/>
    <w:rsid w:val="00BC11D8"/>
    <w:rsid w:val="00BC1911"/>
    <w:rsid w:val="00BC2055"/>
    <w:rsid w:val="00BC2241"/>
    <w:rsid w:val="00BC26AF"/>
    <w:rsid w:val="00BC2D43"/>
    <w:rsid w:val="00BC2FBA"/>
    <w:rsid w:val="00BC30F3"/>
    <w:rsid w:val="00BC33B7"/>
    <w:rsid w:val="00BC33B8"/>
    <w:rsid w:val="00BC3430"/>
    <w:rsid w:val="00BC34FD"/>
    <w:rsid w:val="00BC3A6A"/>
    <w:rsid w:val="00BC4063"/>
    <w:rsid w:val="00BC42B7"/>
    <w:rsid w:val="00BC45E0"/>
    <w:rsid w:val="00BC4ACF"/>
    <w:rsid w:val="00BC4B37"/>
    <w:rsid w:val="00BC528D"/>
    <w:rsid w:val="00BC546F"/>
    <w:rsid w:val="00BC5A26"/>
    <w:rsid w:val="00BC5BBD"/>
    <w:rsid w:val="00BC5ED9"/>
    <w:rsid w:val="00BC5F82"/>
    <w:rsid w:val="00BC60DD"/>
    <w:rsid w:val="00BC690D"/>
    <w:rsid w:val="00BC699E"/>
    <w:rsid w:val="00BC7391"/>
    <w:rsid w:val="00BC7663"/>
    <w:rsid w:val="00BC79B4"/>
    <w:rsid w:val="00BD0E02"/>
    <w:rsid w:val="00BD2551"/>
    <w:rsid w:val="00BD2770"/>
    <w:rsid w:val="00BD29D9"/>
    <w:rsid w:val="00BD3358"/>
    <w:rsid w:val="00BD3B13"/>
    <w:rsid w:val="00BD3C99"/>
    <w:rsid w:val="00BD40A7"/>
    <w:rsid w:val="00BD4C25"/>
    <w:rsid w:val="00BD4F97"/>
    <w:rsid w:val="00BD5389"/>
    <w:rsid w:val="00BD5733"/>
    <w:rsid w:val="00BD5AC7"/>
    <w:rsid w:val="00BD5C4D"/>
    <w:rsid w:val="00BD62B9"/>
    <w:rsid w:val="00BD6460"/>
    <w:rsid w:val="00BD6B01"/>
    <w:rsid w:val="00BD6C64"/>
    <w:rsid w:val="00BD6DBB"/>
    <w:rsid w:val="00BD6DBD"/>
    <w:rsid w:val="00BD6DF7"/>
    <w:rsid w:val="00BD755E"/>
    <w:rsid w:val="00BD7F4A"/>
    <w:rsid w:val="00BD7FED"/>
    <w:rsid w:val="00BE01EA"/>
    <w:rsid w:val="00BE0D73"/>
    <w:rsid w:val="00BE0F72"/>
    <w:rsid w:val="00BE173E"/>
    <w:rsid w:val="00BE1BCA"/>
    <w:rsid w:val="00BE1C06"/>
    <w:rsid w:val="00BE1C32"/>
    <w:rsid w:val="00BE1CD6"/>
    <w:rsid w:val="00BE1DA0"/>
    <w:rsid w:val="00BE1EDA"/>
    <w:rsid w:val="00BE2E70"/>
    <w:rsid w:val="00BE3D9F"/>
    <w:rsid w:val="00BE4576"/>
    <w:rsid w:val="00BE47DF"/>
    <w:rsid w:val="00BE4FCF"/>
    <w:rsid w:val="00BE527E"/>
    <w:rsid w:val="00BE537F"/>
    <w:rsid w:val="00BE55CE"/>
    <w:rsid w:val="00BE60EF"/>
    <w:rsid w:val="00BE6301"/>
    <w:rsid w:val="00BE64FD"/>
    <w:rsid w:val="00BE6BC6"/>
    <w:rsid w:val="00BE6C05"/>
    <w:rsid w:val="00BE6DE3"/>
    <w:rsid w:val="00BE7068"/>
    <w:rsid w:val="00BE749E"/>
    <w:rsid w:val="00BE7699"/>
    <w:rsid w:val="00BE7B91"/>
    <w:rsid w:val="00BE7EA6"/>
    <w:rsid w:val="00BF0156"/>
    <w:rsid w:val="00BF01FD"/>
    <w:rsid w:val="00BF0510"/>
    <w:rsid w:val="00BF1059"/>
    <w:rsid w:val="00BF1518"/>
    <w:rsid w:val="00BF1B33"/>
    <w:rsid w:val="00BF1C3A"/>
    <w:rsid w:val="00BF250E"/>
    <w:rsid w:val="00BF2782"/>
    <w:rsid w:val="00BF27D4"/>
    <w:rsid w:val="00BF27ED"/>
    <w:rsid w:val="00BF28E8"/>
    <w:rsid w:val="00BF30BE"/>
    <w:rsid w:val="00BF3165"/>
    <w:rsid w:val="00BF377E"/>
    <w:rsid w:val="00BF3C92"/>
    <w:rsid w:val="00BF3CD2"/>
    <w:rsid w:val="00BF3E4C"/>
    <w:rsid w:val="00BF4D43"/>
    <w:rsid w:val="00BF614D"/>
    <w:rsid w:val="00BF6FFC"/>
    <w:rsid w:val="00BF7279"/>
    <w:rsid w:val="00BF7349"/>
    <w:rsid w:val="00BF765D"/>
    <w:rsid w:val="00BF7797"/>
    <w:rsid w:val="00BF77FC"/>
    <w:rsid w:val="00BF7971"/>
    <w:rsid w:val="00C001DB"/>
    <w:rsid w:val="00C00F39"/>
    <w:rsid w:val="00C01049"/>
    <w:rsid w:val="00C0162F"/>
    <w:rsid w:val="00C019AE"/>
    <w:rsid w:val="00C01AAD"/>
    <w:rsid w:val="00C020BE"/>
    <w:rsid w:val="00C026DD"/>
    <w:rsid w:val="00C027CA"/>
    <w:rsid w:val="00C02E60"/>
    <w:rsid w:val="00C03394"/>
    <w:rsid w:val="00C03793"/>
    <w:rsid w:val="00C03DBD"/>
    <w:rsid w:val="00C03FCC"/>
    <w:rsid w:val="00C043E2"/>
    <w:rsid w:val="00C04490"/>
    <w:rsid w:val="00C0490B"/>
    <w:rsid w:val="00C0496D"/>
    <w:rsid w:val="00C04BFE"/>
    <w:rsid w:val="00C0533E"/>
    <w:rsid w:val="00C063F5"/>
    <w:rsid w:val="00C06810"/>
    <w:rsid w:val="00C06939"/>
    <w:rsid w:val="00C06C17"/>
    <w:rsid w:val="00C06D3A"/>
    <w:rsid w:val="00C06F61"/>
    <w:rsid w:val="00C06FD8"/>
    <w:rsid w:val="00C070F4"/>
    <w:rsid w:val="00C071F7"/>
    <w:rsid w:val="00C073BF"/>
    <w:rsid w:val="00C0741B"/>
    <w:rsid w:val="00C074CA"/>
    <w:rsid w:val="00C0755A"/>
    <w:rsid w:val="00C075F2"/>
    <w:rsid w:val="00C07741"/>
    <w:rsid w:val="00C07856"/>
    <w:rsid w:val="00C07B4C"/>
    <w:rsid w:val="00C07BC5"/>
    <w:rsid w:val="00C07C93"/>
    <w:rsid w:val="00C10206"/>
    <w:rsid w:val="00C10450"/>
    <w:rsid w:val="00C10A5F"/>
    <w:rsid w:val="00C10AA9"/>
    <w:rsid w:val="00C10DF5"/>
    <w:rsid w:val="00C10E76"/>
    <w:rsid w:val="00C10ED7"/>
    <w:rsid w:val="00C10F05"/>
    <w:rsid w:val="00C11328"/>
    <w:rsid w:val="00C115BD"/>
    <w:rsid w:val="00C126BE"/>
    <w:rsid w:val="00C1270D"/>
    <w:rsid w:val="00C12923"/>
    <w:rsid w:val="00C12B00"/>
    <w:rsid w:val="00C12F48"/>
    <w:rsid w:val="00C131E6"/>
    <w:rsid w:val="00C13452"/>
    <w:rsid w:val="00C13B07"/>
    <w:rsid w:val="00C13B24"/>
    <w:rsid w:val="00C1445E"/>
    <w:rsid w:val="00C145BC"/>
    <w:rsid w:val="00C1491B"/>
    <w:rsid w:val="00C14B7D"/>
    <w:rsid w:val="00C14C14"/>
    <w:rsid w:val="00C160AE"/>
    <w:rsid w:val="00C161D8"/>
    <w:rsid w:val="00C1687B"/>
    <w:rsid w:val="00C16B60"/>
    <w:rsid w:val="00C16BBF"/>
    <w:rsid w:val="00C173BF"/>
    <w:rsid w:val="00C1783B"/>
    <w:rsid w:val="00C178C9"/>
    <w:rsid w:val="00C2000C"/>
    <w:rsid w:val="00C20237"/>
    <w:rsid w:val="00C2028E"/>
    <w:rsid w:val="00C209AD"/>
    <w:rsid w:val="00C20C65"/>
    <w:rsid w:val="00C21048"/>
    <w:rsid w:val="00C210F2"/>
    <w:rsid w:val="00C212F1"/>
    <w:rsid w:val="00C21314"/>
    <w:rsid w:val="00C213BE"/>
    <w:rsid w:val="00C215EB"/>
    <w:rsid w:val="00C2219D"/>
    <w:rsid w:val="00C22212"/>
    <w:rsid w:val="00C22553"/>
    <w:rsid w:val="00C22922"/>
    <w:rsid w:val="00C22C60"/>
    <w:rsid w:val="00C23531"/>
    <w:rsid w:val="00C24374"/>
    <w:rsid w:val="00C2464C"/>
    <w:rsid w:val="00C2484A"/>
    <w:rsid w:val="00C24936"/>
    <w:rsid w:val="00C24B36"/>
    <w:rsid w:val="00C24E62"/>
    <w:rsid w:val="00C250E2"/>
    <w:rsid w:val="00C2583C"/>
    <w:rsid w:val="00C26840"/>
    <w:rsid w:val="00C2727E"/>
    <w:rsid w:val="00C2734A"/>
    <w:rsid w:val="00C274AC"/>
    <w:rsid w:val="00C27812"/>
    <w:rsid w:val="00C27AB5"/>
    <w:rsid w:val="00C27C9B"/>
    <w:rsid w:val="00C27E3E"/>
    <w:rsid w:val="00C27FBD"/>
    <w:rsid w:val="00C31FE4"/>
    <w:rsid w:val="00C32A26"/>
    <w:rsid w:val="00C32F4E"/>
    <w:rsid w:val="00C32FFA"/>
    <w:rsid w:val="00C333B6"/>
    <w:rsid w:val="00C33670"/>
    <w:rsid w:val="00C33FD2"/>
    <w:rsid w:val="00C34C84"/>
    <w:rsid w:val="00C351F5"/>
    <w:rsid w:val="00C35775"/>
    <w:rsid w:val="00C35B3C"/>
    <w:rsid w:val="00C35B5B"/>
    <w:rsid w:val="00C363F1"/>
    <w:rsid w:val="00C37051"/>
    <w:rsid w:val="00C3716B"/>
    <w:rsid w:val="00C37430"/>
    <w:rsid w:val="00C37F21"/>
    <w:rsid w:val="00C37FE7"/>
    <w:rsid w:val="00C400FE"/>
    <w:rsid w:val="00C406D9"/>
    <w:rsid w:val="00C4088A"/>
    <w:rsid w:val="00C40BD1"/>
    <w:rsid w:val="00C41132"/>
    <w:rsid w:val="00C41145"/>
    <w:rsid w:val="00C413D4"/>
    <w:rsid w:val="00C414E5"/>
    <w:rsid w:val="00C415BA"/>
    <w:rsid w:val="00C41C92"/>
    <w:rsid w:val="00C42D34"/>
    <w:rsid w:val="00C4339E"/>
    <w:rsid w:val="00C445E5"/>
    <w:rsid w:val="00C44EEF"/>
    <w:rsid w:val="00C450F0"/>
    <w:rsid w:val="00C4530C"/>
    <w:rsid w:val="00C4544C"/>
    <w:rsid w:val="00C45518"/>
    <w:rsid w:val="00C459B5"/>
    <w:rsid w:val="00C45CDF"/>
    <w:rsid w:val="00C463D5"/>
    <w:rsid w:val="00C467E0"/>
    <w:rsid w:val="00C46D3B"/>
    <w:rsid w:val="00C46DF0"/>
    <w:rsid w:val="00C478D9"/>
    <w:rsid w:val="00C479B3"/>
    <w:rsid w:val="00C500CC"/>
    <w:rsid w:val="00C500E7"/>
    <w:rsid w:val="00C5015F"/>
    <w:rsid w:val="00C504A5"/>
    <w:rsid w:val="00C5060C"/>
    <w:rsid w:val="00C507A8"/>
    <w:rsid w:val="00C51873"/>
    <w:rsid w:val="00C51A4E"/>
    <w:rsid w:val="00C52154"/>
    <w:rsid w:val="00C527F8"/>
    <w:rsid w:val="00C5288A"/>
    <w:rsid w:val="00C52C54"/>
    <w:rsid w:val="00C52C59"/>
    <w:rsid w:val="00C52FE5"/>
    <w:rsid w:val="00C53138"/>
    <w:rsid w:val="00C53ADD"/>
    <w:rsid w:val="00C53B31"/>
    <w:rsid w:val="00C53D42"/>
    <w:rsid w:val="00C53E17"/>
    <w:rsid w:val="00C53EE2"/>
    <w:rsid w:val="00C53FE6"/>
    <w:rsid w:val="00C540E0"/>
    <w:rsid w:val="00C546DF"/>
    <w:rsid w:val="00C54741"/>
    <w:rsid w:val="00C54D90"/>
    <w:rsid w:val="00C551D6"/>
    <w:rsid w:val="00C55B57"/>
    <w:rsid w:val="00C56412"/>
    <w:rsid w:val="00C5658A"/>
    <w:rsid w:val="00C56861"/>
    <w:rsid w:val="00C56C1D"/>
    <w:rsid w:val="00C5780E"/>
    <w:rsid w:val="00C57C47"/>
    <w:rsid w:val="00C57CA7"/>
    <w:rsid w:val="00C57EB9"/>
    <w:rsid w:val="00C600F0"/>
    <w:rsid w:val="00C605A2"/>
    <w:rsid w:val="00C60806"/>
    <w:rsid w:val="00C6080E"/>
    <w:rsid w:val="00C6099E"/>
    <w:rsid w:val="00C60A22"/>
    <w:rsid w:val="00C60C2C"/>
    <w:rsid w:val="00C61102"/>
    <w:rsid w:val="00C61364"/>
    <w:rsid w:val="00C61DF3"/>
    <w:rsid w:val="00C61E55"/>
    <w:rsid w:val="00C61FD7"/>
    <w:rsid w:val="00C620CD"/>
    <w:rsid w:val="00C626AB"/>
    <w:rsid w:val="00C63118"/>
    <w:rsid w:val="00C634A1"/>
    <w:rsid w:val="00C63B26"/>
    <w:rsid w:val="00C63C8D"/>
    <w:rsid w:val="00C63E43"/>
    <w:rsid w:val="00C63F64"/>
    <w:rsid w:val="00C64170"/>
    <w:rsid w:val="00C6441F"/>
    <w:rsid w:val="00C64819"/>
    <w:rsid w:val="00C64C87"/>
    <w:rsid w:val="00C64CB2"/>
    <w:rsid w:val="00C652B7"/>
    <w:rsid w:val="00C656C2"/>
    <w:rsid w:val="00C658E7"/>
    <w:rsid w:val="00C65C16"/>
    <w:rsid w:val="00C65E13"/>
    <w:rsid w:val="00C65F90"/>
    <w:rsid w:val="00C663DD"/>
    <w:rsid w:val="00C669F4"/>
    <w:rsid w:val="00C66A19"/>
    <w:rsid w:val="00C66BDF"/>
    <w:rsid w:val="00C66C08"/>
    <w:rsid w:val="00C67235"/>
    <w:rsid w:val="00C6738B"/>
    <w:rsid w:val="00C67459"/>
    <w:rsid w:val="00C6771A"/>
    <w:rsid w:val="00C67D0C"/>
    <w:rsid w:val="00C67E3A"/>
    <w:rsid w:val="00C7020A"/>
    <w:rsid w:val="00C70897"/>
    <w:rsid w:val="00C70A0E"/>
    <w:rsid w:val="00C70EDF"/>
    <w:rsid w:val="00C71662"/>
    <w:rsid w:val="00C71827"/>
    <w:rsid w:val="00C71F15"/>
    <w:rsid w:val="00C723EE"/>
    <w:rsid w:val="00C724F6"/>
    <w:rsid w:val="00C725F7"/>
    <w:rsid w:val="00C72C71"/>
    <w:rsid w:val="00C72E27"/>
    <w:rsid w:val="00C74269"/>
    <w:rsid w:val="00C7433C"/>
    <w:rsid w:val="00C743BF"/>
    <w:rsid w:val="00C74773"/>
    <w:rsid w:val="00C748ED"/>
    <w:rsid w:val="00C74902"/>
    <w:rsid w:val="00C74B13"/>
    <w:rsid w:val="00C74B21"/>
    <w:rsid w:val="00C74D24"/>
    <w:rsid w:val="00C74FF8"/>
    <w:rsid w:val="00C7535F"/>
    <w:rsid w:val="00C7540C"/>
    <w:rsid w:val="00C75454"/>
    <w:rsid w:val="00C75ADB"/>
    <w:rsid w:val="00C760DD"/>
    <w:rsid w:val="00C767ED"/>
    <w:rsid w:val="00C7680C"/>
    <w:rsid w:val="00C768A3"/>
    <w:rsid w:val="00C7778F"/>
    <w:rsid w:val="00C77868"/>
    <w:rsid w:val="00C778C5"/>
    <w:rsid w:val="00C77951"/>
    <w:rsid w:val="00C77A40"/>
    <w:rsid w:val="00C77F34"/>
    <w:rsid w:val="00C808B7"/>
    <w:rsid w:val="00C80C3B"/>
    <w:rsid w:val="00C810F1"/>
    <w:rsid w:val="00C811E6"/>
    <w:rsid w:val="00C81878"/>
    <w:rsid w:val="00C818DB"/>
    <w:rsid w:val="00C81924"/>
    <w:rsid w:val="00C820CB"/>
    <w:rsid w:val="00C82614"/>
    <w:rsid w:val="00C830AD"/>
    <w:rsid w:val="00C83643"/>
    <w:rsid w:val="00C83895"/>
    <w:rsid w:val="00C84214"/>
    <w:rsid w:val="00C84359"/>
    <w:rsid w:val="00C845CB"/>
    <w:rsid w:val="00C8510E"/>
    <w:rsid w:val="00C851FF"/>
    <w:rsid w:val="00C862A8"/>
    <w:rsid w:val="00C8664C"/>
    <w:rsid w:val="00C86B62"/>
    <w:rsid w:val="00C86C21"/>
    <w:rsid w:val="00C870DA"/>
    <w:rsid w:val="00C87715"/>
    <w:rsid w:val="00C87852"/>
    <w:rsid w:val="00C87BA4"/>
    <w:rsid w:val="00C87D27"/>
    <w:rsid w:val="00C90824"/>
    <w:rsid w:val="00C90906"/>
    <w:rsid w:val="00C90F4A"/>
    <w:rsid w:val="00C91A9C"/>
    <w:rsid w:val="00C91C34"/>
    <w:rsid w:val="00C91F3B"/>
    <w:rsid w:val="00C922F9"/>
    <w:rsid w:val="00C93236"/>
    <w:rsid w:val="00C9353A"/>
    <w:rsid w:val="00C93FEC"/>
    <w:rsid w:val="00C944E5"/>
    <w:rsid w:val="00C9494C"/>
    <w:rsid w:val="00C94A13"/>
    <w:rsid w:val="00C94FC8"/>
    <w:rsid w:val="00C950BC"/>
    <w:rsid w:val="00C95622"/>
    <w:rsid w:val="00C95DF8"/>
    <w:rsid w:val="00C95E29"/>
    <w:rsid w:val="00C95EDE"/>
    <w:rsid w:val="00C96549"/>
    <w:rsid w:val="00C967F6"/>
    <w:rsid w:val="00C96F32"/>
    <w:rsid w:val="00C97316"/>
    <w:rsid w:val="00C973B1"/>
    <w:rsid w:val="00C977FC"/>
    <w:rsid w:val="00CA003E"/>
    <w:rsid w:val="00CA02F3"/>
    <w:rsid w:val="00CA1436"/>
    <w:rsid w:val="00CA1571"/>
    <w:rsid w:val="00CA162E"/>
    <w:rsid w:val="00CA195F"/>
    <w:rsid w:val="00CA1ACB"/>
    <w:rsid w:val="00CA1BC1"/>
    <w:rsid w:val="00CA1CF9"/>
    <w:rsid w:val="00CA1F21"/>
    <w:rsid w:val="00CA3263"/>
    <w:rsid w:val="00CA35CF"/>
    <w:rsid w:val="00CA384A"/>
    <w:rsid w:val="00CA384C"/>
    <w:rsid w:val="00CA3AA6"/>
    <w:rsid w:val="00CA3AC1"/>
    <w:rsid w:val="00CA3BB7"/>
    <w:rsid w:val="00CA482F"/>
    <w:rsid w:val="00CA4E78"/>
    <w:rsid w:val="00CA4F43"/>
    <w:rsid w:val="00CA586C"/>
    <w:rsid w:val="00CA589D"/>
    <w:rsid w:val="00CA6018"/>
    <w:rsid w:val="00CA616D"/>
    <w:rsid w:val="00CA62F1"/>
    <w:rsid w:val="00CA6BF3"/>
    <w:rsid w:val="00CA6DC4"/>
    <w:rsid w:val="00CA769E"/>
    <w:rsid w:val="00CA772A"/>
    <w:rsid w:val="00CA7A20"/>
    <w:rsid w:val="00CB040F"/>
    <w:rsid w:val="00CB05BA"/>
    <w:rsid w:val="00CB0978"/>
    <w:rsid w:val="00CB0A07"/>
    <w:rsid w:val="00CB0A90"/>
    <w:rsid w:val="00CB0ABA"/>
    <w:rsid w:val="00CB14C5"/>
    <w:rsid w:val="00CB2177"/>
    <w:rsid w:val="00CB2864"/>
    <w:rsid w:val="00CB2B37"/>
    <w:rsid w:val="00CB2E8B"/>
    <w:rsid w:val="00CB3522"/>
    <w:rsid w:val="00CB352D"/>
    <w:rsid w:val="00CB3931"/>
    <w:rsid w:val="00CB3B54"/>
    <w:rsid w:val="00CB3CF1"/>
    <w:rsid w:val="00CB405B"/>
    <w:rsid w:val="00CB4275"/>
    <w:rsid w:val="00CB4698"/>
    <w:rsid w:val="00CB49D0"/>
    <w:rsid w:val="00CB4AF2"/>
    <w:rsid w:val="00CB4CC6"/>
    <w:rsid w:val="00CB52E4"/>
    <w:rsid w:val="00CB52E7"/>
    <w:rsid w:val="00CB59BF"/>
    <w:rsid w:val="00CB634B"/>
    <w:rsid w:val="00CB6507"/>
    <w:rsid w:val="00CB65D5"/>
    <w:rsid w:val="00CB6A38"/>
    <w:rsid w:val="00CB6F36"/>
    <w:rsid w:val="00CB719F"/>
    <w:rsid w:val="00CB7454"/>
    <w:rsid w:val="00CB7499"/>
    <w:rsid w:val="00CB7DB6"/>
    <w:rsid w:val="00CB7E50"/>
    <w:rsid w:val="00CB7EF9"/>
    <w:rsid w:val="00CC1534"/>
    <w:rsid w:val="00CC1FF7"/>
    <w:rsid w:val="00CC2002"/>
    <w:rsid w:val="00CC21FE"/>
    <w:rsid w:val="00CC2C4B"/>
    <w:rsid w:val="00CC31E7"/>
    <w:rsid w:val="00CC3281"/>
    <w:rsid w:val="00CC3423"/>
    <w:rsid w:val="00CC3782"/>
    <w:rsid w:val="00CC3816"/>
    <w:rsid w:val="00CC3996"/>
    <w:rsid w:val="00CC3BA1"/>
    <w:rsid w:val="00CC3C8D"/>
    <w:rsid w:val="00CC3FFC"/>
    <w:rsid w:val="00CC430A"/>
    <w:rsid w:val="00CC43EF"/>
    <w:rsid w:val="00CC456A"/>
    <w:rsid w:val="00CC45F3"/>
    <w:rsid w:val="00CC488D"/>
    <w:rsid w:val="00CC4C89"/>
    <w:rsid w:val="00CC4FA2"/>
    <w:rsid w:val="00CC5528"/>
    <w:rsid w:val="00CC559D"/>
    <w:rsid w:val="00CC5A21"/>
    <w:rsid w:val="00CC5BE8"/>
    <w:rsid w:val="00CC684C"/>
    <w:rsid w:val="00CC6BC0"/>
    <w:rsid w:val="00CC6FC8"/>
    <w:rsid w:val="00CC70C4"/>
    <w:rsid w:val="00CC7221"/>
    <w:rsid w:val="00CC73A6"/>
    <w:rsid w:val="00CC7457"/>
    <w:rsid w:val="00CC746B"/>
    <w:rsid w:val="00CC7F9C"/>
    <w:rsid w:val="00CD04BC"/>
    <w:rsid w:val="00CD05FC"/>
    <w:rsid w:val="00CD0844"/>
    <w:rsid w:val="00CD0D64"/>
    <w:rsid w:val="00CD115B"/>
    <w:rsid w:val="00CD1D66"/>
    <w:rsid w:val="00CD202E"/>
    <w:rsid w:val="00CD26BE"/>
    <w:rsid w:val="00CD2A05"/>
    <w:rsid w:val="00CD2B84"/>
    <w:rsid w:val="00CD2DC5"/>
    <w:rsid w:val="00CD38D8"/>
    <w:rsid w:val="00CD3953"/>
    <w:rsid w:val="00CD4492"/>
    <w:rsid w:val="00CD4519"/>
    <w:rsid w:val="00CD46DE"/>
    <w:rsid w:val="00CD4898"/>
    <w:rsid w:val="00CD52C7"/>
    <w:rsid w:val="00CD588B"/>
    <w:rsid w:val="00CD597B"/>
    <w:rsid w:val="00CD5C42"/>
    <w:rsid w:val="00CD5DFA"/>
    <w:rsid w:val="00CD63DC"/>
    <w:rsid w:val="00CD67CE"/>
    <w:rsid w:val="00CD6E33"/>
    <w:rsid w:val="00CD7067"/>
    <w:rsid w:val="00CD7493"/>
    <w:rsid w:val="00CD7953"/>
    <w:rsid w:val="00CE0134"/>
    <w:rsid w:val="00CE02B9"/>
    <w:rsid w:val="00CE030B"/>
    <w:rsid w:val="00CE08E1"/>
    <w:rsid w:val="00CE09ED"/>
    <w:rsid w:val="00CE0A9C"/>
    <w:rsid w:val="00CE0AF5"/>
    <w:rsid w:val="00CE0D1B"/>
    <w:rsid w:val="00CE0DD3"/>
    <w:rsid w:val="00CE0E2F"/>
    <w:rsid w:val="00CE0EF0"/>
    <w:rsid w:val="00CE0FDD"/>
    <w:rsid w:val="00CE0FEE"/>
    <w:rsid w:val="00CE10AA"/>
    <w:rsid w:val="00CE171D"/>
    <w:rsid w:val="00CE1E60"/>
    <w:rsid w:val="00CE1F2C"/>
    <w:rsid w:val="00CE2DC1"/>
    <w:rsid w:val="00CE3473"/>
    <w:rsid w:val="00CE432C"/>
    <w:rsid w:val="00CE4599"/>
    <w:rsid w:val="00CE46A5"/>
    <w:rsid w:val="00CE4C4D"/>
    <w:rsid w:val="00CE506B"/>
    <w:rsid w:val="00CE512F"/>
    <w:rsid w:val="00CE5B7A"/>
    <w:rsid w:val="00CE6AD7"/>
    <w:rsid w:val="00CE7643"/>
    <w:rsid w:val="00CE7A18"/>
    <w:rsid w:val="00CE7D2B"/>
    <w:rsid w:val="00CF01FD"/>
    <w:rsid w:val="00CF03F0"/>
    <w:rsid w:val="00CF0515"/>
    <w:rsid w:val="00CF0945"/>
    <w:rsid w:val="00CF0D95"/>
    <w:rsid w:val="00CF0F37"/>
    <w:rsid w:val="00CF11BD"/>
    <w:rsid w:val="00CF175F"/>
    <w:rsid w:val="00CF1C68"/>
    <w:rsid w:val="00CF209F"/>
    <w:rsid w:val="00CF287C"/>
    <w:rsid w:val="00CF2C5A"/>
    <w:rsid w:val="00CF2F42"/>
    <w:rsid w:val="00CF31BC"/>
    <w:rsid w:val="00CF33A2"/>
    <w:rsid w:val="00CF3C73"/>
    <w:rsid w:val="00CF3F72"/>
    <w:rsid w:val="00CF409E"/>
    <w:rsid w:val="00CF43B3"/>
    <w:rsid w:val="00CF43C0"/>
    <w:rsid w:val="00CF4B70"/>
    <w:rsid w:val="00CF4CF3"/>
    <w:rsid w:val="00CF4D60"/>
    <w:rsid w:val="00CF53B8"/>
    <w:rsid w:val="00CF54A2"/>
    <w:rsid w:val="00CF5A41"/>
    <w:rsid w:val="00CF6166"/>
    <w:rsid w:val="00CF637B"/>
    <w:rsid w:val="00CF63CE"/>
    <w:rsid w:val="00CF678A"/>
    <w:rsid w:val="00CF730E"/>
    <w:rsid w:val="00CF73D3"/>
    <w:rsid w:val="00CF78CA"/>
    <w:rsid w:val="00CF7D43"/>
    <w:rsid w:val="00D000F1"/>
    <w:rsid w:val="00D002A3"/>
    <w:rsid w:val="00D00853"/>
    <w:rsid w:val="00D00F8F"/>
    <w:rsid w:val="00D01140"/>
    <w:rsid w:val="00D0133F"/>
    <w:rsid w:val="00D0144F"/>
    <w:rsid w:val="00D01968"/>
    <w:rsid w:val="00D01A5F"/>
    <w:rsid w:val="00D01AB3"/>
    <w:rsid w:val="00D020A9"/>
    <w:rsid w:val="00D0210D"/>
    <w:rsid w:val="00D0309E"/>
    <w:rsid w:val="00D030DE"/>
    <w:rsid w:val="00D040A1"/>
    <w:rsid w:val="00D042BA"/>
    <w:rsid w:val="00D0430B"/>
    <w:rsid w:val="00D04397"/>
    <w:rsid w:val="00D04A64"/>
    <w:rsid w:val="00D04A75"/>
    <w:rsid w:val="00D04E84"/>
    <w:rsid w:val="00D04F03"/>
    <w:rsid w:val="00D04FC2"/>
    <w:rsid w:val="00D05067"/>
    <w:rsid w:val="00D055A9"/>
    <w:rsid w:val="00D056E7"/>
    <w:rsid w:val="00D05837"/>
    <w:rsid w:val="00D05873"/>
    <w:rsid w:val="00D05A0E"/>
    <w:rsid w:val="00D05D52"/>
    <w:rsid w:val="00D05D69"/>
    <w:rsid w:val="00D05F0D"/>
    <w:rsid w:val="00D05F5B"/>
    <w:rsid w:val="00D0678A"/>
    <w:rsid w:val="00D06A42"/>
    <w:rsid w:val="00D07288"/>
    <w:rsid w:val="00D1003E"/>
    <w:rsid w:val="00D10470"/>
    <w:rsid w:val="00D1052F"/>
    <w:rsid w:val="00D10916"/>
    <w:rsid w:val="00D10D43"/>
    <w:rsid w:val="00D11072"/>
    <w:rsid w:val="00D11117"/>
    <w:rsid w:val="00D11143"/>
    <w:rsid w:val="00D11299"/>
    <w:rsid w:val="00D11717"/>
    <w:rsid w:val="00D11C0C"/>
    <w:rsid w:val="00D12223"/>
    <w:rsid w:val="00D13191"/>
    <w:rsid w:val="00D131A8"/>
    <w:rsid w:val="00D13261"/>
    <w:rsid w:val="00D13C9A"/>
    <w:rsid w:val="00D14277"/>
    <w:rsid w:val="00D145E9"/>
    <w:rsid w:val="00D148AF"/>
    <w:rsid w:val="00D14926"/>
    <w:rsid w:val="00D14B17"/>
    <w:rsid w:val="00D14BB8"/>
    <w:rsid w:val="00D14C7D"/>
    <w:rsid w:val="00D15056"/>
    <w:rsid w:val="00D15DC4"/>
    <w:rsid w:val="00D160C6"/>
    <w:rsid w:val="00D163FA"/>
    <w:rsid w:val="00D16412"/>
    <w:rsid w:val="00D16447"/>
    <w:rsid w:val="00D1652A"/>
    <w:rsid w:val="00D166D8"/>
    <w:rsid w:val="00D16F42"/>
    <w:rsid w:val="00D171E0"/>
    <w:rsid w:val="00D17407"/>
    <w:rsid w:val="00D17574"/>
    <w:rsid w:val="00D203AD"/>
    <w:rsid w:val="00D20BEA"/>
    <w:rsid w:val="00D20BEF"/>
    <w:rsid w:val="00D20CB0"/>
    <w:rsid w:val="00D21267"/>
    <w:rsid w:val="00D212CF"/>
    <w:rsid w:val="00D21FB8"/>
    <w:rsid w:val="00D220B9"/>
    <w:rsid w:val="00D221E0"/>
    <w:rsid w:val="00D22366"/>
    <w:rsid w:val="00D22D9F"/>
    <w:rsid w:val="00D22E3D"/>
    <w:rsid w:val="00D23274"/>
    <w:rsid w:val="00D235A4"/>
    <w:rsid w:val="00D23A6A"/>
    <w:rsid w:val="00D23FEF"/>
    <w:rsid w:val="00D2423B"/>
    <w:rsid w:val="00D253E1"/>
    <w:rsid w:val="00D254EC"/>
    <w:rsid w:val="00D258AA"/>
    <w:rsid w:val="00D258AD"/>
    <w:rsid w:val="00D25EDB"/>
    <w:rsid w:val="00D26054"/>
    <w:rsid w:val="00D260AF"/>
    <w:rsid w:val="00D26680"/>
    <w:rsid w:val="00D2677E"/>
    <w:rsid w:val="00D26B2B"/>
    <w:rsid w:val="00D273E1"/>
    <w:rsid w:val="00D27870"/>
    <w:rsid w:val="00D27956"/>
    <w:rsid w:val="00D27FA8"/>
    <w:rsid w:val="00D300DC"/>
    <w:rsid w:val="00D3050B"/>
    <w:rsid w:val="00D30540"/>
    <w:rsid w:val="00D306B0"/>
    <w:rsid w:val="00D30B69"/>
    <w:rsid w:val="00D310B7"/>
    <w:rsid w:val="00D310E7"/>
    <w:rsid w:val="00D311D5"/>
    <w:rsid w:val="00D315A6"/>
    <w:rsid w:val="00D32043"/>
    <w:rsid w:val="00D32141"/>
    <w:rsid w:val="00D327CA"/>
    <w:rsid w:val="00D32E9F"/>
    <w:rsid w:val="00D330F4"/>
    <w:rsid w:val="00D331FB"/>
    <w:rsid w:val="00D33360"/>
    <w:rsid w:val="00D33524"/>
    <w:rsid w:val="00D3365C"/>
    <w:rsid w:val="00D34318"/>
    <w:rsid w:val="00D347C2"/>
    <w:rsid w:val="00D34FB8"/>
    <w:rsid w:val="00D35962"/>
    <w:rsid w:val="00D35981"/>
    <w:rsid w:val="00D35C80"/>
    <w:rsid w:val="00D35CE2"/>
    <w:rsid w:val="00D3626B"/>
    <w:rsid w:val="00D362A5"/>
    <w:rsid w:val="00D365D3"/>
    <w:rsid w:val="00D36949"/>
    <w:rsid w:val="00D36951"/>
    <w:rsid w:val="00D36960"/>
    <w:rsid w:val="00D36EE8"/>
    <w:rsid w:val="00D3708E"/>
    <w:rsid w:val="00D376BB"/>
    <w:rsid w:val="00D403A5"/>
    <w:rsid w:val="00D405CF"/>
    <w:rsid w:val="00D4118C"/>
    <w:rsid w:val="00D419FB"/>
    <w:rsid w:val="00D41BBE"/>
    <w:rsid w:val="00D42197"/>
    <w:rsid w:val="00D4237A"/>
    <w:rsid w:val="00D42453"/>
    <w:rsid w:val="00D427EC"/>
    <w:rsid w:val="00D42958"/>
    <w:rsid w:val="00D43088"/>
    <w:rsid w:val="00D43471"/>
    <w:rsid w:val="00D439F8"/>
    <w:rsid w:val="00D44362"/>
    <w:rsid w:val="00D4462A"/>
    <w:rsid w:val="00D447AA"/>
    <w:rsid w:val="00D448F6"/>
    <w:rsid w:val="00D44B79"/>
    <w:rsid w:val="00D4525A"/>
    <w:rsid w:val="00D454DB"/>
    <w:rsid w:val="00D4550D"/>
    <w:rsid w:val="00D4557B"/>
    <w:rsid w:val="00D45D2A"/>
    <w:rsid w:val="00D46151"/>
    <w:rsid w:val="00D466BC"/>
    <w:rsid w:val="00D46D2C"/>
    <w:rsid w:val="00D46F15"/>
    <w:rsid w:val="00D4728E"/>
    <w:rsid w:val="00D47745"/>
    <w:rsid w:val="00D47775"/>
    <w:rsid w:val="00D47876"/>
    <w:rsid w:val="00D478D4"/>
    <w:rsid w:val="00D5018B"/>
    <w:rsid w:val="00D50984"/>
    <w:rsid w:val="00D50A72"/>
    <w:rsid w:val="00D50C7B"/>
    <w:rsid w:val="00D50CCB"/>
    <w:rsid w:val="00D512BC"/>
    <w:rsid w:val="00D515D7"/>
    <w:rsid w:val="00D515F2"/>
    <w:rsid w:val="00D51B10"/>
    <w:rsid w:val="00D51C5D"/>
    <w:rsid w:val="00D51E34"/>
    <w:rsid w:val="00D520DA"/>
    <w:rsid w:val="00D52565"/>
    <w:rsid w:val="00D52881"/>
    <w:rsid w:val="00D5300F"/>
    <w:rsid w:val="00D5313E"/>
    <w:rsid w:val="00D5343F"/>
    <w:rsid w:val="00D53786"/>
    <w:rsid w:val="00D53A25"/>
    <w:rsid w:val="00D53A93"/>
    <w:rsid w:val="00D53FC1"/>
    <w:rsid w:val="00D54551"/>
    <w:rsid w:val="00D54B90"/>
    <w:rsid w:val="00D54D86"/>
    <w:rsid w:val="00D5510C"/>
    <w:rsid w:val="00D55615"/>
    <w:rsid w:val="00D55784"/>
    <w:rsid w:val="00D5597F"/>
    <w:rsid w:val="00D55A3F"/>
    <w:rsid w:val="00D55E13"/>
    <w:rsid w:val="00D55E8F"/>
    <w:rsid w:val="00D567CD"/>
    <w:rsid w:val="00D56AAD"/>
    <w:rsid w:val="00D56B2B"/>
    <w:rsid w:val="00D56E94"/>
    <w:rsid w:val="00D56F5D"/>
    <w:rsid w:val="00D5716B"/>
    <w:rsid w:val="00D57F9C"/>
    <w:rsid w:val="00D60777"/>
    <w:rsid w:val="00D60926"/>
    <w:rsid w:val="00D60A62"/>
    <w:rsid w:val="00D60AA2"/>
    <w:rsid w:val="00D61BE5"/>
    <w:rsid w:val="00D62479"/>
    <w:rsid w:val="00D62793"/>
    <w:rsid w:val="00D6294C"/>
    <w:rsid w:val="00D62E4A"/>
    <w:rsid w:val="00D62EF5"/>
    <w:rsid w:val="00D6308F"/>
    <w:rsid w:val="00D630D5"/>
    <w:rsid w:val="00D633C0"/>
    <w:rsid w:val="00D6348C"/>
    <w:rsid w:val="00D63820"/>
    <w:rsid w:val="00D6390B"/>
    <w:rsid w:val="00D64020"/>
    <w:rsid w:val="00D64ACE"/>
    <w:rsid w:val="00D64E4C"/>
    <w:rsid w:val="00D650A6"/>
    <w:rsid w:val="00D651F8"/>
    <w:rsid w:val="00D6547A"/>
    <w:rsid w:val="00D656AE"/>
    <w:rsid w:val="00D6630F"/>
    <w:rsid w:val="00D668E2"/>
    <w:rsid w:val="00D66FB0"/>
    <w:rsid w:val="00D6784D"/>
    <w:rsid w:val="00D67D2B"/>
    <w:rsid w:val="00D70132"/>
    <w:rsid w:val="00D71102"/>
    <w:rsid w:val="00D71158"/>
    <w:rsid w:val="00D71171"/>
    <w:rsid w:val="00D715D4"/>
    <w:rsid w:val="00D71CBA"/>
    <w:rsid w:val="00D72271"/>
    <w:rsid w:val="00D72360"/>
    <w:rsid w:val="00D7239B"/>
    <w:rsid w:val="00D7253C"/>
    <w:rsid w:val="00D72CC4"/>
    <w:rsid w:val="00D73303"/>
    <w:rsid w:val="00D73584"/>
    <w:rsid w:val="00D737E5"/>
    <w:rsid w:val="00D7388E"/>
    <w:rsid w:val="00D73978"/>
    <w:rsid w:val="00D73ACE"/>
    <w:rsid w:val="00D73C14"/>
    <w:rsid w:val="00D74128"/>
    <w:rsid w:val="00D741C1"/>
    <w:rsid w:val="00D74356"/>
    <w:rsid w:val="00D74BB2"/>
    <w:rsid w:val="00D75383"/>
    <w:rsid w:val="00D753C3"/>
    <w:rsid w:val="00D75CD6"/>
    <w:rsid w:val="00D76858"/>
    <w:rsid w:val="00D76AA7"/>
    <w:rsid w:val="00D771A7"/>
    <w:rsid w:val="00D771CE"/>
    <w:rsid w:val="00D77658"/>
    <w:rsid w:val="00D77987"/>
    <w:rsid w:val="00D77C5A"/>
    <w:rsid w:val="00D77E3C"/>
    <w:rsid w:val="00D8043A"/>
    <w:rsid w:val="00D80681"/>
    <w:rsid w:val="00D807F6"/>
    <w:rsid w:val="00D808A6"/>
    <w:rsid w:val="00D80B41"/>
    <w:rsid w:val="00D80ECA"/>
    <w:rsid w:val="00D80FA5"/>
    <w:rsid w:val="00D814FC"/>
    <w:rsid w:val="00D815C0"/>
    <w:rsid w:val="00D81614"/>
    <w:rsid w:val="00D81D09"/>
    <w:rsid w:val="00D81E8E"/>
    <w:rsid w:val="00D82227"/>
    <w:rsid w:val="00D823F5"/>
    <w:rsid w:val="00D82688"/>
    <w:rsid w:val="00D82D50"/>
    <w:rsid w:val="00D830BE"/>
    <w:rsid w:val="00D833E6"/>
    <w:rsid w:val="00D839A0"/>
    <w:rsid w:val="00D83B18"/>
    <w:rsid w:val="00D83C74"/>
    <w:rsid w:val="00D83E53"/>
    <w:rsid w:val="00D84027"/>
    <w:rsid w:val="00D84231"/>
    <w:rsid w:val="00D84277"/>
    <w:rsid w:val="00D84771"/>
    <w:rsid w:val="00D84CAF"/>
    <w:rsid w:val="00D851AF"/>
    <w:rsid w:val="00D8560A"/>
    <w:rsid w:val="00D85B01"/>
    <w:rsid w:val="00D85E73"/>
    <w:rsid w:val="00D85F60"/>
    <w:rsid w:val="00D861E3"/>
    <w:rsid w:val="00D86430"/>
    <w:rsid w:val="00D864B3"/>
    <w:rsid w:val="00D865F0"/>
    <w:rsid w:val="00D86969"/>
    <w:rsid w:val="00D86BE8"/>
    <w:rsid w:val="00D86CD2"/>
    <w:rsid w:val="00D86D90"/>
    <w:rsid w:val="00D86FB3"/>
    <w:rsid w:val="00D9009D"/>
    <w:rsid w:val="00D90C14"/>
    <w:rsid w:val="00D91169"/>
    <w:rsid w:val="00D9154C"/>
    <w:rsid w:val="00D91635"/>
    <w:rsid w:val="00D91D1D"/>
    <w:rsid w:val="00D91E77"/>
    <w:rsid w:val="00D91EF8"/>
    <w:rsid w:val="00D91FC8"/>
    <w:rsid w:val="00D922D2"/>
    <w:rsid w:val="00D929CE"/>
    <w:rsid w:val="00D92EB1"/>
    <w:rsid w:val="00D930B4"/>
    <w:rsid w:val="00D93439"/>
    <w:rsid w:val="00D936FC"/>
    <w:rsid w:val="00D93EB5"/>
    <w:rsid w:val="00D951BF"/>
    <w:rsid w:val="00D95581"/>
    <w:rsid w:val="00D955BD"/>
    <w:rsid w:val="00D9565E"/>
    <w:rsid w:val="00D95B23"/>
    <w:rsid w:val="00D95C07"/>
    <w:rsid w:val="00D96085"/>
    <w:rsid w:val="00D963EF"/>
    <w:rsid w:val="00D96F2C"/>
    <w:rsid w:val="00D97062"/>
    <w:rsid w:val="00D9719B"/>
    <w:rsid w:val="00D97811"/>
    <w:rsid w:val="00D97839"/>
    <w:rsid w:val="00D97AF0"/>
    <w:rsid w:val="00DA005F"/>
    <w:rsid w:val="00DA08CC"/>
    <w:rsid w:val="00DA0E75"/>
    <w:rsid w:val="00DA13E0"/>
    <w:rsid w:val="00DA15DF"/>
    <w:rsid w:val="00DA1DBC"/>
    <w:rsid w:val="00DA1EA1"/>
    <w:rsid w:val="00DA22C8"/>
    <w:rsid w:val="00DA2632"/>
    <w:rsid w:val="00DA28C3"/>
    <w:rsid w:val="00DA2E99"/>
    <w:rsid w:val="00DA2FE5"/>
    <w:rsid w:val="00DA36E3"/>
    <w:rsid w:val="00DA3AF2"/>
    <w:rsid w:val="00DA3E74"/>
    <w:rsid w:val="00DA4347"/>
    <w:rsid w:val="00DA47E0"/>
    <w:rsid w:val="00DA4C35"/>
    <w:rsid w:val="00DA4F0B"/>
    <w:rsid w:val="00DA5278"/>
    <w:rsid w:val="00DA5667"/>
    <w:rsid w:val="00DA590B"/>
    <w:rsid w:val="00DA5C52"/>
    <w:rsid w:val="00DA5D30"/>
    <w:rsid w:val="00DA681B"/>
    <w:rsid w:val="00DA6C92"/>
    <w:rsid w:val="00DA6F0A"/>
    <w:rsid w:val="00DA70A0"/>
    <w:rsid w:val="00DA72BA"/>
    <w:rsid w:val="00DA7593"/>
    <w:rsid w:val="00DA75A4"/>
    <w:rsid w:val="00DA7785"/>
    <w:rsid w:val="00DA784D"/>
    <w:rsid w:val="00DA78F2"/>
    <w:rsid w:val="00DA798D"/>
    <w:rsid w:val="00DA7A75"/>
    <w:rsid w:val="00DA7B17"/>
    <w:rsid w:val="00DB007C"/>
    <w:rsid w:val="00DB0299"/>
    <w:rsid w:val="00DB0466"/>
    <w:rsid w:val="00DB05F7"/>
    <w:rsid w:val="00DB0B4D"/>
    <w:rsid w:val="00DB10A0"/>
    <w:rsid w:val="00DB12B0"/>
    <w:rsid w:val="00DB1BAE"/>
    <w:rsid w:val="00DB2183"/>
    <w:rsid w:val="00DB21CC"/>
    <w:rsid w:val="00DB2219"/>
    <w:rsid w:val="00DB2472"/>
    <w:rsid w:val="00DB24A4"/>
    <w:rsid w:val="00DB2B49"/>
    <w:rsid w:val="00DB2F91"/>
    <w:rsid w:val="00DB300F"/>
    <w:rsid w:val="00DB33B8"/>
    <w:rsid w:val="00DB3640"/>
    <w:rsid w:val="00DB4681"/>
    <w:rsid w:val="00DB49FB"/>
    <w:rsid w:val="00DB4FC0"/>
    <w:rsid w:val="00DB55A8"/>
    <w:rsid w:val="00DB62F8"/>
    <w:rsid w:val="00DB6941"/>
    <w:rsid w:val="00DB6E32"/>
    <w:rsid w:val="00DB76A0"/>
    <w:rsid w:val="00DB789D"/>
    <w:rsid w:val="00DB7E36"/>
    <w:rsid w:val="00DC0402"/>
    <w:rsid w:val="00DC06C5"/>
    <w:rsid w:val="00DC08A9"/>
    <w:rsid w:val="00DC08E9"/>
    <w:rsid w:val="00DC0A05"/>
    <w:rsid w:val="00DC0A65"/>
    <w:rsid w:val="00DC0C33"/>
    <w:rsid w:val="00DC17FA"/>
    <w:rsid w:val="00DC1A22"/>
    <w:rsid w:val="00DC1C3C"/>
    <w:rsid w:val="00DC1D4D"/>
    <w:rsid w:val="00DC25CA"/>
    <w:rsid w:val="00DC289B"/>
    <w:rsid w:val="00DC291F"/>
    <w:rsid w:val="00DC2D6C"/>
    <w:rsid w:val="00DC2E61"/>
    <w:rsid w:val="00DC2EFA"/>
    <w:rsid w:val="00DC2FED"/>
    <w:rsid w:val="00DC3587"/>
    <w:rsid w:val="00DC3884"/>
    <w:rsid w:val="00DC3E93"/>
    <w:rsid w:val="00DC3FE2"/>
    <w:rsid w:val="00DC42A0"/>
    <w:rsid w:val="00DC4484"/>
    <w:rsid w:val="00DC44E9"/>
    <w:rsid w:val="00DC4E2A"/>
    <w:rsid w:val="00DC5271"/>
    <w:rsid w:val="00DC57B2"/>
    <w:rsid w:val="00DC59A8"/>
    <w:rsid w:val="00DC5EAB"/>
    <w:rsid w:val="00DC5FE1"/>
    <w:rsid w:val="00DC60D0"/>
    <w:rsid w:val="00DC61BC"/>
    <w:rsid w:val="00DC632E"/>
    <w:rsid w:val="00DC63EB"/>
    <w:rsid w:val="00DC6583"/>
    <w:rsid w:val="00DC6691"/>
    <w:rsid w:val="00DC6DBD"/>
    <w:rsid w:val="00DC74E8"/>
    <w:rsid w:val="00DC7940"/>
    <w:rsid w:val="00DC7E0A"/>
    <w:rsid w:val="00DD0CB2"/>
    <w:rsid w:val="00DD0F55"/>
    <w:rsid w:val="00DD1BE8"/>
    <w:rsid w:val="00DD1D12"/>
    <w:rsid w:val="00DD1EE9"/>
    <w:rsid w:val="00DD1EEA"/>
    <w:rsid w:val="00DD2B50"/>
    <w:rsid w:val="00DD31AB"/>
    <w:rsid w:val="00DD33F4"/>
    <w:rsid w:val="00DD347C"/>
    <w:rsid w:val="00DD35CE"/>
    <w:rsid w:val="00DD37D5"/>
    <w:rsid w:val="00DD3930"/>
    <w:rsid w:val="00DD429C"/>
    <w:rsid w:val="00DD4656"/>
    <w:rsid w:val="00DD46E4"/>
    <w:rsid w:val="00DD4CA2"/>
    <w:rsid w:val="00DD4D87"/>
    <w:rsid w:val="00DD5029"/>
    <w:rsid w:val="00DD502B"/>
    <w:rsid w:val="00DD5240"/>
    <w:rsid w:val="00DD5620"/>
    <w:rsid w:val="00DD577F"/>
    <w:rsid w:val="00DD5904"/>
    <w:rsid w:val="00DD6151"/>
    <w:rsid w:val="00DD6216"/>
    <w:rsid w:val="00DD6327"/>
    <w:rsid w:val="00DD671F"/>
    <w:rsid w:val="00DD682C"/>
    <w:rsid w:val="00DD6C22"/>
    <w:rsid w:val="00DD749D"/>
    <w:rsid w:val="00DD7C11"/>
    <w:rsid w:val="00DD7C6E"/>
    <w:rsid w:val="00DD7CF0"/>
    <w:rsid w:val="00DD7D80"/>
    <w:rsid w:val="00DE0465"/>
    <w:rsid w:val="00DE0D0D"/>
    <w:rsid w:val="00DE0EF9"/>
    <w:rsid w:val="00DE1390"/>
    <w:rsid w:val="00DE189F"/>
    <w:rsid w:val="00DE1E2E"/>
    <w:rsid w:val="00DE1F89"/>
    <w:rsid w:val="00DE205D"/>
    <w:rsid w:val="00DE2140"/>
    <w:rsid w:val="00DE22EB"/>
    <w:rsid w:val="00DE251C"/>
    <w:rsid w:val="00DE2A32"/>
    <w:rsid w:val="00DE2AB7"/>
    <w:rsid w:val="00DE2C40"/>
    <w:rsid w:val="00DE3380"/>
    <w:rsid w:val="00DE35E5"/>
    <w:rsid w:val="00DE3BEC"/>
    <w:rsid w:val="00DE4105"/>
    <w:rsid w:val="00DE4858"/>
    <w:rsid w:val="00DE493F"/>
    <w:rsid w:val="00DE4C7D"/>
    <w:rsid w:val="00DE5348"/>
    <w:rsid w:val="00DE5BA2"/>
    <w:rsid w:val="00DE663D"/>
    <w:rsid w:val="00DE6782"/>
    <w:rsid w:val="00DE6CC9"/>
    <w:rsid w:val="00DE6E21"/>
    <w:rsid w:val="00DE7C36"/>
    <w:rsid w:val="00DE7F4A"/>
    <w:rsid w:val="00DF01F9"/>
    <w:rsid w:val="00DF0548"/>
    <w:rsid w:val="00DF059B"/>
    <w:rsid w:val="00DF14D4"/>
    <w:rsid w:val="00DF156B"/>
    <w:rsid w:val="00DF192B"/>
    <w:rsid w:val="00DF1A0E"/>
    <w:rsid w:val="00DF2477"/>
    <w:rsid w:val="00DF3392"/>
    <w:rsid w:val="00DF3936"/>
    <w:rsid w:val="00DF3AE0"/>
    <w:rsid w:val="00DF3BC2"/>
    <w:rsid w:val="00DF3CC8"/>
    <w:rsid w:val="00DF40EF"/>
    <w:rsid w:val="00DF42BB"/>
    <w:rsid w:val="00DF43AE"/>
    <w:rsid w:val="00DF4836"/>
    <w:rsid w:val="00DF4EE2"/>
    <w:rsid w:val="00DF503E"/>
    <w:rsid w:val="00DF5346"/>
    <w:rsid w:val="00DF58BF"/>
    <w:rsid w:val="00DF5A7B"/>
    <w:rsid w:val="00DF61E5"/>
    <w:rsid w:val="00DF6636"/>
    <w:rsid w:val="00DF68DF"/>
    <w:rsid w:val="00DF70BF"/>
    <w:rsid w:val="00DF7403"/>
    <w:rsid w:val="00DF7553"/>
    <w:rsid w:val="00DF77E9"/>
    <w:rsid w:val="00DF7DAD"/>
    <w:rsid w:val="00DF7F45"/>
    <w:rsid w:val="00DF7FAF"/>
    <w:rsid w:val="00E006D6"/>
    <w:rsid w:val="00E00B32"/>
    <w:rsid w:val="00E013AA"/>
    <w:rsid w:val="00E015C0"/>
    <w:rsid w:val="00E01D4C"/>
    <w:rsid w:val="00E01DD7"/>
    <w:rsid w:val="00E01F73"/>
    <w:rsid w:val="00E02248"/>
    <w:rsid w:val="00E0262C"/>
    <w:rsid w:val="00E02FEC"/>
    <w:rsid w:val="00E033D8"/>
    <w:rsid w:val="00E038E2"/>
    <w:rsid w:val="00E03D6F"/>
    <w:rsid w:val="00E053F9"/>
    <w:rsid w:val="00E05963"/>
    <w:rsid w:val="00E05B32"/>
    <w:rsid w:val="00E05B4A"/>
    <w:rsid w:val="00E05C8C"/>
    <w:rsid w:val="00E05E6D"/>
    <w:rsid w:val="00E05F99"/>
    <w:rsid w:val="00E0673A"/>
    <w:rsid w:val="00E067E8"/>
    <w:rsid w:val="00E06875"/>
    <w:rsid w:val="00E07594"/>
    <w:rsid w:val="00E075FB"/>
    <w:rsid w:val="00E07975"/>
    <w:rsid w:val="00E07DA7"/>
    <w:rsid w:val="00E07FA9"/>
    <w:rsid w:val="00E100DA"/>
    <w:rsid w:val="00E1069B"/>
    <w:rsid w:val="00E106FA"/>
    <w:rsid w:val="00E10840"/>
    <w:rsid w:val="00E108A4"/>
    <w:rsid w:val="00E10C3F"/>
    <w:rsid w:val="00E10CD0"/>
    <w:rsid w:val="00E10E44"/>
    <w:rsid w:val="00E11427"/>
    <w:rsid w:val="00E11686"/>
    <w:rsid w:val="00E118B1"/>
    <w:rsid w:val="00E11C00"/>
    <w:rsid w:val="00E12313"/>
    <w:rsid w:val="00E12EB3"/>
    <w:rsid w:val="00E130B6"/>
    <w:rsid w:val="00E13936"/>
    <w:rsid w:val="00E13CAA"/>
    <w:rsid w:val="00E13FDC"/>
    <w:rsid w:val="00E14141"/>
    <w:rsid w:val="00E1494F"/>
    <w:rsid w:val="00E14AE7"/>
    <w:rsid w:val="00E14BF7"/>
    <w:rsid w:val="00E14D96"/>
    <w:rsid w:val="00E14DBF"/>
    <w:rsid w:val="00E14F8B"/>
    <w:rsid w:val="00E15865"/>
    <w:rsid w:val="00E15B31"/>
    <w:rsid w:val="00E1623D"/>
    <w:rsid w:val="00E166FA"/>
    <w:rsid w:val="00E1681B"/>
    <w:rsid w:val="00E16CEE"/>
    <w:rsid w:val="00E16DB6"/>
    <w:rsid w:val="00E16F6A"/>
    <w:rsid w:val="00E178E1"/>
    <w:rsid w:val="00E179FA"/>
    <w:rsid w:val="00E20086"/>
    <w:rsid w:val="00E2074C"/>
    <w:rsid w:val="00E2076B"/>
    <w:rsid w:val="00E20B70"/>
    <w:rsid w:val="00E20BC8"/>
    <w:rsid w:val="00E20DA0"/>
    <w:rsid w:val="00E20ECC"/>
    <w:rsid w:val="00E213CD"/>
    <w:rsid w:val="00E21688"/>
    <w:rsid w:val="00E21DC0"/>
    <w:rsid w:val="00E227BF"/>
    <w:rsid w:val="00E22A98"/>
    <w:rsid w:val="00E23B50"/>
    <w:rsid w:val="00E23CA3"/>
    <w:rsid w:val="00E241E7"/>
    <w:rsid w:val="00E2490B"/>
    <w:rsid w:val="00E249AD"/>
    <w:rsid w:val="00E24ACE"/>
    <w:rsid w:val="00E24B6E"/>
    <w:rsid w:val="00E24B9F"/>
    <w:rsid w:val="00E24F3D"/>
    <w:rsid w:val="00E252E1"/>
    <w:rsid w:val="00E25321"/>
    <w:rsid w:val="00E254CA"/>
    <w:rsid w:val="00E257CA"/>
    <w:rsid w:val="00E26406"/>
    <w:rsid w:val="00E268C5"/>
    <w:rsid w:val="00E26B01"/>
    <w:rsid w:val="00E27033"/>
    <w:rsid w:val="00E271A4"/>
    <w:rsid w:val="00E27518"/>
    <w:rsid w:val="00E275E5"/>
    <w:rsid w:val="00E27DD5"/>
    <w:rsid w:val="00E27F28"/>
    <w:rsid w:val="00E3015D"/>
    <w:rsid w:val="00E30AE5"/>
    <w:rsid w:val="00E30EF4"/>
    <w:rsid w:val="00E31153"/>
    <w:rsid w:val="00E31309"/>
    <w:rsid w:val="00E315F4"/>
    <w:rsid w:val="00E32031"/>
    <w:rsid w:val="00E324FF"/>
    <w:rsid w:val="00E329FE"/>
    <w:rsid w:val="00E32A9F"/>
    <w:rsid w:val="00E32C91"/>
    <w:rsid w:val="00E32F1B"/>
    <w:rsid w:val="00E33160"/>
    <w:rsid w:val="00E33240"/>
    <w:rsid w:val="00E3352F"/>
    <w:rsid w:val="00E33BD9"/>
    <w:rsid w:val="00E342C0"/>
    <w:rsid w:val="00E3491F"/>
    <w:rsid w:val="00E34D25"/>
    <w:rsid w:val="00E34DCA"/>
    <w:rsid w:val="00E355B8"/>
    <w:rsid w:val="00E3566B"/>
    <w:rsid w:val="00E35A70"/>
    <w:rsid w:val="00E35EA0"/>
    <w:rsid w:val="00E369CE"/>
    <w:rsid w:val="00E37291"/>
    <w:rsid w:val="00E374CF"/>
    <w:rsid w:val="00E37D5C"/>
    <w:rsid w:val="00E404E7"/>
    <w:rsid w:val="00E407D9"/>
    <w:rsid w:val="00E40983"/>
    <w:rsid w:val="00E4143B"/>
    <w:rsid w:val="00E41464"/>
    <w:rsid w:val="00E41787"/>
    <w:rsid w:val="00E41C69"/>
    <w:rsid w:val="00E421DB"/>
    <w:rsid w:val="00E422B2"/>
    <w:rsid w:val="00E42500"/>
    <w:rsid w:val="00E42748"/>
    <w:rsid w:val="00E429FD"/>
    <w:rsid w:val="00E42A79"/>
    <w:rsid w:val="00E42A80"/>
    <w:rsid w:val="00E431C1"/>
    <w:rsid w:val="00E43AB4"/>
    <w:rsid w:val="00E43D64"/>
    <w:rsid w:val="00E44211"/>
    <w:rsid w:val="00E44748"/>
    <w:rsid w:val="00E44DE3"/>
    <w:rsid w:val="00E450AE"/>
    <w:rsid w:val="00E451EF"/>
    <w:rsid w:val="00E45766"/>
    <w:rsid w:val="00E457C4"/>
    <w:rsid w:val="00E458F4"/>
    <w:rsid w:val="00E46713"/>
    <w:rsid w:val="00E47106"/>
    <w:rsid w:val="00E474BE"/>
    <w:rsid w:val="00E479E4"/>
    <w:rsid w:val="00E47CBC"/>
    <w:rsid w:val="00E5014B"/>
    <w:rsid w:val="00E50FA1"/>
    <w:rsid w:val="00E518F3"/>
    <w:rsid w:val="00E51B01"/>
    <w:rsid w:val="00E51B55"/>
    <w:rsid w:val="00E51CDD"/>
    <w:rsid w:val="00E51DFC"/>
    <w:rsid w:val="00E51EEA"/>
    <w:rsid w:val="00E52191"/>
    <w:rsid w:val="00E5239B"/>
    <w:rsid w:val="00E52A86"/>
    <w:rsid w:val="00E52C7D"/>
    <w:rsid w:val="00E52F65"/>
    <w:rsid w:val="00E535BA"/>
    <w:rsid w:val="00E53625"/>
    <w:rsid w:val="00E53840"/>
    <w:rsid w:val="00E538D0"/>
    <w:rsid w:val="00E53FE8"/>
    <w:rsid w:val="00E5489C"/>
    <w:rsid w:val="00E5562B"/>
    <w:rsid w:val="00E559B1"/>
    <w:rsid w:val="00E55A9C"/>
    <w:rsid w:val="00E55CF9"/>
    <w:rsid w:val="00E563A1"/>
    <w:rsid w:val="00E56719"/>
    <w:rsid w:val="00E5671C"/>
    <w:rsid w:val="00E5671F"/>
    <w:rsid w:val="00E567E3"/>
    <w:rsid w:val="00E56823"/>
    <w:rsid w:val="00E56B67"/>
    <w:rsid w:val="00E5731E"/>
    <w:rsid w:val="00E5771A"/>
    <w:rsid w:val="00E57BC7"/>
    <w:rsid w:val="00E602D8"/>
    <w:rsid w:val="00E603B9"/>
    <w:rsid w:val="00E604A9"/>
    <w:rsid w:val="00E605EC"/>
    <w:rsid w:val="00E60D86"/>
    <w:rsid w:val="00E60E46"/>
    <w:rsid w:val="00E6102A"/>
    <w:rsid w:val="00E61B82"/>
    <w:rsid w:val="00E61ECD"/>
    <w:rsid w:val="00E61FF1"/>
    <w:rsid w:val="00E620B1"/>
    <w:rsid w:val="00E62425"/>
    <w:rsid w:val="00E62C28"/>
    <w:rsid w:val="00E62C69"/>
    <w:rsid w:val="00E63A59"/>
    <w:rsid w:val="00E63AE9"/>
    <w:rsid w:val="00E63B75"/>
    <w:rsid w:val="00E643F9"/>
    <w:rsid w:val="00E65318"/>
    <w:rsid w:val="00E65641"/>
    <w:rsid w:val="00E65867"/>
    <w:rsid w:val="00E65A5A"/>
    <w:rsid w:val="00E65AF3"/>
    <w:rsid w:val="00E65B7D"/>
    <w:rsid w:val="00E65B8C"/>
    <w:rsid w:val="00E65DF9"/>
    <w:rsid w:val="00E66E08"/>
    <w:rsid w:val="00E66FA0"/>
    <w:rsid w:val="00E673E4"/>
    <w:rsid w:val="00E67589"/>
    <w:rsid w:val="00E67E2C"/>
    <w:rsid w:val="00E70273"/>
    <w:rsid w:val="00E708DB"/>
    <w:rsid w:val="00E70AF6"/>
    <w:rsid w:val="00E70CE5"/>
    <w:rsid w:val="00E712FC"/>
    <w:rsid w:val="00E713BD"/>
    <w:rsid w:val="00E719AD"/>
    <w:rsid w:val="00E719DC"/>
    <w:rsid w:val="00E71B53"/>
    <w:rsid w:val="00E71EBE"/>
    <w:rsid w:val="00E723CE"/>
    <w:rsid w:val="00E72845"/>
    <w:rsid w:val="00E72B8E"/>
    <w:rsid w:val="00E72EA5"/>
    <w:rsid w:val="00E72EAC"/>
    <w:rsid w:val="00E73380"/>
    <w:rsid w:val="00E7344C"/>
    <w:rsid w:val="00E7389E"/>
    <w:rsid w:val="00E73FF5"/>
    <w:rsid w:val="00E746A2"/>
    <w:rsid w:val="00E74A84"/>
    <w:rsid w:val="00E74AA2"/>
    <w:rsid w:val="00E74D3F"/>
    <w:rsid w:val="00E74D86"/>
    <w:rsid w:val="00E75137"/>
    <w:rsid w:val="00E75ACC"/>
    <w:rsid w:val="00E75CBF"/>
    <w:rsid w:val="00E764CA"/>
    <w:rsid w:val="00E76530"/>
    <w:rsid w:val="00E765B8"/>
    <w:rsid w:val="00E76865"/>
    <w:rsid w:val="00E7772C"/>
    <w:rsid w:val="00E77EDD"/>
    <w:rsid w:val="00E8042B"/>
    <w:rsid w:val="00E80835"/>
    <w:rsid w:val="00E80900"/>
    <w:rsid w:val="00E8154B"/>
    <w:rsid w:val="00E817A0"/>
    <w:rsid w:val="00E81D0D"/>
    <w:rsid w:val="00E81E01"/>
    <w:rsid w:val="00E81E4B"/>
    <w:rsid w:val="00E82518"/>
    <w:rsid w:val="00E8254B"/>
    <w:rsid w:val="00E82A82"/>
    <w:rsid w:val="00E82A88"/>
    <w:rsid w:val="00E82AD9"/>
    <w:rsid w:val="00E82C9D"/>
    <w:rsid w:val="00E82D8C"/>
    <w:rsid w:val="00E832BA"/>
    <w:rsid w:val="00E83FF7"/>
    <w:rsid w:val="00E841EB"/>
    <w:rsid w:val="00E8455A"/>
    <w:rsid w:val="00E846A2"/>
    <w:rsid w:val="00E84FAB"/>
    <w:rsid w:val="00E852E2"/>
    <w:rsid w:val="00E85418"/>
    <w:rsid w:val="00E8581C"/>
    <w:rsid w:val="00E85A82"/>
    <w:rsid w:val="00E85C3F"/>
    <w:rsid w:val="00E85EDA"/>
    <w:rsid w:val="00E86152"/>
    <w:rsid w:val="00E863BE"/>
    <w:rsid w:val="00E86BED"/>
    <w:rsid w:val="00E86C93"/>
    <w:rsid w:val="00E86D85"/>
    <w:rsid w:val="00E872E4"/>
    <w:rsid w:val="00E87310"/>
    <w:rsid w:val="00E87806"/>
    <w:rsid w:val="00E87C7E"/>
    <w:rsid w:val="00E87FCF"/>
    <w:rsid w:val="00E902FD"/>
    <w:rsid w:val="00E9037E"/>
    <w:rsid w:val="00E9074A"/>
    <w:rsid w:val="00E90860"/>
    <w:rsid w:val="00E90B5E"/>
    <w:rsid w:val="00E91756"/>
    <w:rsid w:val="00E9180E"/>
    <w:rsid w:val="00E91820"/>
    <w:rsid w:val="00E91E59"/>
    <w:rsid w:val="00E91EBB"/>
    <w:rsid w:val="00E91FBB"/>
    <w:rsid w:val="00E92960"/>
    <w:rsid w:val="00E92CD2"/>
    <w:rsid w:val="00E92E54"/>
    <w:rsid w:val="00E93465"/>
    <w:rsid w:val="00E93672"/>
    <w:rsid w:val="00E93741"/>
    <w:rsid w:val="00E93A83"/>
    <w:rsid w:val="00E946DC"/>
    <w:rsid w:val="00E947B1"/>
    <w:rsid w:val="00E94D1A"/>
    <w:rsid w:val="00E9527B"/>
    <w:rsid w:val="00E952AD"/>
    <w:rsid w:val="00E96153"/>
    <w:rsid w:val="00E9646E"/>
    <w:rsid w:val="00E9650E"/>
    <w:rsid w:val="00E96EBF"/>
    <w:rsid w:val="00E97398"/>
    <w:rsid w:val="00E97938"/>
    <w:rsid w:val="00E979C3"/>
    <w:rsid w:val="00E979C8"/>
    <w:rsid w:val="00EA0097"/>
    <w:rsid w:val="00EA02B5"/>
    <w:rsid w:val="00EA03CD"/>
    <w:rsid w:val="00EA0591"/>
    <w:rsid w:val="00EA0831"/>
    <w:rsid w:val="00EA10A8"/>
    <w:rsid w:val="00EA137B"/>
    <w:rsid w:val="00EA1B26"/>
    <w:rsid w:val="00EA20F4"/>
    <w:rsid w:val="00EA2370"/>
    <w:rsid w:val="00EA260C"/>
    <w:rsid w:val="00EA2BE9"/>
    <w:rsid w:val="00EA2E2E"/>
    <w:rsid w:val="00EA3030"/>
    <w:rsid w:val="00EA340F"/>
    <w:rsid w:val="00EA3AD3"/>
    <w:rsid w:val="00EA3E14"/>
    <w:rsid w:val="00EA49F0"/>
    <w:rsid w:val="00EA4B75"/>
    <w:rsid w:val="00EA4D28"/>
    <w:rsid w:val="00EA5022"/>
    <w:rsid w:val="00EA50A2"/>
    <w:rsid w:val="00EA51A2"/>
    <w:rsid w:val="00EA55E3"/>
    <w:rsid w:val="00EA5D7B"/>
    <w:rsid w:val="00EA6259"/>
    <w:rsid w:val="00EA6364"/>
    <w:rsid w:val="00EA6D02"/>
    <w:rsid w:val="00EA705D"/>
    <w:rsid w:val="00EA747E"/>
    <w:rsid w:val="00EA7577"/>
    <w:rsid w:val="00EA77A5"/>
    <w:rsid w:val="00EA7C21"/>
    <w:rsid w:val="00EB08FC"/>
    <w:rsid w:val="00EB0D2B"/>
    <w:rsid w:val="00EB0EF4"/>
    <w:rsid w:val="00EB10E6"/>
    <w:rsid w:val="00EB1262"/>
    <w:rsid w:val="00EB1BD7"/>
    <w:rsid w:val="00EB2898"/>
    <w:rsid w:val="00EB297A"/>
    <w:rsid w:val="00EB29F9"/>
    <w:rsid w:val="00EB2ADA"/>
    <w:rsid w:val="00EB2B42"/>
    <w:rsid w:val="00EB2DBF"/>
    <w:rsid w:val="00EB2E51"/>
    <w:rsid w:val="00EB332D"/>
    <w:rsid w:val="00EB3DF1"/>
    <w:rsid w:val="00EB474C"/>
    <w:rsid w:val="00EB4763"/>
    <w:rsid w:val="00EB4D3A"/>
    <w:rsid w:val="00EB58BD"/>
    <w:rsid w:val="00EB5BE7"/>
    <w:rsid w:val="00EB64F2"/>
    <w:rsid w:val="00EB69A1"/>
    <w:rsid w:val="00EB74D6"/>
    <w:rsid w:val="00EB762C"/>
    <w:rsid w:val="00EB78F8"/>
    <w:rsid w:val="00EB7C7A"/>
    <w:rsid w:val="00EC099F"/>
    <w:rsid w:val="00EC0A7A"/>
    <w:rsid w:val="00EC0E08"/>
    <w:rsid w:val="00EC0FFC"/>
    <w:rsid w:val="00EC1353"/>
    <w:rsid w:val="00EC160D"/>
    <w:rsid w:val="00EC18EE"/>
    <w:rsid w:val="00EC1BDA"/>
    <w:rsid w:val="00EC1C84"/>
    <w:rsid w:val="00EC243B"/>
    <w:rsid w:val="00EC350A"/>
    <w:rsid w:val="00EC3568"/>
    <w:rsid w:val="00EC3679"/>
    <w:rsid w:val="00EC38AA"/>
    <w:rsid w:val="00EC3DDE"/>
    <w:rsid w:val="00EC41AA"/>
    <w:rsid w:val="00EC4852"/>
    <w:rsid w:val="00EC489A"/>
    <w:rsid w:val="00EC4974"/>
    <w:rsid w:val="00EC4D7C"/>
    <w:rsid w:val="00EC508B"/>
    <w:rsid w:val="00EC52D0"/>
    <w:rsid w:val="00EC544A"/>
    <w:rsid w:val="00EC574E"/>
    <w:rsid w:val="00EC630B"/>
    <w:rsid w:val="00EC64AF"/>
    <w:rsid w:val="00EC6542"/>
    <w:rsid w:val="00EC6553"/>
    <w:rsid w:val="00EC667C"/>
    <w:rsid w:val="00EC6702"/>
    <w:rsid w:val="00EC76A8"/>
    <w:rsid w:val="00EC77F8"/>
    <w:rsid w:val="00EC7930"/>
    <w:rsid w:val="00EC7BAC"/>
    <w:rsid w:val="00ED012A"/>
    <w:rsid w:val="00ED0587"/>
    <w:rsid w:val="00ED0B80"/>
    <w:rsid w:val="00ED10FC"/>
    <w:rsid w:val="00ED1869"/>
    <w:rsid w:val="00ED1D5B"/>
    <w:rsid w:val="00ED1E1F"/>
    <w:rsid w:val="00ED2009"/>
    <w:rsid w:val="00ED294A"/>
    <w:rsid w:val="00ED2C3F"/>
    <w:rsid w:val="00ED2E33"/>
    <w:rsid w:val="00ED34D5"/>
    <w:rsid w:val="00ED372D"/>
    <w:rsid w:val="00ED39D0"/>
    <w:rsid w:val="00ED44F1"/>
    <w:rsid w:val="00ED458A"/>
    <w:rsid w:val="00ED4715"/>
    <w:rsid w:val="00ED48C3"/>
    <w:rsid w:val="00ED4C7C"/>
    <w:rsid w:val="00ED4E70"/>
    <w:rsid w:val="00ED51CA"/>
    <w:rsid w:val="00ED5688"/>
    <w:rsid w:val="00ED5C67"/>
    <w:rsid w:val="00ED6534"/>
    <w:rsid w:val="00ED66F1"/>
    <w:rsid w:val="00ED6740"/>
    <w:rsid w:val="00ED6A72"/>
    <w:rsid w:val="00ED728E"/>
    <w:rsid w:val="00ED7479"/>
    <w:rsid w:val="00ED7A09"/>
    <w:rsid w:val="00ED7CB1"/>
    <w:rsid w:val="00ED7E3F"/>
    <w:rsid w:val="00ED7E47"/>
    <w:rsid w:val="00EE0E73"/>
    <w:rsid w:val="00EE1035"/>
    <w:rsid w:val="00EE16AB"/>
    <w:rsid w:val="00EE1F0E"/>
    <w:rsid w:val="00EE200B"/>
    <w:rsid w:val="00EE20E8"/>
    <w:rsid w:val="00EE2242"/>
    <w:rsid w:val="00EE2450"/>
    <w:rsid w:val="00EE2CB6"/>
    <w:rsid w:val="00EE3486"/>
    <w:rsid w:val="00EE363E"/>
    <w:rsid w:val="00EE38A1"/>
    <w:rsid w:val="00EE3BA8"/>
    <w:rsid w:val="00EE4294"/>
    <w:rsid w:val="00EE4324"/>
    <w:rsid w:val="00EE4585"/>
    <w:rsid w:val="00EE466E"/>
    <w:rsid w:val="00EE4E74"/>
    <w:rsid w:val="00EE50D7"/>
    <w:rsid w:val="00EE5402"/>
    <w:rsid w:val="00EE54EB"/>
    <w:rsid w:val="00EE595E"/>
    <w:rsid w:val="00EE5A45"/>
    <w:rsid w:val="00EE5A8F"/>
    <w:rsid w:val="00EE5D67"/>
    <w:rsid w:val="00EE5DDF"/>
    <w:rsid w:val="00EE5F28"/>
    <w:rsid w:val="00EE696E"/>
    <w:rsid w:val="00EE6C83"/>
    <w:rsid w:val="00EE6F17"/>
    <w:rsid w:val="00EE6FEB"/>
    <w:rsid w:val="00EE7421"/>
    <w:rsid w:val="00EF008D"/>
    <w:rsid w:val="00EF0974"/>
    <w:rsid w:val="00EF0E10"/>
    <w:rsid w:val="00EF1179"/>
    <w:rsid w:val="00EF1235"/>
    <w:rsid w:val="00EF12E2"/>
    <w:rsid w:val="00EF16D6"/>
    <w:rsid w:val="00EF1B24"/>
    <w:rsid w:val="00EF1DDD"/>
    <w:rsid w:val="00EF1E0A"/>
    <w:rsid w:val="00EF1FBB"/>
    <w:rsid w:val="00EF212A"/>
    <w:rsid w:val="00EF2867"/>
    <w:rsid w:val="00EF2A70"/>
    <w:rsid w:val="00EF2AFB"/>
    <w:rsid w:val="00EF2F74"/>
    <w:rsid w:val="00EF3742"/>
    <w:rsid w:val="00EF3A8B"/>
    <w:rsid w:val="00EF3A97"/>
    <w:rsid w:val="00EF4015"/>
    <w:rsid w:val="00EF42FE"/>
    <w:rsid w:val="00EF4650"/>
    <w:rsid w:val="00EF46B3"/>
    <w:rsid w:val="00EF5A8B"/>
    <w:rsid w:val="00EF5BE8"/>
    <w:rsid w:val="00EF5E17"/>
    <w:rsid w:val="00EF603A"/>
    <w:rsid w:val="00EF62B8"/>
    <w:rsid w:val="00EF6A3C"/>
    <w:rsid w:val="00EF76DB"/>
    <w:rsid w:val="00EF78DD"/>
    <w:rsid w:val="00F001AA"/>
    <w:rsid w:val="00F00226"/>
    <w:rsid w:val="00F00252"/>
    <w:rsid w:val="00F00B19"/>
    <w:rsid w:val="00F014F1"/>
    <w:rsid w:val="00F023CC"/>
    <w:rsid w:val="00F023E9"/>
    <w:rsid w:val="00F028CF"/>
    <w:rsid w:val="00F02B68"/>
    <w:rsid w:val="00F02C9F"/>
    <w:rsid w:val="00F03887"/>
    <w:rsid w:val="00F03ACE"/>
    <w:rsid w:val="00F03EB9"/>
    <w:rsid w:val="00F04DD5"/>
    <w:rsid w:val="00F04FD3"/>
    <w:rsid w:val="00F050B7"/>
    <w:rsid w:val="00F05AA2"/>
    <w:rsid w:val="00F06741"/>
    <w:rsid w:val="00F06C20"/>
    <w:rsid w:val="00F06E05"/>
    <w:rsid w:val="00F070F7"/>
    <w:rsid w:val="00F07560"/>
    <w:rsid w:val="00F1057E"/>
    <w:rsid w:val="00F10B71"/>
    <w:rsid w:val="00F10E8C"/>
    <w:rsid w:val="00F10F7C"/>
    <w:rsid w:val="00F10FEE"/>
    <w:rsid w:val="00F1125A"/>
    <w:rsid w:val="00F116D8"/>
    <w:rsid w:val="00F117D1"/>
    <w:rsid w:val="00F11CDB"/>
    <w:rsid w:val="00F11E16"/>
    <w:rsid w:val="00F11EDB"/>
    <w:rsid w:val="00F12C81"/>
    <w:rsid w:val="00F12EB0"/>
    <w:rsid w:val="00F1308E"/>
    <w:rsid w:val="00F135EB"/>
    <w:rsid w:val="00F13702"/>
    <w:rsid w:val="00F13F6C"/>
    <w:rsid w:val="00F14283"/>
    <w:rsid w:val="00F14829"/>
    <w:rsid w:val="00F14BEE"/>
    <w:rsid w:val="00F1506A"/>
    <w:rsid w:val="00F15B3D"/>
    <w:rsid w:val="00F15C79"/>
    <w:rsid w:val="00F15CB8"/>
    <w:rsid w:val="00F15FA7"/>
    <w:rsid w:val="00F1611F"/>
    <w:rsid w:val="00F162EE"/>
    <w:rsid w:val="00F16870"/>
    <w:rsid w:val="00F16C15"/>
    <w:rsid w:val="00F16C7A"/>
    <w:rsid w:val="00F16FE0"/>
    <w:rsid w:val="00F17905"/>
    <w:rsid w:val="00F17C10"/>
    <w:rsid w:val="00F2048B"/>
    <w:rsid w:val="00F20C15"/>
    <w:rsid w:val="00F21622"/>
    <w:rsid w:val="00F218A6"/>
    <w:rsid w:val="00F221B8"/>
    <w:rsid w:val="00F22BEC"/>
    <w:rsid w:val="00F232E5"/>
    <w:rsid w:val="00F2347A"/>
    <w:rsid w:val="00F23746"/>
    <w:rsid w:val="00F237CF"/>
    <w:rsid w:val="00F23DCC"/>
    <w:rsid w:val="00F24739"/>
    <w:rsid w:val="00F24B37"/>
    <w:rsid w:val="00F25A12"/>
    <w:rsid w:val="00F2661E"/>
    <w:rsid w:val="00F26E80"/>
    <w:rsid w:val="00F26EEE"/>
    <w:rsid w:val="00F26FEB"/>
    <w:rsid w:val="00F270B5"/>
    <w:rsid w:val="00F27136"/>
    <w:rsid w:val="00F27295"/>
    <w:rsid w:val="00F27823"/>
    <w:rsid w:val="00F27D86"/>
    <w:rsid w:val="00F27DF4"/>
    <w:rsid w:val="00F30268"/>
    <w:rsid w:val="00F305BE"/>
    <w:rsid w:val="00F30A38"/>
    <w:rsid w:val="00F30DF3"/>
    <w:rsid w:val="00F31467"/>
    <w:rsid w:val="00F31598"/>
    <w:rsid w:val="00F31827"/>
    <w:rsid w:val="00F31A87"/>
    <w:rsid w:val="00F31BB9"/>
    <w:rsid w:val="00F325B2"/>
    <w:rsid w:val="00F33A38"/>
    <w:rsid w:val="00F33DA8"/>
    <w:rsid w:val="00F3423A"/>
    <w:rsid w:val="00F34EBE"/>
    <w:rsid w:val="00F356AE"/>
    <w:rsid w:val="00F3582A"/>
    <w:rsid w:val="00F35A0B"/>
    <w:rsid w:val="00F35DF9"/>
    <w:rsid w:val="00F35FE1"/>
    <w:rsid w:val="00F36416"/>
    <w:rsid w:val="00F36746"/>
    <w:rsid w:val="00F36CBB"/>
    <w:rsid w:val="00F36CC8"/>
    <w:rsid w:val="00F37374"/>
    <w:rsid w:val="00F374D2"/>
    <w:rsid w:val="00F377A2"/>
    <w:rsid w:val="00F37886"/>
    <w:rsid w:val="00F4007C"/>
    <w:rsid w:val="00F40543"/>
    <w:rsid w:val="00F405FF"/>
    <w:rsid w:val="00F40768"/>
    <w:rsid w:val="00F407DB"/>
    <w:rsid w:val="00F408DF"/>
    <w:rsid w:val="00F40940"/>
    <w:rsid w:val="00F415F1"/>
    <w:rsid w:val="00F41C2A"/>
    <w:rsid w:val="00F41FC7"/>
    <w:rsid w:val="00F4212C"/>
    <w:rsid w:val="00F42DF5"/>
    <w:rsid w:val="00F42F17"/>
    <w:rsid w:val="00F435EC"/>
    <w:rsid w:val="00F4375F"/>
    <w:rsid w:val="00F43B89"/>
    <w:rsid w:val="00F43B97"/>
    <w:rsid w:val="00F44013"/>
    <w:rsid w:val="00F4420D"/>
    <w:rsid w:val="00F4429F"/>
    <w:rsid w:val="00F442AA"/>
    <w:rsid w:val="00F445A0"/>
    <w:rsid w:val="00F448B7"/>
    <w:rsid w:val="00F450BE"/>
    <w:rsid w:val="00F45364"/>
    <w:rsid w:val="00F45555"/>
    <w:rsid w:val="00F456C3"/>
    <w:rsid w:val="00F457ED"/>
    <w:rsid w:val="00F4587D"/>
    <w:rsid w:val="00F45DAC"/>
    <w:rsid w:val="00F466B6"/>
    <w:rsid w:val="00F46A16"/>
    <w:rsid w:val="00F46CC7"/>
    <w:rsid w:val="00F46EC4"/>
    <w:rsid w:val="00F471DF"/>
    <w:rsid w:val="00F47A14"/>
    <w:rsid w:val="00F47B29"/>
    <w:rsid w:val="00F47F87"/>
    <w:rsid w:val="00F50221"/>
    <w:rsid w:val="00F50A0B"/>
    <w:rsid w:val="00F50A5B"/>
    <w:rsid w:val="00F50DA6"/>
    <w:rsid w:val="00F5136E"/>
    <w:rsid w:val="00F51F03"/>
    <w:rsid w:val="00F527D0"/>
    <w:rsid w:val="00F527EB"/>
    <w:rsid w:val="00F52A00"/>
    <w:rsid w:val="00F52E53"/>
    <w:rsid w:val="00F53867"/>
    <w:rsid w:val="00F53CE6"/>
    <w:rsid w:val="00F53E52"/>
    <w:rsid w:val="00F53E83"/>
    <w:rsid w:val="00F54480"/>
    <w:rsid w:val="00F54C0D"/>
    <w:rsid w:val="00F54CCC"/>
    <w:rsid w:val="00F55179"/>
    <w:rsid w:val="00F55264"/>
    <w:rsid w:val="00F55C73"/>
    <w:rsid w:val="00F55F6B"/>
    <w:rsid w:val="00F561AA"/>
    <w:rsid w:val="00F562F7"/>
    <w:rsid w:val="00F56A9E"/>
    <w:rsid w:val="00F56F8D"/>
    <w:rsid w:val="00F57326"/>
    <w:rsid w:val="00F574F9"/>
    <w:rsid w:val="00F576A7"/>
    <w:rsid w:val="00F578D6"/>
    <w:rsid w:val="00F579FB"/>
    <w:rsid w:val="00F57A79"/>
    <w:rsid w:val="00F57ADF"/>
    <w:rsid w:val="00F57DC3"/>
    <w:rsid w:val="00F601E5"/>
    <w:rsid w:val="00F60B60"/>
    <w:rsid w:val="00F60D6C"/>
    <w:rsid w:val="00F60DCA"/>
    <w:rsid w:val="00F60E01"/>
    <w:rsid w:val="00F60E46"/>
    <w:rsid w:val="00F60FAB"/>
    <w:rsid w:val="00F612F1"/>
    <w:rsid w:val="00F61586"/>
    <w:rsid w:val="00F6213C"/>
    <w:rsid w:val="00F62701"/>
    <w:rsid w:val="00F627CF"/>
    <w:rsid w:val="00F627F3"/>
    <w:rsid w:val="00F6293D"/>
    <w:rsid w:val="00F62DC0"/>
    <w:rsid w:val="00F62DF6"/>
    <w:rsid w:val="00F63237"/>
    <w:rsid w:val="00F63581"/>
    <w:rsid w:val="00F637F3"/>
    <w:rsid w:val="00F63C61"/>
    <w:rsid w:val="00F646C2"/>
    <w:rsid w:val="00F64B82"/>
    <w:rsid w:val="00F64CF4"/>
    <w:rsid w:val="00F654E6"/>
    <w:rsid w:val="00F65DBE"/>
    <w:rsid w:val="00F65E06"/>
    <w:rsid w:val="00F66678"/>
    <w:rsid w:val="00F67746"/>
    <w:rsid w:val="00F67C62"/>
    <w:rsid w:val="00F700F6"/>
    <w:rsid w:val="00F7046B"/>
    <w:rsid w:val="00F70709"/>
    <w:rsid w:val="00F707C2"/>
    <w:rsid w:val="00F707EC"/>
    <w:rsid w:val="00F70933"/>
    <w:rsid w:val="00F709D8"/>
    <w:rsid w:val="00F70F06"/>
    <w:rsid w:val="00F70F33"/>
    <w:rsid w:val="00F71298"/>
    <w:rsid w:val="00F713AC"/>
    <w:rsid w:val="00F71740"/>
    <w:rsid w:val="00F72074"/>
    <w:rsid w:val="00F72283"/>
    <w:rsid w:val="00F72773"/>
    <w:rsid w:val="00F73DC1"/>
    <w:rsid w:val="00F740C4"/>
    <w:rsid w:val="00F7413E"/>
    <w:rsid w:val="00F741E4"/>
    <w:rsid w:val="00F74461"/>
    <w:rsid w:val="00F74959"/>
    <w:rsid w:val="00F74CCC"/>
    <w:rsid w:val="00F75318"/>
    <w:rsid w:val="00F757E4"/>
    <w:rsid w:val="00F75B2D"/>
    <w:rsid w:val="00F76277"/>
    <w:rsid w:val="00F765F5"/>
    <w:rsid w:val="00F7660E"/>
    <w:rsid w:val="00F7679F"/>
    <w:rsid w:val="00F76B83"/>
    <w:rsid w:val="00F76EAC"/>
    <w:rsid w:val="00F7702E"/>
    <w:rsid w:val="00F7725C"/>
    <w:rsid w:val="00F77700"/>
    <w:rsid w:val="00F77CEC"/>
    <w:rsid w:val="00F77D9A"/>
    <w:rsid w:val="00F77F5C"/>
    <w:rsid w:val="00F8007E"/>
    <w:rsid w:val="00F80130"/>
    <w:rsid w:val="00F8030F"/>
    <w:rsid w:val="00F80879"/>
    <w:rsid w:val="00F80E5D"/>
    <w:rsid w:val="00F815C4"/>
    <w:rsid w:val="00F81C16"/>
    <w:rsid w:val="00F81C8A"/>
    <w:rsid w:val="00F8240F"/>
    <w:rsid w:val="00F8284E"/>
    <w:rsid w:val="00F829C5"/>
    <w:rsid w:val="00F82D91"/>
    <w:rsid w:val="00F82F2E"/>
    <w:rsid w:val="00F8336D"/>
    <w:rsid w:val="00F834CD"/>
    <w:rsid w:val="00F835B5"/>
    <w:rsid w:val="00F83BAC"/>
    <w:rsid w:val="00F83E4B"/>
    <w:rsid w:val="00F84304"/>
    <w:rsid w:val="00F8443B"/>
    <w:rsid w:val="00F845D5"/>
    <w:rsid w:val="00F84973"/>
    <w:rsid w:val="00F8498A"/>
    <w:rsid w:val="00F84B22"/>
    <w:rsid w:val="00F84C97"/>
    <w:rsid w:val="00F84E2C"/>
    <w:rsid w:val="00F8510B"/>
    <w:rsid w:val="00F856A3"/>
    <w:rsid w:val="00F857AF"/>
    <w:rsid w:val="00F85BC1"/>
    <w:rsid w:val="00F85CFF"/>
    <w:rsid w:val="00F86120"/>
    <w:rsid w:val="00F86286"/>
    <w:rsid w:val="00F86482"/>
    <w:rsid w:val="00F865E4"/>
    <w:rsid w:val="00F8687B"/>
    <w:rsid w:val="00F8690C"/>
    <w:rsid w:val="00F86D72"/>
    <w:rsid w:val="00F86E41"/>
    <w:rsid w:val="00F8759C"/>
    <w:rsid w:val="00F87BC6"/>
    <w:rsid w:val="00F900D7"/>
    <w:rsid w:val="00F90758"/>
    <w:rsid w:val="00F90BEF"/>
    <w:rsid w:val="00F90CF9"/>
    <w:rsid w:val="00F90E3A"/>
    <w:rsid w:val="00F9129C"/>
    <w:rsid w:val="00F916E5"/>
    <w:rsid w:val="00F917C7"/>
    <w:rsid w:val="00F91C85"/>
    <w:rsid w:val="00F91E98"/>
    <w:rsid w:val="00F921F7"/>
    <w:rsid w:val="00F9277F"/>
    <w:rsid w:val="00F92A67"/>
    <w:rsid w:val="00F92E81"/>
    <w:rsid w:val="00F9325D"/>
    <w:rsid w:val="00F9386E"/>
    <w:rsid w:val="00F94400"/>
    <w:rsid w:val="00F94564"/>
    <w:rsid w:val="00F94690"/>
    <w:rsid w:val="00F94AD5"/>
    <w:rsid w:val="00F9574B"/>
    <w:rsid w:val="00F962A5"/>
    <w:rsid w:val="00F965A0"/>
    <w:rsid w:val="00F965C8"/>
    <w:rsid w:val="00F96670"/>
    <w:rsid w:val="00F96BF2"/>
    <w:rsid w:val="00FA0159"/>
    <w:rsid w:val="00FA0A8D"/>
    <w:rsid w:val="00FA11EF"/>
    <w:rsid w:val="00FA13DB"/>
    <w:rsid w:val="00FA17F5"/>
    <w:rsid w:val="00FA231D"/>
    <w:rsid w:val="00FA25D3"/>
    <w:rsid w:val="00FA285D"/>
    <w:rsid w:val="00FA2B02"/>
    <w:rsid w:val="00FA33ED"/>
    <w:rsid w:val="00FA389A"/>
    <w:rsid w:val="00FA390B"/>
    <w:rsid w:val="00FA3F20"/>
    <w:rsid w:val="00FA4134"/>
    <w:rsid w:val="00FA4777"/>
    <w:rsid w:val="00FA4B7E"/>
    <w:rsid w:val="00FA4D36"/>
    <w:rsid w:val="00FA4D80"/>
    <w:rsid w:val="00FA4E36"/>
    <w:rsid w:val="00FA4EE4"/>
    <w:rsid w:val="00FA6758"/>
    <w:rsid w:val="00FA6B6D"/>
    <w:rsid w:val="00FA6BD0"/>
    <w:rsid w:val="00FA6BF9"/>
    <w:rsid w:val="00FA6E45"/>
    <w:rsid w:val="00FA71D0"/>
    <w:rsid w:val="00FA757D"/>
    <w:rsid w:val="00FA7735"/>
    <w:rsid w:val="00FA7CC7"/>
    <w:rsid w:val="00FB0A13"/>
    <w:rsid w:val="00FB0D66"/>
    <w:rsid w:val="00FB1115"/>
    <w:rsid w:val="00FB1359"/>
    <w:rsid w:val="00FB14B6"/>
    <w:rsid w:val="00FB1A35"/>
    <w:rsid w:val="00FB1A67"/>
    <w:rsid w:val="00FB1BE4"/>
    <w:rsid w:val="00FB238F"/>
    <w:rsid w:val="00FB2674"/>
    <w:rsid w:val="00FB298A"/>
    <w:rsid w:val="00FB29F3"/>
    <w:rsid w:val="00FB2D84"/>
    <w:rsid w:val="00FB2F92"/>
    <w:rsid w:val="00FB3196"/>
    <w:rsid w:val="00FB34F0"/>
    <w:rsid w:val="00FB3744"/>
    <w:rsid w:val="00FB3752"/>
    <w:rsid w:val="00FB37A8"/>
    <w:rsid w:val="00FB40BD"/>
    <w:rsid w:val="00FB4AE4"/>
    <w:rsid w:val="00FB4D00"/>
    <w:rsid w:val="00FB5760"/>
    <w:rsid w:val="00FB58D2"/>
    <w:rsid w:val="00FB5EC6"/>
    <w:rsid w:val="00FB67B1"/>
    <w:rsid w:val="00FB68BA"/>
    <w:rsid w:val="00FB6957"/>
    <w:rsid w:val="00FB6D59"/>
    <w:rsid w:val="00FB7803"/>
    <w:rsid w:val="00FB7D3A"/>
    <w:rsid w:val="00FC0498"/>
    <w:rsid w:val="00FC0A2E"/>
    <w:rsid w:val="00FC0C3E"/>
    <w:rsid w:val="00FC1240"/>
    <w:rsid w:val="00FC1CF3"/>
    <w:rsid w:val="00FC1F8D"/>
    <w:rsid w:val="00FC1FA7"/>
    <w:rsid w:val="00FC204F"/>
    <w:rsid w:val="00FC21F6"/>
    <w:rsid w:val="00FC2365"/>
    <w:rsid w:val="00FC26BA"/>
    <w:rsid w:val="00FC274B"/>
    <w:rsid w:val="00FC35A2"/>
    <w:rsid w:val="00FC35AD"/>
    <w:rsid w:val="00FC38C3"/>
    <w:rsid w:val="00FC3D01"/>
    <w:rsid w:val="00FC3F97"/>
    <w:rsid w:val="00FC41E0"/>
    <w:rsid w:val="00FC471E"/>
    <w:rsid w:val="00FC4CC4"/>
    <w:rsid w:val="00FC4D26"/>
    <w:rsid w:val="00FC5194"/>
    <w:rsid w:val="00FC531E"/>
    <w:rsid w:val="00FC5555"/>
    <w:rsid w:val="00FC5591"/>
    <w:rsid w:val="00FC5B63"/>
    <w:rsid w:val="00FC61F2"/>
    <w:rsid w:val="00FC645A"/>
    <w:rsid w:val="00FC6FBA"/>
    <w:rsid w:val="00FC795B"/>
    <w:rsid w:val="00FC7AA2"/>
    <w:rsid w:val="00FC7D04"/>
    <w:rsid w:val="00FC7EBD"/>
    <w:rsid w:val="00FD01DC"/>
    <w:rsid w:val="00FD0565"/>
    <w:rsid w:val="00FD082A"/>
    <w:rsid w:val="00FD0ED4"/>
    <w:rsid w:val="00FD1237"/>
    <w:rsid w:val="00FD17F4"/>
    <w:rsid w:val="00FD1A77"/>
    <w:rsid w:val="00FD1CE9"/>
    <w:rsid w:val="00FD1E4D"/>
    <w:rsid w:val="00FD1FF8"/>
    <w:rsid w:val="00FD221D"/>
    <w:rsid w:val="00FD2284"/>
    <w:rsid w:val="00FD236D"/>
    <w:rsid w:val="00FD2A7E"/>
    <w:rsid w:val="00FD308F"/>
    <w:rsid w:val="00FD3602"/>
    <w:rsid w:val="00FD36A5"/>
    <w:rsid w:val="00FD4331"/>
    <w:rsid w:val="00FD5643"/>
    <w:rsid w:val="00FD5753"/>
    <w:rsid w:val="00FD58B0"/>
    <w:rsid w:val="00FD58F1"/>
    <w:rsid w:val="00FD707E"/>
    <w:rsid w:val="00FD762C"/>
    <w:rsid w:val="00FD7985"/>
    <w:rsid w:val="00FD7A8B"/>
    <w:rsid w:val="00FD7BF1"/>
    <w:rsid w:val="00FD7D0F"/>
    <w:rsid w:val="00FD7E51"/>
    <w:rsid w:val="00FE00FC"/>
    <w:rsid w:val="00FE0300"/>
    <w:rsid w:val="00FE03DB"/>
    <w:rsid w:val="00FE060D"/>
    <w:rsid w:val="00FE0917"/>
    <w:rsid w:val="00FE0B21"/>
    <w:rsid w:val="00FE0CA5"/>
    <w:rsid w:val="00FE10BE"/>
    <w:rsid w:val="00FE191C"/>
    <w:rsid w:val="00FE2508"/>
    <w:rsid w:val="00FE286E"/>
    <w:rsid w:val="00FE28AB"/>
    <w:rsid w:val="00FE28BC"/>
    <w:rsid w:val="00FE2E0A"/>
    <w:rsid w:val="00FE2F63"/>
    <w:rsid w:val="00FE2FA7"/>
    <w:rsid w:val="00FE301E"/>
    <w:rsid w:val="00FE325C"/>
    <w:rsid w:val="00FE37AA"/>
    <w:rsid w:val="00FE39BD"/>
    <w:rsid w:val="00FE3ADB"/>
    <w:rsid w:val="00FE466A"/>
    <w:rsid w:val="00FE48C2"/>
    <w:rsid w:val="00FE4A15"/>
    <w:rsid w:val="00FE4A82"/>
    <w:rsid w:val="00FE4ACD"/>
    <w:rsid w:val="00FE4BC7"/>
    <w:rsid w:val="00FE4E14"/>
    <w:rsid w:val="00FE4F4F"/>
    <w:rsid w:val="00FE5803"/>
    <w:rsid w:val="00FE5920"/>
    <w:rsid w:val="00FE5A69"/>
    <w:rsid w:val="00FE5DB6"/>
    <w:rsid w:val="00FE5E20"/>
    <w:rsid w:val="00FE678A"/>
    <w:rsid w:val="00FE67DE"/>
    <w:rsid w:val="00FE6950"/>
    <w:rsid w:val="00FE6A6A"/>
    <w:rsid w:val="00FE6E55"/>
    <w:rsid w:val="00FE73AD"/>
    <w:rsid w:val="00FE75F7"/>
    <w:rsid w:val="00FE7794"/>
    <w:rsid w:val="00FE7ADE"/>
    <w:rsid w:val="00FE7BC8"/>
    <w:rsid w:val="00FE7C54"/>
    <w:rsid w:val="00FF0101"/>
    <w:rsid w:val="00FF0A3C"/>
    <w:rsid w:val="00FF133A"/>
    <w:rsid w:val="00FF1797"/>
    <w:rsid w:val="00FF1BFD"/>
    <w:rsid w:val="00FF1C58"/>
    <w:rsid w:val="00FF237B"/>
    <w:rsid w:val="00FF259C"/>
    <w:rsid w:val="00FF2C94"/>
    <w:rsid w:val="00FF3502"/>
    <w:rsid w:val="00FF3E6E"/>
    <w:rsid w:val="00FF41B8"/>
    <w:rsid w:val="00FF478B"/>
    <w:rsid w:val="00FF4CAA"/>
    <w:rsid w:val="00FF4ED4"/>
    <w:rsid w:val="00FF59B9"/>
    <w:rsid w:val="00FF5AAC"/>
    <w:rsid w:val="00FF5B93"/>
    <w:rsid w:val="00FF64FD"/>
    <w:rsid w:val="00FF6685"/>
    <w:rsid w:val="00FF6788"/>
    <w:rsid w:val="00FF7C4B"/>
    <w:rsid w:val="00FF7CD6"/>
    <w:rsid w:val="00FF7E08"/>
    <w:rsid w:val="0102D5E1"/>
    <w:rsid w:val="010AC6A0"/>
    <w:rsid w:val="0126235F"/>
    <w:rsid w:val="0590C8A7"/>
    <w:rsid w:val="0618551D"/>
    <w:rsid w:val="078F8C7A"/>
    <w:rsid w:val="0A077348"/>
    <w:rsid w:val="0AB25D8E"/>
    <w:rsid w:val="0E1DFCAA"/>
    <w:rsid w:val="0F41A0C9"/>
    <w:rsid w:val="0FE5F60D"/>
    <w:rsid w:val="116AA700"/>
    <w:rsid w:val="12F86D89"/>
    <w:rsid w:val="12FBAD4D"/>
    <w:rsid w:val="141E9C27"/>
    <w:rsid w:val="15BC2686"/>
    <w:rsid w:val="1637412D"/>
    <w:rsid w:val="17222D83"/>
    <w:rsid w:val="184AB170"/>
    <w:rsid w:val="194C5C4A"/>
    <w:rsid w:val="1A63C39D"/>
    <w:rsid w:val="1AD4CF0D"/>
    <w:rsid w:val="1BAFAE0F"/>
    <w:rsid w:val="1C30A260"/>
    <w:rsid w:val="1C8639B5"/>
    <w:rsid w:val="1FD592CD"/>
    <w:rsid w:val="2120721F"/>
    <w:rsid w:val="2193D778"/>
    <w:rsid w:val="22AFB2AC"/>
    <w:rsid w:val="22DD9817"/>
    <w:rsid w:val="25E10FEC"/>
    <w:rsid w:val="2641846E"/>
    <w:rsid w:val="26675F18"/>
    <w:rsid w:val="26AD2492"/>
    <w:rsid w:val="2A4255C3"/>
    <w:rsid w:val="2C5E3150"/>
    <w:rsid w:val="2DAD0C23"/>
    <w:rsid w:val="2DBF2229"/>
    <w:rsid w:val="2ED91689"/>
    <w:rsid w:val="30116F2B"/>
    <w:rsid w:val="34842C01"/>
    <w:rsid w:val="35510260"/>
    <w:rsid w:val="366DCE74"/>
    <w:rsid w:val="369219B3"/>
    <w:rsid w:val="372B33E0"/>
    <w:rsid w:val="373F4547"/>
    <w:rsid w:val="3A1979D3"/>
    <w:rsid w:val="3A82547B"/>
    <w:rsid w:val="3A964DBF"/>
    <w:rsid w:val="3C273C80"/>
    <w:rsid w:val="3C5E1EF4"/>
    <w:rsid w:val="3FAEB777"/>
    <w:rsid w:val="41FC0F7E"/>
    <w:rsid w:val="42476751"/>
    <w:rsid w:val="456795AD"/>
    <w:rsid w:val="460BE359"/>
    <w:rsid w:val="479EF2EF"/>
    <w:rsid w:val="49C16A4A"/>
    <w:rsid w:val="4B71AA8A"/>
    <w:rsid w:val="4C3EF214"/>
    <w:rsid w:val="4DCE298D"/>
    <w:rsid w:val="4E3577D3"/>
    <w:rsid w:val="4EFE0B9E"/>
    <w:rsid w:val="4FAAA154"/>
    <w:rsid w:val="50865706"/>
    <w:rsid w:val="509044D1"/>
    <w:rsid w:val="51AC48B6"/>
    <w:rsid w:val="52A24C1B"/>
    <w:rsid w:val="52F34458"/>
    <w:rsid w:val="54A483B5"/>
    <w:rsid w:val="5634E633"/>
    <w:rsid w:val="58A1EC95"/>
    <w:rsid w:val="5A781133"/>
    <w:rsid w:val="5AF4A938"/>
    <w:rsid w:val="5BBC246A"/>
    <w:rsid w:val="5DA420AC"/>
    <w:rsid w:val="5E21EC04"/>
    <w:rsid w:val="5E489F4A"/>
    <w:rsid w:val="60313C19"/>
    <w:rsid w:val="618B02AE"/>
    <w:rsid w:val="636BDCAA"/>
    <w:rsid w:val="65FFC352"/>
    <w:rsid w:val="676D2E9A"/>
    <w:rsid w:val="68DFF894"/>
    <w:rsid w:val="69B1C049"/>
    <w:rsid w:val="69F454A7"/>
    <w:rsid w:val="6A35ACC3"/>
    <w:rsid w:val="6B79C9D2"/>
    <w:rsid w:val="6BDC7DC1"/>
    <w:rsid w:val="70268AA1"/>
    <w:rsid w:val="71E68B83"/>
    <w:rsid w:val="72433B6D"/>
    <w:rsid w:val="72488021"/>
    <w:rsid w:val="7443E793"/>
    <w:rsid w:val="745FD0D6"/>
    <w:rsid w:val="74B5D6F0"/>
    <w:rsid w:val="76630E1A"/>
    <w:rsid w:val="76BDCE91"/>
    <w:rsid w:val="78BB9F66"/>
    <w:rsid w:val="7C26CF8E"/>
    <w:rsid w:val="7D4CF84F"/>
    <w:rsid w:val="7ECD1CB0"/>
    <w:rsid w:val="7F561322"/>
  </w:rsids>
  <m:mathPr>
    <m:mathFont m:val="Cambria Math"/>
    <m:brkBin m:val="before"/>
    <m:brkBinSub m:val="--"/>
    <m:smallFrac/>
    <m:dispDef/>
    <m:lMargin m:val="0"/>
    <m:rMargin m:val="0"/>
    <m:defJc m:val="centerGroup"/>
    <m:wrapIndent m:val="1440"/>
    <m:intLim m:val="subSup"/>
    <m:naryLim m:val="undOvr"/>
  </m:mathPr>
  <w:themeFontLang w:val="en-AU" w:eastAsia="zh-TW"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3F970F"/>
  <w15:docId w15:val="{A8720ABB-6A04-450B-BD27-11825A88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uiPriority="0" w:qFormat="1"/>
    <w:lsdException w:name="footnote text" w:uiPriority="0" w:qFormat="1"/>
    <w:lsdException w:name="annotation text" w:unhideWhenUsed="1" w:qFormat="1"/>
    <w:lsdException w:name="header" w:unhideWhenUsed="1" w:qFormat="1"/>
    <w:lsdException w:name="footer" w:unhideWhenUsed="1"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uiPriority="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qFormat="1"/>
    <w:lsdException w:name="Salutation" w:semiHidden="1" w:unhideWhenUsed="1"/>
    <w:lsdException w:name="Date" w:semiHidden="1" w:qFormat="1"/>
    <w:lsdException w:name="Body Text First Indent" w:semiHidden="1"/>
    <w:lsdException w:name="Body Text First Indent 2" w:semiHidden="1" w:unhideWhenUsed="1"/>
    <w:lsdException w:name="Note Heading" w:semiHidden="1" w:unhideWhenUsed="1"/>
    <w:lsdException w:name="Body Text 2" w:uiPriority="9" w:qFormat="1"/>
    <w:lsdException w:name="Body Text 3" w:uiPriority="9" w:qFormat="1"/>
    <w:lsdException w:name="Body Text Indent 2" w:uiPriority="0"/>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qFormat="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276" w:lineRule="auto"/>
      <w:jc w:val="both"/>
    </w:pPr>
    <w:rPr>
      <w:rFonts w:ascii="Arial" w:hAnsi="Arial" w:cs="Arial"/>
      <w:color w:val="7F7F7F" w:themeColor="text1" w:themeTint="80"/>
      <w:lang w:val="en-GB"/>
    </w:rPr>
  </w:style>
  <w:style w:type="paragraph" w:styleId="Heading1">
    <w:name w:val="heading 1"/>
    <w:basedOn w:val="Normal"/>
    <w:next w:val="BodyText"/>
    <w:link w:val="Heading1Char"/>
    <w:qFormat/>
    <w:pPr>
      <w:pageBreakBefore/>
      <w:widowControl w:val="0"/>
      <w:spacing w:before="360" w:after="180"/>
      <w:outlineLvl w:val="0"/>
    </w:pPr>
    <w:rPr>
      <w:rFonts w:eastAsiaTheme="majorEastAsia" w:cstheme="majorBidi"/>
      <w:bCs/>
      <w:color w:val="00B050"/>
      <w:sz w:val="36"/>
      <w:szCs w:val="28"/>
      <w14:textFill>
        <w14:solidFill>
          <w14:srgbClr w14:val="00B050">
            <w14:lumMod w14:val="50000"/>
            <w14:lumOff w14:val="50000"/>
          </w14:srgbClr>
        </w14:solidFill>
      </w14:textFill>
    </w:rPr>
  </w:style>
  <w:style w:type="paragraph" w:styleId="Heading2">
    <w:name w:val="heading 2"/>
    <w:basedOn w:val="Normal"/>
    <w:next w:val="BodyText"/>
    <w:link w:val="Heading2Char"/>
    <w:qFormat/>
    <w:pPr>
      <w:keepNext/>
      <w:keepLines/>
      <w:spacing w:before="280" w:after="140"/>
      <w:outlineLvl w:val="1"/>
    </w:pPr>
    <w:rPr>
      <w:rFonts w:eastAsiaTheme="majorEastAsia" w:cstheme="majorBidi"/>
      <w:bCs/>
      <w:color w:val="00B0F0"/>
      <w:sz w:val="28"/>
      <w:szCs w:val="26"/>
      <w:lang w:val="en-US"/>
      <w14:textFill>
        <w14:solidFill>
          <w14:srgbClr w14:val="00B0F0">
            <w14:lumMod w14:val="50000"/>
            <w14:lumOff w14:val="50000"/>
          </w14:srgbClr>
        </w14:solidFill>
      </w14:textFill>
    </w:rPr>
  </w:style>
  <w:style w:type="paragraph" w:styleId="Heading3">
    <w:name w:val="heading 3"/>
    <w:basedOn w:val="BodyText"/>
    <w:next w:val="BodyText"/>
    <w:link w:val="Heading3Char"/>
    <w:qFormat/>
    <w:pPr>
      <w:keepNext/>
      <w:outlineLvl w:val="2"/>
    </w:pPr>
    <w:rPr>
      <w:color w:val="00B050"/>
      <w:sz w:val="24"/>
      <w:szCs w:val="24"/>
      <w:lang w:val="en-US"/>
      <w14:textFill>
        <w14:solidFill>
          <w14:srgbClr w14:val="00B050">
            <w14:lumMod w14:val="50000"/>
            <w14:lumOff w14:val="50000"/>
          </w14:srgbClr>
        </w14:solidFill>
      </w14:textFill>
    </w:rPr>
  </w:style>
  <w:style w:type="paragraph" w:styleId="Heading4">
    <w:name w:val="heading 4"/>
    <w:basedOn w:val="Normal"/>
    <w:next w:val="Normal"/>
    <w:link w:val="Heading4Char"/>
    <w:qFormat/>
    <w:pPr>
      <w:keepNext/>
      <w:keepLines/>
      <w:spacing w:before="240"/>
      <w:outlineLvl w:val="3"/>
    </w:pPr>
    <w:rPr>
      <w:rFonts w:eastAsiaTheme="majorEastAsia" w:cstheme="majorBidi"/>
      <w:b/>
      <w:bCs/>
      <w:iCs/>
      <w:color w:val="00B0F0"/>
      <w14:textFill>
        <w14:solidFill>
          <w14:srgbClr w14:val="00B0F0">
            <w14:lumMod w14:val="50000"/>
            <w14:lumOff w14:val="50000"/>
          </w14:srgbClr>
        </w14:solidFill>
      </w14:textFill>
    </w:rPr>
  </w:style>
  <w:style w:type="paragraph" w:styleId="Heading5">
    <w:name w:val="heading 5"/>
    <w:basedOn w:val="Heading4"/>
    <w:next w:val="Normal"/>
    <w:link w:val="Heading5Char"/>
    <w:qFormat/>
    <w:pPr>
      <w:outlineLvl w:val="4"/>
    </w:pPr>
    <w:rPr>
      <w:b w:val="0"/>
      <w:i/>
    </w:rPr>
  </w:style>
  <w:style w:type="paragraph" w:styleId="Heading6">
    <w:name w:val="heading 6"/>
    <w:basedOn w:val="Heading5"/>
    <w:next w:val="Normal"/>
    <w:link w:val="Heading6Char"/>
    <w:pPr>
      <w:outlineLvl w:val="5"/>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spacing w:line="264" w:lineRule="auto"/>
    </w:pPr>
  </w:style>
  <w:style w:type="paragraph" w:styleId="TOC7">
    <w:name w:val="toc 7"/>
    <w:basedOn w:val="TOC2"/>
    <w:next w:val="Normal"/>
    <w:autoRedefine/>
    <w:uiPriority w:val="39"/>
    <w:unhideWhenUsed/>
    <w:qFormat/>
    <w:pPr>
      <w:tabs>
        <w:tab w:val="left" w:pos="1134"/>
      </w:tabs>
      <w:ind w:left="1134" w:hanging="1134"/>
    </w:pPr>
  </w:style>
  <w:style w:type="paragraph" w:styleId="TOC2">
    <w:name w:val="toc 2"/>
    <w:basedOn w:val="Normal"/>
    <w:next w:val="Normal"/>
    <w:uiPriority w:val="39"/>
    <w:qFormat/>
    <w:pPr>
      <w:tabs>
        <w:tab w:val="right" w:pos="9639"/>
      </w:tabs>
      <w:spacing w:after="80"/>
      <w:ind w:left="567" w:hanging="567"/>
    </w:pPr>
  </w:style>
  <w:style w:type="paragraph" w:styleId="ListNumber">
    <w:name w:val="List Number"/>
    <w:basedOn w:val="Normal"/>
    <w:qFormat/>
    <w:pPr>
      <w:numPr>
        <w:numId w:val="1"/>
      </w:numPr>
      <w:spacing w:line="264" w:lineRule="auto"/>
    </w:pPr>
  </w:style>
  <w:style w:type="paragraph" w:styleId="NormalIndent">
    <w:name w:val="Normal Indent"/>
    <w:basedOn w:val="Normal"/>
    <w:link w:val="NormalIndentChar"/>
    <w:qFormat/>
    <w:pPr>
      <w:spacing w:before="240"/>
      <w:ind w:left="851"/>
    </w:pPr>
    <w:rPr>
      <w:rFonts w:ascii="Times New Roman" w:eastAsia="Times New Roman" w:hAnsi="Times New Roman" w:cs="Times New Roman"/>
      <w:sz w:val="24"/>
      <w:lang w:val="en-US"/>
    </w:rPr>
  </w:style>
  <w:style w:type="paragraph" w:styleId="Caption">
    <w:name w:val="caption"/>
    <w:basedOn w:val="Normal"/>
    <w:next w:val="Normal"/>
    <w:uiPriority w:val="99"/>
    <w:unhideWhenUsed/>
    <w:qFormat/>
    <w:pPr>
      <w:keepNext/>
      <w:spacing w:after="200"/>
    </w:pPr>
    <w:rPr>
      <w:bCs/>
      <w:color w:val="00B050"/>
      <w:szCs w:val="18"/>
      <w14:textFill>
        <w14:solidFill>
          <w14:srgbClr w14:val="00B050">
            <w14:lumMod w14:val="50000"/>
            <w14:lumOff w14:val="50000"/>
          </w14:srgbClr>
        </w14:solidFill>
      </w14:textFill>
    </w:rPr>
  </w:style>
  <w:style w:type="paragraph" w:styleId="ListBullet">
    <w:name w:val="List Bullet"/>
    <w:basedOn w:val="Normal"/>
    <w:qFormat/>
    <w:pPr>
      <w:numPr>
        <w:numId w:val="2"/>
      </w:numPr>
      <w:spacing w:line="264" w:lineRule="auto"/>
    </w:pPr>
  </w:style>
  <w:style w:type="paragraph" w:styleId="CommentText">
    <w:name w:val="annotation text"/>
    <w:basedOn w:val="Normal"/>
    <w:link w:val="CommentTextChar"/>
    <w:uiPriority w:val="99"/>
    <w:unhideWhenUsed/>
    <w:qFormat/>
  </w:style>
  <w:style w:type="paragraph" w:styleId="BodyText3">
    <w:name w:val="Body Text 3"/>
    <w:basedOn w:val="BodyText2"/>
    <w:link w:val="BodyText3Char"/>
    <w:uiPriority w:val="9"/>
    <w:qFormat/>
    <w:pPr>
      <w:ind w:left="1418"/>
    </w:pPr>
  </w:style>
  <w:style w:type="paragraph" w:styleId="BodyText2">
    <w:name w:val="Body Text 2"/>
    <w:basedOn w:val="BodyText"/>
    <w:link w:val="BodyText2Char"/>
    <w:uiPriority w:val="9"/>
    <w:qFormat/>
    <w:pPr>
      <w:ind w:left="851"/>
    </w:pPr>
  </w:style>
  <w:style w:type="paragraph" w:styleId="TOC5">
    <w:name w:val="toc 5"/>
    <w:basedOn w:val="TOC2"/>
    <w:next w:val="Normal"/>
    <w:autoRedefine/>
    <w:uiPriority w:val="39"/>
    <w:unhideWhenUsed/>
    <w:qFormat/>
    <w:pPr>
      <w:tabs>
        <w:tab w:val="left" w:pos="851"/>
      </w:tabs>
      <w:ind w:left="851" w:hanging="851"/>
    </w:pPr>
  </w:style>
  <w:style w:type="paragraph" w:styleId="TOC3">
    <w:name w:val="toc 3"/>
    <w:basedOn w:val="Normal"/>
    <w:next w:val="Normal"/>
    <w:uiPriority w:val="39"/>
    <w:qFormat/>
    <w:pPr>
      <w:tabs>
        <w:tab w:val="right" w:pos="9639"/>
      </w:tabs>
      <w:spacing w:after="80"/>
    </w:pPr>
    <w:rPr>
      <w:sz w:val="16"/>
    </w:rPr>
  </w:style>
  <w:style w:type="paragraph" w:styleId="TOC8">
    <w:name w:val="toc 8"/>
    <w:basedOn w:val="Normal"/>
    <w:next w:val="Normal"/>
    <w:autoRedefine/>
    <w:uiPriority w:val="39"/>
    <w:unhideWhenUsed/>
    <w:pPr>
      <w:spacing w:after="100" w:line="259" w:lineRule="auto"/>
      <w:ind w:left="1540"/>
    </w:pPr>
    <w:rPr>
      <w:rFonts w:eastAsiaTheme="minorEastAsia"/>
      <w:sz w:val="22"/>
      <w:lang w:val="en-US"/>
    </w:rPr>
  </w:style>
  <w:style w:type="paragraph" w:styleId="Date">
    <w:name w:val="Date"/>
    <w:basedOn w:val="Normal"/>
    <w:next w:val="Normal"/>
    <w:link w:val="DateChar"/>
    <w:uiPriority w:val="99"/>
    <w:semiHidden/>
    <w:qFormat/>
    <w:pPr>
      <w:jc w:val="right"/>
    </w:pPr>
    <w:rPr>
      <w:color w:val="FFFFFF" w:themeColor="background1"/>
      <w:sz w:val="24"/>
    </w:rPr>
  </w:style>
  <w:style w:type="paragraph" w:styleId="BodyTextIndent2">
    <w:name w:val="Body Text Indent 2"/>
    <w:basedOn w:val="Normal"/>
    <w:link w:val="BodyTextIndent2Char"/>
    <w:pPr>
      <w:suppressAutoHyphens/>
      <w:spacing w:line="480" w:lineRule="auto"/>
      <w:ind w:left="283"/>
    </w:pPr>
    <w:rPr>
      <w:rFonts w:ascii="Times New Roman" w:eastAsia="Times New Roman" w:hAnsi="Times New Roman" w:cs="Times New Roman"/>
      <w:kern w:val="1"/>
      <w:sz w:val="22"/>
      <w:szCs w:val="24"/>
      <w:lang w:val="pl-PL" w:eastAsia="ar-SA"/>
    </w:rPr>
  </w:style>
  <w:style w:type="paragraph" w:styleId="EndnoteText">
    <w:name w:val="endnote text"/>
    <w:basedOn w:val="Normal"/>
    <w:link w:val="EndnoteTextChar"/>
    <w:uiPriority w:val="99"/>
    <w:semiHidden/>
    <w:unhideWhenUsed/>
    <w:qFormat/>
    <w:pPr>
      <w:spacing w:before="0" w:after="0" w:line="240" w:lineRule="auto"/>
      <w:jc w:val="left"/>
    </w:pPr>
    <w:rPr>
      <w:rFonts w:asciiTheme="minorHAnsi" w:eastAsiaTheme="minorEastAsia" w:hAnsiTheme="minorHAnsi" w:cstheme="minorBidi"/>
      <w:color w:val="000000"/>
      <w14:textFill>
        <w14:solidFill>
          <w14:srgbClr w14:val="000000">
            <w14:lumMod w14:val="50000"/>
            <w14:lumOff w14:val="50000"/>
          </w14:srgbClr>
        </w14:solidFill>
      </w14:textFill>
    </w:rPr>
  </w:style>
  <w:style w:type="paragraph" w:styleId="BalloonText">
    <w:name w:val="Balloon Text"/>
    <w:basedOn w:val="Normal"/>
    <w:link w:val="BalloonTextChar"/>
    <w:uiPriority w:val="99"/>
    <w:semiHidden/>
    <w:qFormat/>
    <w:rPr>
      <w:rFonts w:ascii="Tahoma" w:hAnsi="Tahoma" w:cs="Tahoma"/>
      <w:sz w:val="16"/>
      <w:szCs w:val="16"/>
    </w:rPr>
  </w:style>
  <w:style w:type="paragraph" w:styleId="Footer">
    <w:name w:val="footer"/>
    <w:basedOn w:val="Normal"/>
    <w:link w:val="FooterChar"/>
    <w:uiPriority w:val="99"/>
    <w:unhideWhenUsed/>
    <w:qFormat/>
    <w:pPr>
      <w:tabs>
        <w:tab w:val="right" w:pos="9639"/>
      </w:tabs>
      <w:jc w:val="right"/>
    </w:pPr>
    <w:rPr>
      <w:b/>
      <w:color w:val="58595B" w:themeColor="accent2"/>
      <w:sz w:val="17"/>
    </w:rPr>
  </w:style>
  <w:style w:type="paragraph" w:styleId="Header">
    <w:name w:val="header"/>
    <w:basedOn w:val="Normal"/>
    <w:link w:val="HeaderChar"/>
    <w:uiPriority w:val="99"/>
    <w:unhideWhenUsed/>
    <w:qFormat/>
    <w:pPr>
      <w:jc w:val="right"/>
    </w:pPr>
    <w:rPr>
      <w:sz w:val="17"/>
    </w:rPr>
  </w:style>
  <w:style w:type="paragraph" w:styleId="TOC1">
    <w:name w:val="toc 1"/>
    <w:basedOn w:val="Normal"/>
    <w:next w:val="Normal"/>
    <w:uiPriority w:val="39"/>
    <w:qFormat/>
    <w:pPr>
      <w:tabs>
        <w:tab w:val="right" w:pos="9639"/>
      </w:tabs>
      <w:spacing w:before="240"/>
    </w:pPr>
    <w:rPr>
      <w:b/>
      <w:sz w:val="22"/>
    </w:rPr>
  </w:style>
  <w:style w:type="paragraph" w:styleId="TOC4">
    <w:name w:val="toc 4"/>
    <w:basedOn w:val="TOC1"/>
    <w:next w:val="Normal"/>
    <w:uiPriority w:val="39"/>
    <w:qFormat/>
    <w:pPr>
      <w:tabs>
        <w:tab w:val="left" w:pos="851"/>
      </w:tabs>
      <w:ind w:left="851" w:hanging="851"/>
    </w:pPr>
  </w:style>
  <w:style w:type="paragraph" w:styleId="Subtitle">
    <w:name w:val="Subtitle"/>
    <w:basedOn w:val="Normal"/>
    <w:next w:val="BodyText"/>
    <w:link w:val="SubtitleChar"/>
    <w:uiPriority w:val="10"/>
    <w:qFormat/>
    <w:pPr>
      <w:spacing w:before="280" w:after="140"/>
      <w:jc w:val="right"/>
    </w:pPr>
    <w:rPr>
      <w:rFonts w:eastAsiaTheme="majorEastAsia" w:cstheme="majorBidi"/>
      <w:b/>
      <w:iCs/>
      <w:color w:val="FFFFFF" w:themeColor="background1"/>
      <w:sz w:val="32"/>
      <w:szCs w:val="24"/>
    </w:rPr>
  </w:style>
  <w:style w:type="paragraph" w:styleId="FootnoteText">
    <w:name w:val="footnote text"/>
    <w:basedOn w:val="Normal"/>
    <w:link w:val="FootnoteTextChar"/>
    <w:qFormat/>
    <w:pPr>
      <w:spacing w:before="60" w:after="60"/>
      <w:contextualSpacing/>
    </w:pPr>
    <w:rPr>
      <w:sz w:val="18"/>
    </w:rPr>
  </w:style>
  <w:style w:type="paragraph" w:styleId="TOC6">
    <w:name w:val="toc 6"/>
    <w:basedOn w:val="TOC3"/>
    <w:next w:val="Normal"/>
    <w:autoRedefine/>
    <w:uiPriority w:val="39"/>
    <w:unhideWhenUsed/>
    <w:qFormat/>
    <w:pPr>
      <w:tabs>
        <w:tab w:val="left" w:pos="851"/>
      </w:tabs>
      <w:ind w:left="851" w:hanging="851"/>
    </w:pPr>
  </w:style>
  <w:style w:type="paragraph" w:styleId="TOC9">
    <w:name w:val="toc 9"/>
    <w:basedOn w:val="Normal"/>
    <w:next w:val="Normal"/>
    <w:autoRedefine/>
    <w:uiPriority w:val="39"/>
    <w:unhideWhenUsed/>
    <w:pPr>
      <w:spacing w:after="100" w:line="259" w:lineRule="auto"/>
      <w:ind w:left="1760"/>
    </w:pPr>
    <w:rPr>
      <w:rFonts w:eastAsiaTheme="minorEastAsia"/>
      <w:sz w:val="22"/>
      <w:lang w:val="en-US"/>
    </w:rPr>
  </w:style>
  <w:style w:type="paragraph" w:styleId="NormalWeb">
    <w:name w:val="Normal (Web)"/>
    <w:basedOn w:val="Normal"/>
    <w:uiPriority w:val="99"/>
    <w:unhideWhenUsed/>
    <w:qFormat/>
    <w:pPr>
      <w:spacing w:before="100" w:beforeAutospacing="1" w:after="100" w:afterAutospacing="1"/>
    </w:pPr>
    <w:rPr>
      <w:rFonts w:ascii="Times New Roman" w:eastAsiaTheme="minorEastAsia" w:hAnsi="Times New Roman" w:cs="Times New Roman"/>
      <w:sz w:val="24"/>
      <w:szCs w:val="24"/>
      <w:lang w:val="en-US"/>
    </w:rPr>
  </w:style>
  <w:style w:type="paragraph" w:styleId="Title">
    <w:name w:val="Title"/>
    <w:basedOn w:val="Normal"/>
    <w:next w:val="BodyText"/>
    <w:link w:val="TitleChar"/>
    <w:uiPriority w:val="9"/>
    <w:qFormat/>
    <w:rsid w:val="00296FD1"/>
    <w:pPr>
      <w:autoSpaceDE w:val="0"/>
      <w:autoSpaceDN w:val="0"/>
      <w:adjustRightInd w:val="0"/>
      <w:spacing w:before="240" w:after="60"/>
    </w:pPr>
    <w:rPr>
      <w:rFonts w:eastAsiaTheme="minorHAnsi"/>
      <w:color w:val="009CDE"/>
      <w:sz w:val="36"/>
      <w:szCs w:val="32"/>
      <w14:textFill>
        <w14:solidFill>
          <w14:srgbClr w14:val="009CDE">
            <w14:lumMod w14:val="50000"/>
            <w14:lumOff w14:val="50000"/>
          </w14:srgbClr>
        </w14:solidFill>
      </w14:textFill>
    </w:rPr>
  </w:style>
  <w:style w:type="paragraph" w:styleId="CommentSubject">
    <w:name w:val="annotation subject"/>
    <w:basedOn w:val="CommentText"/>
    <w:next w:val="CommentText"/>
    <w:link w:val="CommentSubjectChar"/>
    <w:uiPriority w:val="99"/>
    <w:semiHidden/>
    <w:unhideWhenUsed/>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LightList-Accent1">
    <w:name w:val="Light List Accent 1"/>
    <w:basedOn w:val="TableNormal"/>
    <w:uiPriority w:val="61"/>
    <w:rPr>
      <w:rFonts w:ascii="Georgia" w:hAnsi="Georgia"/>
      <w:lang w:val="en-GB"/>
    </w:rPr>
    <w:tblPr>
      <w:tblBorders>
        <w:top w:val="single" w:sz="8" w:space="0" w:color="820000" w:themeColor="accent1"/>
        <w:left w:val="single" w:sz="8" w:space="0" w:color="820000" w:themeColor="accent1"/>
        <w:bottom w:val="single" w:sz="8" w:space="0" w:color="820000" w:themeColor="accent1"/>
        <w:right w:val="single" w:sz="8" w:space="0" w:color="820000" w:themeColor="accent1"/>
      </w:tblBorders>
    </w:tblPr>
    <w:tblStylePr w:type="firstRow">
      <w:pPr>
        <w:spacing w:before="0" w:after="0" w:line="240" w:lineRule="auto"/>
      </w:pPr>
      <w:rPr>
        <w:b/>
        <w:bCs/>
        <w:color w:val="FFFFFF" w:themeColor="background1"/>
      </w:rPr>
      <w:tblPr/>
      <w:tcPr>
        <w:shd w:val="clear" w:color="auto" w:fill="820000" w:themeFill="accent1"/>
      </w:tcPr>
    </w:tblStylePr>
    <w:tblStylePr w:type="lastRow">
      <w:pPr>
        <w:spacing w:before="0" w:after="0" w:line="240" w:lineRule="auto"/>
      </w:pPr>
      <w:rPr>
        <w:b/>
        <w:bCs/>
      </w:rPr>
      <w:tblPr/>
      <w:tcPr>
        <w:tcBorders>
          <w:top w:val="double" w:sz="6" w:space="0" w:color="820000" w:themeColor="accent1"/>
          <w:left w:val="single" w:sz="8" w:space="0" w:color="820000" w:themeColor="accent1"/>
          <w:bottom w:val="single" w:sz="8" w:space="0" w:color="820000" w:themeColor="accent1"/>
          <w:right w:val="single" w:sz="8" w:space="0" w:color="820000" w:themeColor="accent1"/>
        </w:tcBorders>
      </w:tcPr>
    </w:tblStylePr>
    <w:tblStylePr w:type="firstCol">
      <w:rPr>
        <w:b/>
        <w:bCs/>
      </w:rPr>
    </w:tblStylePr>
    <w:tblStylePr w:type="lastCol">
      <w:rPr>
        <w:b/>
        <w:bCs/>
      </w:rPr>
    </w:tblStylePr>
    <w:tblStylePr w:type="band1Vert">
      <w:tblPr/>
      <w:tcPr>
        <w:tcBorders>
          <w:top w:val="single" w:sz="8" w:space="0" w:color="820000" w:themeColor="accent1"/>
          <w:left w:val="single" w:sz="8" w:space="0" w:color="820000" w:themeColor="accent1"/>
          <w:bottom w:val="single" w:sz="8" w:space="0" w:color="820000" w:themeColor="accent1"/>
          <w:right w:val="single" w:sz="8" w:space="0" w:color="820000" w:themeColor="accent1"/>
        </w:tcBorders>
      </w:tcPr>
    </w:tblStylePr>
    <w:tblStylePr w:type="band1Horz">
      <w:tblPr/>
      <w:tcPr>
        <w:tcBorders>
          <w:top w:val="single" w:sz="8" w:space="0" w:color="820000" w:themeColor="accent1"/>
          <w:left w:val="single" w:sz="8" w:space="0" w:color="820000" w:themeColor="accent1"/>
          <w:bottom w:val="single" w:sz="8" w:space="0" w:color="820000" w:themeColor="accent1"/>
          <w:right w:val="single" w:sz="8" w:space="0" w:color="820000" w:themeColor="accent1"/>
        </w:tcBorders>
      </w:tcPr>
    </w:tblStylePr>
  </w:style>
  <w:style w:type="character" w:styleId="Strong">
    <w:name w:val="Strong"/>
    <w:basedOn w:val="DefaultParagraphFont"/>
    <w:uiPriority w:val="22"/>
    <w:qFormat/>
    <w:rPr>
      <w:b/>
      <w:bCs/>
    </w:rPr>
  </w:style>
  <w:style w:type="character" w:styleId="EndnoteReference">
    <w:name w:val="endnote reference"/>
    <w:basedOn w:val="DefaultParagraphFont"/>
    <w:uiPriority w:val="99"/>
    <w:semiHidden/>
    <w:unhideWhenUsed/>
    <w:qFormat/>
    <w:rPr>
      <w:vertAlign w:val="superscript"/>
    </w:rPr>
  </w:style>
  <w:style w:type="character" w:styleId="FollowedHyperlink">
    <w:name w:val="FollowedHyperlink"/>
    <w:basedOn w:val="DefaultParagraphFont"/>
    <w:uiPriority w:val="99"/>
    <w:semiHidden/>
    <w:unhideWhenUsed/>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qFormat/>
    <w:rPr>
      <w:color w:val="820000" w:themeColor="hyperlink"/>
      <w:u w:val="single"/>
    </w:rPr>
  </w:style>
  <w:style w:type="character" w:styleId="CommentReference">
    <w:name w:val="annotation reference"/>
    <w:basedOn w:val="DefaultParagraphFont"/>
    <w:uiPriority w:val="99"/>
    <w:unhideWhenUsed/>
    <w:qFormat/>
    <w:rPr>
      <w:sz w:val="16"/>
      <w:szCs w:val="16"/>
    </w:rPr>
  </w:style>
  <w:style w:type="character" w:styleId="FootnoteReference">
    <w:name w:val="footnote reference"/>
    <w:basedOn w:val="DefaultParagraphFont"/>
    <w:unhideWhenUsed/>
    <w:qFormat/>
    <w:rPr>
      <w:rFonts w:ascii="Arial" w:hAnsi="Arial"/>
      <w:color w:val="7F7F7F" w:themeColor="text1" w:themeTint="80"/>
      <w:vertAlign w:val="superscript"/>
    </w:rPr>
  </w:style>
  <w:style w:type="character" w:customStyle="1" w:styleId="BodyTextChar">
    <w:name w:val="Body Text Char"/>
    <w:basedOn w:val="DefaultParagraphFont"/>
    <w:link w:val="BodyText"/>
    <w:uiPriority w:val="99"/>
    <w:rPr>
      <w:sz w:val="20"/>
    </w:rPr>
  </w:style>
  <w:style w:type="character" w:customStyle="1" w:styleId="Heading1Char">
    <w:name w:val="Heading 1 Char"/>
    <w:basedOn w:val="DefaultParagraphFont"/>
    <w:link w:val="Heading1"/>
    <w:qFormat/>
    <w:rPr>
      <w:rFonts w:ascii="Arial" w:eastAsiaTheme="majorEastAsia" w:hAnsi="Arial" w:cstheme="majorBidi"/>
      <w:bCs/>
      <w:color w:val="00B050"/>
      <w:sz w:val="36"/>
      <w:szCs w:val="28"/>
      <w:lang w:val="en-GB"/>
    </w:rPr>
  </w:style>
  <w:style w:type="character" w:customStyle="1" w:styleId="Heading2Char">
    <w:name w:val="Heading 2 Char"/>
    <w:basedOn w:val="DefaultParagraphFont"/>
    <w:link w:val="Heading2"/>
    <w:qFormat/>
    <w:rPr>
      <w:rFonts w:ascii="Arial" w:eastAsiaTheme="majorEastAsia" w:hAnsi="Arial" w:cstheme="majorBidi"/>
      <w:bCs/>
      <w:color w:val="00B0F0"/>
      <w:sz w:val="28"/>
      <w:szCs w:val="26"/>
      <w:lang w:val="en-US"/>
    </w:rPr>
  </w:style>
  <w:style w:type="character" w:customStyle="1" w:styleId="Heading3Char">
    <w:name w:val="Heading 3 Char"/>
    <w:basedOn w:val="DefaultParagraphFont"/>
    <w:link w:val="Heading3"/>
    <w:qFormat/>
    <w:rPr>
      <w:rFonts w:ascii="Arial" w:hAnsi="Arial" w:cs="Arial"/>
      <w:color w:val="00B050"/>
      <w:sz w:val="24"/>
      <w:szCs w:val="24"/>
      <w:lang w:val="en-US"/>
    </w:rPr>
  </w:style>
  <w:style w:type="character" w:customStyle="1" w:styleId="Heading4Char">
    <w:name w:val="Heading 4 Char"/>
    <w:basedOn w:val="DefaultParagraphFont"/>
    <w:link w:val="Heading4"/>
    <w:qFormat/>
    <w:rPr>
      <w:rFonts w:ascii="Arial" w:eastAsiaTheme="majorEastAsia" w:hAnsi="Arial" w:cstheme="majorBidi"/>
      <w:b/>
      <w:bCs/>
      <w:iCs/>
      <w:color w:val="00B0F0"/>
      <w:sz w:val="20"/>
      <w:szCs w:val="20"/>
      <w:lang w:val="en-GB"/>
    </w:rPr>
  </w:style>
  <w:style w:type="paragraph" w:customStyle="1" w:styleId="NoHeading1">
    <w:name w:val="No. Heading 1"/>
    <w:basedOn w:val="Heading1"/>
    <w:next w:val="BodyText"/>
    <w:qFormat/>
    <w:pPr>
      <w:numPr>
        <w:numId w:val="3"/>
      </w:numPr>
    </w:pPr>
    <w:rPr>
      <w:bCs w:val="0"/>
    </w:rPr>
  </w:style>
  <w:style w:type="paragraph" w:customStyle="1" w:styleId="NoHeading2">
    <w:name w:val="No. Heading 2"/>
    <w:basedOn w:val="Heading2"/>
    <w:next w:val="BodyText"/>
    <w:qFormat/>
    <w:pPr>
      <w:tabs>
        <w:tab w:val="left" w:pos="1134"/>
      </w:tabs>
      <w:ind w:left="284" w:hanging="284"/>
    </w:pPr>
  </w:style>
  <w:style w:type="paragraph" w:customStyle="1" w:styleId="NoHeading3">
    <w:name w:val="No. Heading 3"/>
    <w:basedOn w:val="Heading3"/>
    <w:next w:val="BodyText"/>
    <w:qFormat/>
    <w:pPr>
      <w:tabs>
        <w:tab w:val="left" w:pos="1134"/>
      </w:tabs>
      <w:ind w:left="284" w:hanging="284"/>
    </w:pPr>
  </w:style>
  <w:style w:type="paragraph" w:customStyle="1" w:styleId="NoHeading4">
    <w:name w:val="No. Heading 4"/>
    <w:basedOn w:val="Heading4"/>
    <w:next w:val="BodyText"/>
    <w:qFormat/>
    <w:pPr>
      <w:numPr>
        <w:ilvl w:val="3"/>
        <w:numId w:val="3"/>
      </w:numPr>
    </w:pPr>
  </w:style>
  <w:style w:type="character" w:customStyle="1" w:styleId="TitleChar">
    <w:name w:val="Title Char"/>
    <w:basedOn w:val="DefaultParagraphFont"/>
    <w:link w:val="Title"/>
    <w:uiPriority w:val="9"/>
    <w:qFormat/>
    <w:rsid w:val="00296FD1"/>
    <w:rPr>
      <w:rFonts w:ascii="Arial" w:eastAsiaTheme="minorHAnsi" w:hAnsi="Arial" w:cs="Arial"/>
      <w:color w:val="009CDE"/>
      <w:sz w:val="36"/>
      <w:szCs w:val="32"/>
      <w:lang w:val="en-GB"/>
      <w14:textFill>
        <w14:solidFill>
          <w14:srgbClr w14:val="009CDE">
            <w14:lumMod w14:val="50000"/>
            <w14:lumOff w14:val="50000"/>
          </w14:srgbClr>
        </w14:solidFill>
      </w14:textFill>
    </w:rPr>
  </w:style>
  <w:style w:type="character" w:customStyle="1" w:styleId="SubtitleChar">
    <w:name w:val="Subtitle Char"/>
    <w:basedOn w:val="DefaultParagraphFont"/>
    <w:link w:val="Subtitle"/>
    <w:uiPriority w:val="10"/>
    <w:qFormat/>
    <w:rPr>
      <w:rFonts w:eastAsiaTheme="majorEastAsia" w:cstheme="majorBidi"/>
      <w:b/>
      <w:iCs/>
      <w:color w:val="FFFFFF" w:themeColor="background1"/>
      <w:sz w:val="32"/>
      <w:szCs w:val="24"/>
    </w:rPr>
  </w:style>
  <w:style w:type="character" w:customStyle="1" w:styleId="BodyText2Char">
    <w:name w:val="Body Text 2 Char"/>
    <w:basedOn w:val="DefaultParagraphFont"/>
    <w:link w:val="BodyText2"/>
    <w:uiPriority w:val="9"/>
    <w:qFormat/>
    <w:rPr>
      <w:rFonts w:ascii="Arial" w:hAnsi="Arial"/>
      <w:sz w:val="20"/>
    </w:rPr>
  </w:style>
  <w:style w:type="character" w:customStyle="1" w:styleId="HeaderChar">
    <w:name w:val="Header Char"/>
    <w:basedOn w:val="DefaultParagraphFont"/>
    <w:link w:val="Header"/>
    <w:uiPriority w:val="99"/>
    <w:qFormat/>
    <w:rPr>
      <w:rFonts w:ascii="Arial" w:hAnsi="Arial"/>
      <w:sz w:val="17"/>
    </w:rPr>
  </w:style>
  <w:style w:type="character" w:customStyle="1" w:styleId="FooterChar">
    <w:name w:val="Footer Char"/>
    <w:basedOn w:val="DefaultParagraphFont"/>
    <w:link w:val="Footer"/>
    <w:uiPriority w:val="99"/>
    <w:qFormat/>
    <w:rPr>
      <w:b/>
      <w:color w:val="58595B" w:themeColor="accent2"/>
      <w:sz w:val="17"/>
    </w:rPr>
  </w:style>
  <w:style w:type="paragraph" w:customStyle="1" w:styleId="TOCHeading1">
    <w:name w:val="TOC Heading1"/>
    <w:basedOn w:val="Heading1"/>
    <w:next w:val="Normal"/>
    <w:uiPriority w:val="39"/>
    <w:qFormat/>
    <w:pPr>
      <w:pageBreakBefore w:val="0"/>
    </w:pPr>
  </w:style>
  <w:style w:type="table" w:customStyle="1" w:styleId="GreyTableVariation3">
    <w:name w:val="Grey Table Variation 3"/>
    <w:basedOn w:val="TableNormal"/>
    <w:uiPriority w:val="99"/>
    <w:qFormat/>
    <w:rPr>
      <w:rFonts w:ascii="Arial" w:hAnsi="Arial"/>
    </w:rPr>
    <w:tblPr>
      <w:tblBorders>
        <w:bottom w:val="single" w:sz="4" w:space="0" w:color="58595B" w:themeColor="accent2"/>
        <w:insideH w:val="single" w:sz="4" w:space="0" w:color="58595B" w:themeColor="accent2"/>
      </w:tblBorders>
    </w:tblPr>
    <w:trPr>
      <w:cantSplit/>
    </w:trPr>
    <w:tcPr>
      <w:shd w:val="clear" w:color="auto" w:fill="FFFFFF" w:themeFill="background1"/>
    </w:tcPr>
    <w:tblStylePr w:type="firstRow">
      <w:rPr>
        <w:rFonts w:ascii="Arial" w:hAnsi="Arial"/>
        <w:b/>
        <w:sz w:val="22"/>
      </w:rPr>
      <w:tblPr/>
      <w:trPr>
        <w:cantSplit/>
        <w:tblHeader/>
      </w:trPr>
      <w:tcPr>
        <w:shd w:val="clear" w:color="auto" w:fill="3C3C3C" w:themeFill="background2" w:themeFillShade="40"/>
      </w:tcPr>
    </w:tblStylePr>
  </w:style>
  <w:style w:type="paragraph" w:customStyle="1" w:styleId="TableHeading">
    <w:name w:val="Table Heading"/>
    <w:basedOn w:val="Normal"/>
    <w:qFormat/>
    <w:pPr>
      <w:spacing w:before="60" w:after="60"/>
    </w:pPr>
    <w:rPr>
      <w:b/>
    </w:rPr>
  </w:style>
  <w:style w:type="paragraph" w:customStyle="1" w:styleId="TableText">
    <w:name w:val="Table Text"/>
    <w:basedOn w:val="Normal"/>
    <w:link w:val="TableTextChar"/>
    <w:qFormat/>
    <w:pPr>
      <w:spacing w:before="60" w:after="60"/>
    </w:pPr>
  </w:style>
  <w:style w:type="paragraph" w:customStyle="1" w:styleId="TableBullet">
    <w:name w:val="Table Bullet"/>
    <w:basedOn w:val="ListBullet"/>
    <w:qFormat/>
    <w:pPr>
      <w:numPr>
        <w:numId w:val="4"/>
      </w:numPr>
      <w:spacing w:before="60" w:after="60" w:line="240" w:lineRule="auto"/>
    </w:pPr>
  </w:style>
  <w:style w:type="paragraph" w:customStyle="1" w:styleId="TableNumber">
    <w:name w:val="Table Number"/>
    <w:basedOn w:val="TableText"/>
    <w:qFormat/>
    <w:pPr>
      <w:numPr>
        <w:numId w:val="5"/>
      </w:numPr>
    </w:pPr>
  </w:style>
  <w:style w:type="character" w:customStyle="1" w:styleId="Heading5Char">
    <w:name w:val="Heading 5 Char"/>
    <w:basedOn w:val="DefaultParagraphFont"/>
    <w:link w:val="Heading5"/>
    <w:qFormat/>
    <w:rPr>
      <w:rFonts w:eastAsiaTheme="majorEastAsia" w:cstheme="majorBidi"/>
      <w:bCs/>
      <w:i/>
      <w:iCs/>
      <w:color w:val="58595B" w:themeColor="accent2"/>
      <w:sz w:val="20"/>
    </w:rPr>
  </w:style>
  <w:style w:type="character" w:customStyle="1" w:styleId="Heading6Char">
    <w:name w:val="Heading 6 Char"/>
    <w:basedOn w:val="DefaultParagraphFont"/>
    <w:link w:val="Heading6"/>
    <w:qFormat/>
    <w:rPr>
      <w:rFonts w:ascii="Arial" w:eastAsiaTheme="majorEastAsia" w:hAnsi="Arial" w:cstheme="majorBidi"/>
      <w:bCs/>
      <w:iCs/>
      <w:color w:val="7F7F7F" w:themeColor="text2"/>
      <w:sz w:val="20"/>
    </w:rPr>
  </w:style>
  <w:style w:type="character" w:customStyle="1" w:styleId="BodyText3Char">
    <w:name w:val="Body Text 3 Char"/>
    <w:basedOn w:val="DefaultParagraphFont"/>
    <w:link w:val="BodyText3"/>
    <w:uiPriority w:val="9"/>
    <w:qFormat/>
    <w:rPr>
      <w:rFonts w:ascii="Arial" w:hAnsi="Arial"/>
      <w:sz w:val="20"/>
    </w:rPr>
  </w:style>
  <w:style w:type="paragraph" w:styleId="ListParagraph">
    <w:name w:val="List Paragraph"/>
    <w:basedOn w:val="Normal"/>
    <w:link w:val="ListParagraphChar"/>
    <w:uiPriority w:val="34"/>
    <w:qFormat/>
    <w:pPr>
      <w:spacing w:line="264" w:lineRule="auto"/>
    </w:pPr>
  </w:style>
  <w:style w:type="paragraph" w:customStyle="1" w:styleId="NoHeading5">
    <w:name w:val="No. Heading 5"/>
    <w:basedOn w:val="Heading5"/>
    <w:qFormat/>
    <w:pPr>
      <w:numPr>
        <w:ilvl w:val="4"/>
        <w:numId w:val="3"/>
      </w:numPr>
    </w:pPr>
  </w:style>
  <w:style w:type="table" w:customStyle="1" w:styleId="GreyTable">
    <w:name w:val="Grey Table"/>
    <w:basedOn w:val="TableNormal"/>
    <w:uiPriority w:val="99"/>
    <w:qFormat/>
    <w:tblPr>
      <w:tblBorders>
        <w:top w:val="single" w:sz="4" w:space="0" w:color="58595B" w:themeColor="accent2"/>
        <w:left w:val="single" w:sz="4" w:space="0" w:color="58595B" w:themeColor="accent2"/>
        <w:bottom w:val="single" w:sz="4" w:space="0" w:color="58595B" w:themeColor="accent2"/>
        <w:right w:val="single" w:sz="4" w:space="0" w:color="58595B" w:themeColor="accent2"/>
        <w:insideH w:val="single" w:sz="4" w:space="0" w:color="58595B" w:themeColor="accent2"/>
        <w:insideV w:val="single" w:sz="4" w:space="0" w:color="58595B" w:themeColor="accent2"/>
      </w:tblBorders>
    </w:tblPr>
    <w:trPr>
      <w:cantSplit/>
    </w:trPr>
    <w:tcPr>
      <w:shd w:val="clear" w:color="auto" w:fill="auto"/>
    </w:tcPr>
    <w:tblStylePr w:type="firstRow">
      <w:rPr>
        <w:color w:val="FFFFFF" w:themeColor="background1"/>
      </w:rPr>
      <w:tblPr/>
      <w:tcPr>
        <w:tcBorders>
          <w:insideV w:val="single" w:sz="4" w:space="0" w:color="auto"/>
        </w:tcBorders>
        <w:shd w:val="clear" w:color="auto" w:fill="58595B" w:themeFill="accent2"/>
      </w:tcPr>
    </w:tblStylePr>
    <w:tblStylePr w:type="lastRow">
      <w:rPr>
        <w:b/>
        <w:color w:val="7F7F7F" w:themeColor="text2"/>
      </w:rPr>
      <w:tblPr/>
      <w:tcPr>
        <w:shd w:val="clear" w:color="auto" w:fill="DDDDDE" w:themeFill="accent2" w:themeFillTint="33"/>
      </w:tcPr>
    </w:tblStylePr>
    <w:tblStylePr w:type="firstCol">
      <w:rPr>
        <w:color w:val="FFFFFF" w:themeColor="background1"/>
      </w:rPr>
      <w:tblPr/>
      <w:tcPr>
        <w:shd w:val="clear" w:color="auto" w:fill="E5E5E5" w:themeFill="text2" w:themeFillTint="33"/>
      </w:tcPr>
    </w:tblStylePr>
    <w:tblStylePr w:type="lastCol">
      <w:tblPr/>
      <w:tcPr>
        <w:shd w:val="clear" w:color="auto" w:fill="DDDDDE" w:themeFill="accent2" w:themeFillTint="33"/>
      </w:tcPr>
    </w:tblStylePr>
    <w:tblStylePr w:type="band2Vert">
      <w:tblPr/>
      <w:tcPr>
        <w:shd w:val="clear" w:color="auto" w:fill="DDDDDE" w:themeFill="accent2" w:themeFillTint="33"/>
      </w:tcPr>
    </w:tblStylePr>
    <w:tblStylePr w:type="band2Horz">
      <w:tblPr/>
      <w:tcPr>
        <w:shd w:val="clear" w:color="auto" w:fill="E5E5E5" w:themeFill="text2" w:themeFillTint="33"/>
      </w:tcPr>
    </w:tblStylePr>
  </w:style>
  <w:style w:type="table" w:customStyle="1" w:styleId="GreyTableVariation2">
    <w:name w:val="Grey Table Variation 2"/>
    <w:basedOn w:val="TableNormal"/>
    <w:uiPriority w:val="99"/>
    <w:qFormat/>
    <w:tblPr>
      <w:tblBorders>
        <w:insideH w:val="single" w:sz="12" w:space="0" w:color="FFFFFF" w:themeColor="background1"/>
        <w:insideV w:val="single" w:sz="12" w:space="0" w:color="FFFFFF" w:themeColor="background1"/>
      </w:tblBorders>
    </w:tblPr>
    <w:trPr>
      <w:cantSplit/>
    </w:trPr>
    <w:tcPr>
      <w:shd w:val="clear" w:color="auto" w:fill="F2F2F2"/>
    </w:tcPr>
    <w:tblStylePr w:type="firstRow">
      <w:rPr>
        <w:color w:val="FFFFFF" w:themeColor="background1"/>
      </w:rPr>
      <w:tblPr/>
      <w:trPr>
        <w:cantSplit/>
        <w:tblHeader/>
      </w:trPr>
      <w:tcPr>
        <w:shd w:val="clear" w:color="auto" w:fill="3C3C3C" w:themeFill="background2" w:themeFillShade="40"/>
      </w:tcPr>
    </w:tblStylePr>
    <w:tblStylePr w:type="lastRow">
      <w:rPr>
        <w:b/>
        <w:color w:val="7F7F7F" w:themeColor="text2"/>
      </w:rPr>
      <w:tblPr/>
      <w:tcPr>
        <w:shd w:val="clear" w:color="auto" w:fill="CBD0D6" w:themeFill="accent4" w:themeFillTint="66"/>
      </w:tcPr>
    </w:tblStylePr>
    <w:tblStylePr w:type="firstCol">
      <w:rPr>
        <w:color w:val="FFFFFF" w:themeColor="background1"/>
      </w:rPr>
      <w:tblPr/>
      <w:tcPr>
        <w:shd w:val="clear" w:color="auto" w:fill="7E8B9A" w:themeFill="accent4"/>
      </w:tcPr>
    </w:tblStylePr>
    <w:tblStylePr w:type="lastCol">
      <w:tblPr/>
      <w:tcPr>
        <w:shd w:val="clear" w:color="auto" w:fill="E7E7E7"/>
      </w:tcPr>
    </w:tblStylePr>
    <w:tblStylePr w:type="band2Vert">
      <w:tblPr/>
      <w:tcPr>
        <w:shd w:val="clear" w:color="auto" w:fill="E7E7E7"/>
      </w:tcPr>
    </w:tblStylePr>
    <w:tblStylePr w:type="band2Horz">
      <w:tblPr/>
      <w:tcPr>
        <w:shd w:val="clear" w:color="auto" w:fill="E7E7E7"/>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Quote">
    <w:name w:val="Quote"/>
    <w:basedOn w:val="Normal"/>
    <w:next w:val="Normal"/>
    <w:link w:val="QuoteChar"/>
    <w:uiPriority w:val="99"/>
    <w:semiHidden/>
    <w:qFormat/>
    <w:pPr>
      <w:spacing w:before="180" w:after="180"/>
      <w:ind w:left="567" w:right="567"/>
      <w:jc w:val="center"/>
    </w:pPr>
    <w:rPr>
      <w:i/>
      <w:iCs/>
    </w:rPr>
  </w:style>
  <w:style w:type="character" w:customStyle="1" w:styleId="QuoteChar">
    <w:name w:val="Quote Char"/>
    <w:basedOn w:val="DefaultParagraphFont"/>
    <w:link w:val="Quote"/>
    <w:uiPriority w:val="99"/>
    <w:semiHidden/>
    <w:qFormat/>
    <w:rPr>
      <w:rFonts w:ascii="Arial" w:hAnsi="Arial"/>
      <w:i/>
      <w:iCs/>
      <w:color w:val="000000" w:themeColor="text1"/>
      <w:sz w:val="20"/>
    </w:rPr>
  </w:style>
  <w:style w:type="paragraph" w:customStyle="1" w:styleId="FigureCaption">
    <w:name w:val="Figure Caption"/>
    <w:basedOn w:val="BodyText"/>
    <w:next w:val="BodyText"/>
    <w:uiPriority w:val="2"/>
    <w:qFormat/>
    <w:pPr>
      <w:numPr>
        <w:ilvl w:val="5"/>
        <w:numId w:val="3"/>
      </w:numPr>
      <w:spacing w:after="240" w:line="240" w:lineRule="auto"/>
      <w:jc w:val="center"/>
    </w:pPr>
    <w:rPr>
      <w:b/>
      <w:color w:val="58595B" w:themeColor="accent2"/>
    </w:rPr>
  </w:style>
  <w:style w:type="paragraph" w:customStyle="1" w:styleId="TableCaption">
    <w:name w:val="Table Caption"/>
    <w:basedOn w:val="FigureCaption"/>
    <w:next w:val="BodyText"/>
    <w:uiPriority w:val="2"/>
    <w:qFormat/>
    <w:pPr>
      <w:numPr>
        <w:ilvl w:val="6"/>
      </w:numPr>
      <w:spacing w:before="240" w:after="60"/>
      <w:jc w:val="left"/>
    </w:pPr>
  </w:style>
  <w:style w:type="paragraph" w:customStyle="1" w:styleId="FigureStyle">
    <w:name w:val="Figure Style"/>
    <w:basedOn w:val="BodyText"/>
    <w:uiPriority w:val="2"/>
    <w:qFormat/>
    <w:pPr>
      <w:spacing w:before="240" w:line="240" w:lineRule="auto"/>
      <w:jc w:val="center"/>
    </w:pPr>
  </w:style>
  <w:style w:type="table" w:customStyle="1" w:styleId="RedTable">
    <w:name w:val="Red Table"/>
    <w:basedOn w:val="TableNormal"/>
    <w:uiPriority w:val="99"/>
    <w:qFormat/>
    <w:tblPr>
      <w:tblBorders>
        <w:top w:val="single" w:sz="4" w:space="0" w:color="820000" w:themeColor="accent1"/>
        <w:left w:val="single" w:sz="4" w:space="0" w:color="820000" w:themeColor="accent1"/>
        <w:bottom w:val="single" w:sz="4" w:space="0" w:color="820000" w:themeColor="accent1"/>
        <w:right w:val="single" w:sz="4" w:space="0" w:color="820000" w:themeColor="accent1"/>
        <w:insideH w:val="single" w:sz="4" w:space="0" w:color="820000" w:themeColor="accent1"/>
        <w:insideV w:val="single" w:sz="4" w:space="0" w:color="820000" w:themeColor="accent1"/>
      </w:tblBorders>
    </w:tblPr>
    <w:tblStylePr w:type="firstRow">
      <w:tblPr/>
      <w:tcPr>
        <w:tcBorders>
          <w:insideV w:val="single" w:sz="4" w:space="0" w:color="auto"/>
        </w:tcBorders>
        <w:shd w:val="clear" w:color="auto" w:fill="820000" w:themeFill="accent1"/>
      </w:tcPr>
    </w:tblStylePr>
    <w:tblStylePr w:type="lastRow">
      <w:rPr>
        <w:b/>
      </w:rPr>
      <w:tblPr/>
      <w:tcPr>
        <w:shd w:val="clear" w:color="auto" w:fill="FFB3B3" w:themeFill="accent1" w:themeFillTint="33"/>
      </w:tcPr>
    </w:tblStylePr>
    <w:tblStylePr w:type="firstCol">
      <w:rPr>
        <w:i w:val="0"/>
      </w:rPr>
      <w:tblPr/>
      <w:tcPr>
        <w:shd w:val="clear" w:color="auto" w:fill="FFB3B3" w:themeFill="accent1" w:themeFillTint="33"/>
      </w:tcPr>
    </w:tblStylePr>
    <w:tblStylePr w:type="lastCol">
      <w:tblPr/>
      <w:tcPr>
        <w:shd w:val="clear" w:color="auto" w:fill="FFB3B3" w:themeFill="accent1" w:themeFillTint="33"/>
      </w:tcPr>
    </w:tblStylePr>
    <w:tblStylePr w:type="band2Vert">
      <w:tblPr/>
      <w:tcPr>
        <w:shd w:val="clear" w:color="auto" w:fill="FFB3B3" w:themeFill="accent1" w:themeFillTint="33"/>
      </w:tcPr>
    </w:tblStylePr>
    <w:tblStylePr w:type="band2Horz">
      <w:tblPr/>
      <w:tcPr>
        <w:shd w:val="clear" w:color="auto" w:fill="FFB3B3" w:themeFill="accent1" w:themeFillTint="33"/>
      </w:tcPr>
    </w:tblStylePr>
  </w:style>
  <w:style w:type="character" w:customStyle="1" w:styleId="FootnoteTextChar">
    <w:name w:val="Footnote Text Char"/>
    <w:basedOn w:val="DefaultParagraphFont"/>
    <w:link w:val="FootnoteText"/>
    <w:qFormat/>
    <w:rPr>
      <w:sz w:val="18"/>
      <w:szCs w:val="20"/>
    </w:rPr>
  </w:style>
  <w:style w:type="character" w:styleId="PlaceholderText">
    <w:name w:val="Placeholder Text"/>
    <w:basedOn w:val="DefaultParagraphFont"/>
    <w:uiPriority w:val="99"/>
    <w:semiHidden/>
    <w:qFormat/>
    <w:rPr>
      <w:color w:val="808080"/>
    </w:rPr>
  </w:style>
  <w:style w:type="character" w:customStyle="1" w:styleId="DateChar">
    <w:name w:val="Date Char"/>
    <w:basedOn w:val="DefaultParagraphFont"/>
    <w:link w:val="Date"/>
    <w:uiPriority w:val="99"/>
    <w:semiHidden/>
    <w:qFormat/>
    <w:rPr>
      <w:color w:val="FFFFFF" w:themeColor="background1"/>
      <w:sz w:val="24"/>
    </w:rPr>
  </w:style>
  <w:style w:type="character" w:customStyle="1" w:styleId="TableTextChar">
    <w:name w:val="Table Text Char"/>
    <w:link w:val="TableText"/>
    <w:qFormat/>
    <w:rPr>
      <w:sz w:val="20"/>
    </w:rPr>
  </w:style>
  <w:style w:type="table" w:customStyle="1" w:styleId="GreyTable1">
    <w:name w:val="Grey Table 1"/>
    <w:basedOn w:val="TableNormal"/>
    <w:uiPriority w:val="99"/>
    <w:qFormat/>
    <w:tblPr>
      <w:tblBorders>
        <w:top w:val="single" w:sz="4" w:space="0" w:color="58595B" w:themeColor="accent2"/>
        <w:left w:val="single" w:sz="4" w:space="0" w:color="58595B" w:themeColor="accent2"/>
        <w:bottom w:val="single" w:sz="4" w:space="0" w:color="58595B" w:themeColor="accent2"/>
        <w:right w:val="single" w:sz="4" w:space="0" w:color="58595B" w:themeColor="accent2"/>
        <w:insideH w:val="single" w:sz="4" w:space="0" w:color="58595B" w:themeColor="accent2"/>
        <w:insideV w:val="single" w:sz="4" w:space="0" w:color="58595B" w:themeColor="accent2"/>
      </w:tblBorders>
    </w:tblPr>
    <w:trPr>
      <w:cantSplit/>
    </w:trPr>
    <w:tcPr>
      <w:shd w:val="clear" w:color="auto" w:fill="auto"/>
    </w:tcPr>
    <w:tblStylePr w:type="firstRow">
      <w:rPr>
        <w:color w:val="FFFFFF" w:themeColor="background1"/>
      </w:rPr>
      <w:tblPr/>
      <w:trPr>
        <w:tblHeader/>
      </w:trPr>
      <w:tcPr>
        <w:tcBorders>
          <w:insideV w:val="single" w:sz="4" w:space="0" w:color="auto"/>
        </w:tcBorders>
        <w:shd w:val="clear" w:color="auto" w:fill="58595B" w:themeFill="accent2"/>
      </w:tcPr>
    </w:tblStylePr>
    <w:tblStylePr w:type="lastRow">
      <w:rPr>
        <w:b/>
        <w:color w:val="7F7F7F" w:themeColor="text2"/>
      </w:rPr>
      <w:tblPr/>
      <w:tcPr>
        <w:shd w:val="clear" w:color="auto" w:fill="DDDDDE" w:themeFill="accent2" w:themeFillTint="33"/>
      </w:tcPr>
    </w:tblStylePr>
    <w:tblStylePr w:type="firstCol">
      <w:rPr>
        <w:color w:val="FFFFFF" w:themeColor="background1"/>
      </w:rPr>
      <w:tblPr/>
      <w:tcPr>
        <w:shd w:val="clear" w:color="auto" w:fill="58595B" w:themeFill="accent2"/>
      </w:tcPr>
    </w:tblStylePr>
    <w:tblStylePr w:type="lastCol">
      <w:tblPr/>
      <w:tcPr>
        <w:shd w:val="clear" w:color="auto" w:fill="DDDDDE" w:themeFill="accent2" w:themeFillTint="33"/>
      </w:tcPr>
    </w:tblStylePr>
    <w:tblStylePr w:type="band2Vert">
      <w:tblPr/>
      <w:tcPr>
        <w:shd w:val="clear" w:color="auto" w:fill="DDDDDE" w:themeFill="accent2" w:themeFillTint="33"/>
      </w:tcPr>
    </w:tblStylePr>
    <w:tblStylePr w:type="band2Horz">
      <w:tblPr/>
      <w:tcPr>
        <w:shd w:val="clear" w:color="auto" w:fill="E5E5E5" w:themeFill="text2" w:themeFillTint="33"/>
      </w:tcPr>
    </w:tblStylePr>
  </w:style>
  <w:style w:type="table" w:customStyle="1" w:styleId="GreyTable2">
    <w:name w:val="Grey Table 2"/>
    <w:basedOn w:val="TableNormal"/>
    <w:uiPriority w:val="99"/>
    <w:qFormat/>
    <w:tblPr>
      <w:tblBorders>
        <w:top w:val="single" w:sz="4" w:space="0" w:color="58595B" w:themeColor="accent2"/>
        <w:left w:val="single" w:sz="4" w:space="0" w:color="58595B" w:themeColor="accent2"/>
        <w:bottom w:val="single" w:sz="4" w:space="0" w:color="58595B" w:themeColor="accent2"/>
        <w:right w:val="single" w:sz="4" w:space="0" w:color="58595B" w:themeColor="accent2"/>
        <w:insideH w:val="single" w:sz="4" w:space="0" w:color="58595B" w:themeColor="accent2"/>
        <w:insideV w:val="single" w:sz="4" w:space="0" w:color="58595B" w:themeColor="accent2"/>
      </w:tblBorders>
    </w:tblPr>
    <w:trPr>
      <w:cantSplit/>
    </w:trPr>
    <w:tcPr>
      <w:shd w:val="clear" w:color="auto" w:fill="auto"/>
    </w:tcPr>
    <w:tblStylePr w:type="firstRow">
      <w:rPr>
        <w:color w:val="auto"/>
      </w:rPr>
      <w:tblPr/>
      <w:tcPr>
        <w:shd w:val="clear" w:color="auto" w:fill="F2F2F2"/>
      </w:tcPr>
    </w:tblStylePr>
    <w:tblStylePr w:type="lastRow">
      <w:rPr>
        <w:b/>
        <w:color w:val="7F7F7F" w:themeColor="text2"/>
      </w:rPr>
      <w:tblPr/>
      <w:tcPr>
        <w:shd w:val="clear" w:color="auto" w:fill="CBD0D6" w:themeFill="accent4" w:themeFillTint="66"/>
      </w:tcPr>
    </w:tblStylePr>
    <w:tblStylePr w:type="firstCol">
      <w:rPr>
        <w:color w:val="auto"/>
      </w:rPr>
      <w:tblPr/>
      <w:tcPr>
        <w:shd w:val="clear" w:color="auto" w:fill="F2F2F2"/>
      </w:tcPr>
    </w:tblStylePr>
    <w:tblStylePr w:type="lastCol">
      <w:tblPr/>
      <w:tcPr>
        <w:shd w:val="clear" w:color="auto" w:fill="E7E7E7"/>
      </w:tcPr>
    </w:tblStylePr>
    <w:tblStylePr w:type="band2Vert">
      <w:tblPr/>
      <w:tcPr>
        <w:shd w:val="clear" w:color="auto" w:fill="E7E7E7"/>
      </w:tcPr>
    </w:tblStylePr>
    <w:tblStylePr w:type="band2Horz">
      <w:tblPr/>
      <w:tcPr>
        <w:shd w:val="clear" w:color="auto" w:fill="E7E7E7"/>
      </w:tcPr>
    </w:tblStylePr>
    <w:tblStylePr w:type="nwCell">
      <w:rPr>
        <w:color w:val="auto"/>
      </w:rPr>
    </w:tblStyle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Revision1">
    <w:name w:val="Revision1"/>
    <w:hidden/>
    <w:uiPriority w:val="99"/>
    <w:semiHidden/>
    <w:rPr>
      <w:rFonts w:asciiTheme="minorHAnsi" w:hAnsiTheme="minorHAnsi" w:cstheme="minorBidi"/>
      <w:szCs w:val="22"/>
      <w:lang w:val="en-AU"/>
    </w:rPr>
  </w:style>
  <w:style w:type="character" w:customStyle="1" w:styleId="apple-converted-space">
    <w:name w:val="apple-converted-space"/>
    <w:basedOn w:val="DefaultParagraphFont"/>
  </w:style>
  <w:style w:type="character" w:customStyle="1" w:styleId="NormalIndentChar">
    <w:name w:val="Normal Indent Char"/>
    <w:link w:val="NormalIndent"/>
    <w:rPr>
      <w:rFonts w:ascii="Times New Roman" w:eastAsia="Times New Roman" w:hAnsi="Times New Roman" w:cs="Times New Roman"/>
      <w:sz w:val="24"/>
      <w:szCs w:val="20"/>
      <w:lang w:val="en-US"/>
    </w:rPr>
  </w:style>
  <w:style w:type="table" w:customStyle="1" w:styleId="RedTable1">
    <w:name w:val="Red Table1"/>
    <w:basedOn w:val="TableProfessional"/>
    <w:uiPriority w:val="99"/>
    <w:tblPr>
      <w:tblBorders>
        <w:top w:val="single" w:sz="4" w:space="0" w:color="820000" w:themeColor="accent1"/>
        <w:left w:val="single" w:sz="4" w:space="0" w:color="820000" w:themeColor="accent1"/>
        <w:bottom w:val="single" w:sz="4" w:space="0" w:color="820000" w:themeColor="accent1"/>
        <w:right w:val="single" w:sz="4" w:space="0" w:color="820000" w:themeColor="accent1"/>
        <w:insideH w:val="single" w:sz="4" w:space="0" w:color="820000" w:themeColor="accent1"/>
        <w:insideV w:val="single" w:sz="4" w:space="0" w:color="820000" w:themeColor="accent1"/>
      </w:tblBorders>
    </w:tblPr>
    <w:tblStylePr w:type="firstRow">
      <w:rPr>
        <w:b w:val="0"/>
        <w:bCs/>
        <w:color w:val="auto"/>
      </w:rPr>
      <w:tblPr/>
      <w:trPr>
        <w:tblHeader/>
      </w:trPr>
      <w:tcPr>
        <w:tcBorders>
          <w:insideV w:val="single" w:sz="4" w:space="0" w:color="auto"/>
          <w:tl2br w:val="nil"/>
          <w:tr2bl w:val="nil"/>
        </w:tcBorders>
        <w:shd w:val="clear" w:color="auto" w:fill="820000" w:themeFill="accent1"/>
      </w:tcPr>
    </w:tblStylePr>
    <w:tblStylePr w:type="lastRow">
      <w:rPr>
        <w:b/>
      </w:rPr>
      <w:tblPr/>
      <w:tcPr>
        <w:shd w:val="clear" w:color="auto" w:fill="CBCBCB" w:themeFill="text2" w:themeFillTint="66"/>
      </w:tcPr>
    </w:tblStylePr>
    <w:tblStylePr w:type="firstCol">
      <w:rPr>
        <w:i w:val="0"/>
      </w:rPr>
      <w:tblPr/>
      <w:tcPr>
        <w:tcBorders>
          <w:insideH w:val="single" w:sz="4" w:space="0" w:color="auto"/>
        </w:tcBorders>
        <w:shd w:val="clear" w:color="auto" w:fill="820000" w:themeFill="accent1"/>
      </w:tcPr>
    </w:tblStylePr>
    <w:tblStylePr w:type="lastCol">
      <w:tblPr/>
      <w:tcPr>
        <w:shd w:val="clear" w:color="auto" w:fill="CBCBCB" w:themeFill="text2" w:themeFillTint="66"/>
      </w:tcPr>
    </w:tblStylePr>
    <w:tblStylePr w:type="band2Vert">
      <w:tblPr/>
      <w:tcPr>
        <w:shd w:val="clear" w:color="auto" w:fill="E5E5E5" w:themeFill="text2" w:themeFillTint="33"/>
      </w:tcPr>
    </w:tblStylePr>
    <w:tblStylePr w:type="band2Horz">
      <w:tblPr/>
      <w:tcPr>
        <w:shd w:val="clear" w:color="auto" w:fill="E5E5E5" w:themeFill="text2" w:themeFillTint="33"/>
      </w:tcPr>
    </w:tblStylePr>
  </w:style>
  <w:style w:type="character" w:customStyle="1" w:styleId="Heading1Char1">
    <w:name w:val="Heading 1 Char1"/>
    <w:basedOn w:val="DefaultParagraphFont"/>
    <w:locked/>
    <w:rPr>
      <w:rFonts w:eastAsiaTheme="majorEastAsia" w:cstheme="majorBidi"/>
      <w:bCs/>
      <w:color w:val="820000" w:themeColor="accent1"/>
      <w:sz w:val="36"/>
      <w:szCs w:val="28"/>
    </w:rPr>
  </w:style>
  <w:style w:type="table" w:customStyle="1" w:styleId="RedTable2">
    <w:name w:val="Red Table2"/>
    <w:basedOn w:val="TableNormal"/>
    <w:uiPriority w:val="99"/>
    <w:tblPr>
      <w:tblBorders>
        <w:top w:val="single" w:sz="4" w:space="0" w:color="820000" w:themeColor="accent1"/>
        <w:left w:val="single" w:sz="4" w:space="0" w:color="820000" w:themeColor="accent1"/>
        <w:bottom w:val="single" w:sz="4" w:space="0" w:color="820000" w:themeColor="accent1"/>
        <w:right w:val="single" w:sz="4" w:space="0" w:color="820000" w:themeColor="accent1"/>
        <w:insideH w:val="single" w:sz="4" w:space="0" w:color="820000" w:themeColor="accent1"/>
        <w:insideV w:val="single" w:sz="4" w:space="0" w:color="820000" w:themeColor="accent1"/>
      </w:tblBorders>
    </w:tblPr>
    <w:tblStylePr w:type="firstRow">
      <w:tblPr/>
      <w:tcPr>
        <w:tcBorders>
          <w:insideV w:val="single" w:sz="4" w:space="0" w:color="auto"/>
        </w:tcBorders>
        <w:shd w:val="clear" w:color="auto" w:fill="820000" w:themeFill="accent1"/>
      </w:tcPr>
    </w:tblStylePr>
    <w:tblStylePr w:type="lastRow">
      <w:rPr>
        <w:b/>
      </w:rPr>
      <w:tblPr/>
      <w:tcPr>
        <w:shd w:val="clear" w:color="auto" w:fill="FFB3B3" w:themeFill="accent1" w:themeFillTint="33"/>
      </w:tcPr>
    </w:tblStylePr>
    <w:tblStylePr w:type="firstCol">
      <w:rPr>
        <w:i w:val="0"/>
      </w:rPr>
      <w:tblPr/>
      <w:tcPr>
        <w:shd w:val="clear" w:color="auto" w:fill="FFB3B3" w:themeFill="accent1" w:themeFillTint="33"/>
      </w:tcPr>
    </w:tblStylePr>
    <w:tblStylePr w:type="lastCol">
      <w:tblPr/>
      <w:tcPr>
        <w:shd w:val="clear" w:color="auto" w:fill="FFB3B3" w:themeFill="accent1" w:themeFillTint="33"/>
      </w:tcPr>
    </w:tblStylePr>
    <w:tblStylePr w:type="band2Vert">
      <w:tblPr/>
      <w:tcPr>
        <w:shd w:val="clear" w:color="auto" w:fill="FFB3B3" w:themeFill="accent1" w:themeFillTint="33"/>
      </w:tcPr>
    </w:tblStylePr>
    <w:tblStylePr w:type="band2Horz">
      <w:tblPr/>
      <w:tcPr>
        <w:shd w:val="clear" w:color="auto" w:fill="FFB3B3" w:themeFill="accent1" w:themeFillTint="33"/>
      </w:tcPr>
    </w:tblStylePr>
  </w:style>
  <w:style w:type="table" w:customStyle="1" w:styleId="PlainTable1">
    <w:name w:val="Plain Table1"/>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dTable3">
    <w:name w:val="Red Table3"/>
    <w:basedOn w:val="TableNormal"/>
    <w:uiPriority w:val="99"/>
    <w:qFormat/>
    <w:tblPr>
      <w:tblBorders>
        <w:top w:val="single" w:sz="4" w:space="0" w:color="820000" w:themeColor="accent1"/>
        <w:left w:val="single" w:sz="4" w:space="0" w:color="820000" w:themeColor="accent1"/>
        <w:bottom w:val="single" w:sz="4" w:space="0" w:color="820000" w:themeColor="accent1"/>
        <w:right w:val="single" w:sz="4" w:space="0" w:color="820000" w:themeColor="accent1"/>
        <w:insideH w:val="single" w:sz="4" w:space="0" w:color="820000" w:themeColor="accent1"/>
        <w:insideV w:val="single" w:sz="4" w:space="0" w:color="820000" w:themeColor="accent1"/>
      </w:tblBorders>
    </w:tblPr>
    <w:tblStylePr w:type="firstRow">
      <w:tblPr/>
      <w:tcPr>
        <w:tcBorders>
          <w:insideV w:val="single" w:sz="4" w:space="0" w:color="auto"/>
        </w:tcBorders>
        <w:shd w:val="clear" w:color="auto" w:fill="820000" w:themeFill="accent1"/>
      </w:tcPr>
    </w:tblStylePr>
    <w:tblStylePr w:type="lastRow">
      <w:rPr>
        <w:b/>
      </w:rPr>
      <w:tblPr/>
      <w:tcPr>
        <w:shd w:val="clear" w:color="auto" w:fill="FFB3B3" w:themeFill="accent1" w:themeFillTint="33"/>
      </w:tcPr>
    </w:tblStylePr>
    <w:tblStylePr w:type="firstCol">
      <w:rPr>
        <w:i w:val="0"/>
      </w:rPr>
      <w:tblPr/>
      <w:tcPr>
        <w:shd w:val="clear" w:color="auto" w:fill="FFB3B3" w:themeFill="accent1" w:themeFillTint="33"/>
      </w:tcPr>
    </w:tblStylePr>
    <w:tblStylePr w:type="lastCol">
      <w:tblPr/>
      <w:tcPr>
        <w:shd w:val="clear" w:color="auto" w:fill="FFB3B3" w:themeFill="accent1" w:themeFillTint="33"/>
      </w:tcPr>
    </w:tblStylePr>
    <w:tblStylePr w:type="band2Vert">
      <w:tblPr/>
      <w:tcPr>
        <w:shd w:val="clear" w:color="auto" w:fill="FFB3B3" w:themeFill="accent1" w:themeFillTint="33"/>
      </w:tcPr>
    </w:tblStylePr>
    <w:tblStylePr w:type="band2Horz">
      <w:tblPr/>
      <w:tcPr>
        <w:shd w:val="clear" w:color="auto" w:fill="FFB3B3" w:themeFill="accent1" w:themeFillTint="33"/>
      </w:tcPr>
    </w:tblStylePr>
  </w:style>
  <w:style w:type="table" w:customStyle="1" w:styleId="TableGrid1">
    <w:name w:val="Table Grid1"/>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Normal"/>
    <w:qFormat/>
    <w:pPr>
      <w:spacing w:before="100" w:beforeAutospacing="1" w:after="100" w:afterAutospacing="1"/>
      <w:jc w:val="center"/>
      <w:textAlignment w:val="top"/>
    </w:pPr>
    <w:rPr>
      <w:rFonts w:eastAsia="Times New Roman"/>
      <w:sz w:val="16"/>
      <w:szCs w:val="16"/>
      <w:lang w:val="en-US"/>
    </w:rPr>
  </w:style>
  <w:style w:type="paragraph" w:customStyle="1" w:styleId="xl66">
    <w:name w:val="xl66"/>
    <w:basedOn w:val="Normal"/>
    <w:qFormat/>
    <w:pPr>
      <w:spacing w:before="100" w:beforeAutospacing="1" w:after="100" w:afterAutospacing="1"/>
      <w:textAlignment w:val="top"/>
    </w:pPr>
    <w:rPr>
      <w:rFonts w:eastAsia="Times New Roman"/>
      <w:sz w:val="16"/>
      <w:szCs w:val="16"/>
      <w:lang w:val="en-US"/>
    </w:rPr>
  </w:style>
  <w:style w:type="paragraph" w:customStyle="1" w:styleId="xl67">
    <w:name w:val="xl67"/>
    <w:basedOn w:val="Normal"/>
    <w:qFormat/>
    <w:pPr>
      <w:shd w:val="clear" w:color="000000" w:fill="FFFFFF"/>
      <w:spacing w:before="100" w:beforeAutospacing="1" w:after="100" w:afterAutospacing="1"/>
      <w:jc w:val="center"/>
      <w:textAlignment w:val="top"/>
    </w:pPr>
    <w:rPr>
      <w:rFonts w:eastAsia="Times New Roman"/>
      <w:sz w:val="16"/>
      <w:szCs w:val="16"/>
      <w:lang w:val="en-US"/>
    </w:rPr>
  </w:style>
  <w:style w:type="paragraph" w:customStyle="1" w:styleId="xl68">
    <w:name w:val="xl68"/>
    <w:basedOn w:val="Normal"/>
    <w:pPr>
      <w:spacing w:before="100" w:beforeAutospacing="1" w:after="100" w:afterAutospacing="1"/>
      <w:jc w:val="center"/>
      <w:textAlignment w:val="top"/>
    </w:pPr>
    <w:rPr>
      <w:rFonts w:eastAsia="Times New Roman"/>
      <w:sz w:val="16"/>
      <w:szCs w:val="16"/>
      <w:lang w:val="en-US"/>
    </w:rPr>
  </w:style>
  <w:style w:type="paragraph" w:customStyle="1" w:styleId="xl69">
    <w:name w:val="xl69"/>
    <w:basedOn w:val="Normal"/>
    <w:pPr>
      <w:pBdr>
        <w:top w:val="single" w:sz="4" w:space="0" w:color="00B050"/>
        <w:left w:val="single" w:sz="4" w:space="0" w:color="00B050"/>
        <w:bottom w:val="single" w:sz="4" w:space="0" w:color="00B050"/>
        <w:right w:val="single" w:sz="4" w:space="0" w:color="00B050"/>
      </w:pBdr>
      <w:shd w:val="clear" w:color="000000" w:fill="00B0F0"/>
      <w:spacing w:before="100" w:beforeAutospacing="1" w:after="100" w:afterAutospacing="1"/>
      <w:jc w:val="center"/>
      <w:textAlignment w:val="top"/>
    </w:pPr>
    <w:rPr>
      <w:rFonts w:eastAsia="Times New Roman"/>
      <w:b/>
      <w:bCs/>
      <w:color w:val="FFFFFF"/>
      <w:sz w:val="16"/>
      <w:szCs w:val="16"/>
      <w:lang w:val="en-US"/>
      <w14:textFill>
        <w14:solidFill>
          <w14:srgbClr w14:val="FFFFFF">
            <w14:lumMod w14:val="50000"/>
            <w14:lumOff w14:val="50000"/>
          </w14:srgbClr>
        </w14:solidFill>
      </w14:textFill>
    </w:rPr>
  </w:style>
  <w:style w:type="paragraph" w:customStyle="1" w:styleId="xl70">
    <w:name w:val="xl70"/>
    <w:basedOn w:val="Normal"/>
    <w:pPr>
      <w:pBdr>
        <w:top w:val="single" w:sz="4" w:space="0" w:color="00B050"/>
        <w:left w:val="single" w:sz="4" w:space="0" w:color="00B050"/>
        <w:bottom w:val="single" w:sz="4" w:space="0" w:color="00B050"/>
        <w:right w:val="single" w:sz="4" w:space="0" w:color="00B050"/>
      </w:pBdr>
      <w:shd w:val="clear" w:color="000000" w:fill="FFFFFF"/>
      <w:spacing w:before="100" w:beforeAutospacing="1" w:after="100" w:afterAutospacing="1"/>
      <w:jc w:val="center"/>
      <w:textAlignment w:val="top"/>
    </w:pPr>
    <w:rPr>
      <w:rFonts w:eastAsia="Times New Roman"/>
      <w:sz w:val="16"/>
      <w:szCs w:val="16"/>
      <w:lang w:val="en-US"/>
    </w:rPr>
  </w:style>
  <w:style w:type="paragraph" w:customStyle="1" w:styleId="xl71">
    <w:name w:val="xl71"/>
    <w:basedOn w:val="Normal"/>
    <w:pPr>
      <w:pBdr>
        <w:top w:val="single" w:sz="4" w:space="0" w:color="00B050"/>
        <w:left w:val="single" w:sz="4" w:space="0" w:color="00B050"/>
        <w:bottom w:val="single" w:sz="4" w:space="0" w:color="00B050"/>
        <w:right w:val="single" w:sz="4" w:space="0" w:color="00B050"/>
      </w:pBdr>
      <w:shd w:val="clear" w:color="000000" w:fill="FFFFFF"/>
      <w:spacing w:before="100" w:beforeAutospacing="1" w:after="100" w:afterAutospacing="1"/>
      <w:textAlignment w:val="top"/>
    </w:pPr>
    <w:rPr>
      <w:rFonts w:eastAsia="Times New Roman"/>
      <w:sz w:val="16"/>
      <w:szCs w:val="16"/>
      <w:lang w:val="en-US"/>
    </w:rPr>
  </w:style>
  <w:style w:type="paragraph" w:customStyle="1" w:styleId="xl72">
    <w:name w:val="xl72"/>
    <w:basedOn w:val="Normal"/>
    <w:pPr>
      <w:pBdr>
        <w:top w:val="single" w:sz="4" w:space="0" w:color="00B050"/>
        <w:left w:val="single" w:sz="4" w:space="0" w:color="00B050"/>
        <w:bottom w:val="single" w:sz="4" w:space="0" w:color="00B050"/>
        <w:right w:val="single" w:sz="4" w:space="0" w:color="00B050"/>
      </w:pBdr>
      <w:spacing w:before="100" w:beforeAutospacing="1" w:after="100" w:afterAutospacing="1"/>
      <w:jc w:val="center"/>
      <w:textAlignment w:val="top"/>
    </w:pPr>
    <w:rPr>
      <w:rFonts w:eastAsia="Times New Roman"/>
      <w:sz w:val="16"/>
      <w:szCs w:val="16"/>
      <w:lang w:val="en-US"/>
    </w:rPr>
  </w:style>
  <w:style w:type="paragraph" w:customStyle="1" w:styleId="xl73">
    <w:name w:val="xl73"/>
    <w:basedOn w:val="Normal"/>
    <w:pPr>
      <w:pBdr>
        <w:top w:val="single" w:sz="4" w:space="0" w:color="00B050"/>
        <w:left w:val="single" w:sz="4" w:space="0" w:color="00B050"/>
        <w:bottom w:val="single" w:sz="4" w:space="0" w:color="00B050"/>
        <w:right w:val="single" w:sz="4" w:space="0" w:color="00B050"/>
      </w:pBdr>
      <w:shd w:val="clear" w:color="000000" w:fill="F2F2F2"/>
      <w:spacing w:before="100" w:beforeAutospacing="1" w:after="100" w:afterAutospacing="1"/>
      <w:jc w:val="center"/>
      <w:textAlignment w:val="top"/>
    </w:pPr>
    <w:rPr>
      <w:rFonts w:eastAsia="Times New Roman"/>
      <w:sz w:val="16"/>
      <w:szCs w:val="16"/>
      <w:lang w:val="en-US"/>
    </w:rPr>
  </w:style>
  <w:style w:type="paragraph" w:customStyle="1" w:styleId="xl74">
    <w:name w:val="xl74"/>
    <w:basedOn w:val="Normal"/>
    <w:pPr>
      <w:pBdr>
        <w:top w:val="single" w:sz="4" w:space="0" w:color="00B050"/>
        <w:left w:val="single" w:sz="4" w:space="0" w:color="00B050"/>
        <w:bottom w:val="single" w:sz="4" w:space="0" w:color="00B050"/>
        <w:right w:val="single" w:sz="4" w:space="0" w:color="00B050"/>
      </w:pBdr>
      <w:shd w:val="clear" w:color="000000" w:fill="CED5DD"/>
      <w:spacing w:before="100" w:beforeAutospacing="1" w:after="100" w:afterAutospacing="1"/>
      <w:textAlignment w:val="top"/>
    </w:pPr>
    <w:rPr>
      <w:rFonts w:eastAsia="Times New Roman"/>
      <w:sz w:val="16"/>
      <w:szCs w:val="16"/>
      <w:lang w:val="en-US"/>
    </w:rPr>
  </w:style>
  <w:style w:type="paragraph" w:customStyle="1" w:styleId="xl75">
    <w:name w:val="xl75"/>
    <w:basedOn w:val="Normal"/>
    <w:pPr>
      <w:pBdr>
        <w:top w:val="single" w:sz="4" w:space="0" w:color="00B050"/>
        <w:left w:val="single" w:sz="4" w:space="0" w:color="00B050"/>
        <w:bottom w:val="single" w:sz="4" w:space="0" w:color="00B050"/>
        <w:right w:val="single" w:sz="4" w:space="0" w:color="00B050"/>
      </w:pBdr>
      <w:spacing w:before="100" w:beforeAutospacing="1" w:after="100" w:afterAutospacing="1"/>
      <w:jc w:val="center"/>
      <w:textAlignment w:val="top"/>
    </w:pPr>
    <w:rPr>
      <w:rFonts w:eastAsia="Times New Roman"/>
      <w:sz w:val="16"/>
      <w:szCs w:val="16"/>
      <w:lang w:val="en-US"/>
    </w:rPr>
  </w:style>
  <w:style w:type="paragraph" w:customStyle="1" w:styleId="xl76">
    <w:name w:val="xl76"/>
    <w:basedOn w:val="Normal"/>
    <w:pPr>
      <w:pBdr>
        <w:top w:val="single" w:sz="4" w:space="0" w:color="00B050"/>
        <w:left w:val="single" w:sz="4" w:space="0" w:color="00B050"/>
        <w:bottom w:val="single" w:sz="4" w:space="0" w:color="00B050"/>
        <w:right w:val="single" w:sz="4" w:space="0" w:color="00B050"/>
      </w:pBdr>
      <w:spacing w:before="100" w:beforeAutospacing="1" w:after="100" w:afterAutospacing="1"/>
      <w:textAlignment w:val="top"/>
    </w:pPr>
    <w:rPr>
      <w:rFonts w:eastAsia="Times New Roman"/>
      <w:sz w:val="16"/>
      <w:szCs w:val="16"/>
      <w:lang w:val="en-US"/>
    </w:rPr>
  </w:style>
  <w:style w:type="paragraph" w:customStyle="1" w:styleId="xl77">
    <w:name w:val="xl77"/>
    <w:basedOn w:val="Normal"/>
    <w:pPr>
      <w:pBdr>
        <w:top w:val="single" w:sz="4" w:space="0" w:color="00B050"/>
        <w:left w:val="single" w:sz="4" w:space="0" w:color="00B050"/>
        <w:bottom w:val="single" w:sz="4" w:space="0" w:color="00B050"/>
        <w:right w:val="single" w:sz="4" w:space="0" w:color="00B050"/>
      </w:pBdr>
      <w:shd w:val="clear" w:color="000000" w:fill="00B050"/>
      <w:spacing w:before="100" w:beforeAutospacing="1" w:after="100" w:afterAutospacing="1"/>
      <w:jc w:val="center"/>
      <w:textAlignment w:val="top"/>
    </w:pPr>
    <w:rPr>
      <w:rFonts w:eastAsia="Times New Roman"/>
      <w:b/>
      <w:bCs/>
      <w:color w:val="FFFFFF"/>
      <w:sz w:val="16"/>
      <w:szCs w:val="16"/>
      <w:lang w:val="en-US"/>
      <w14:textFill>
        <w14:solidFill>
          <w14:srgbClr w14:val="FFFFFF">
            <w14:lumMod w14:val="50000"/>
            <w14:lumOff w14:val="50000"/>
          </w14:srgbClr>
        </w14:solidFill>
      </w14:textFill>
    </w:rPr>
  </w:style>
  <w:style w:type="paragraph" w:customStyle="1" w:styleId="xl78">
    <w:name w:val="xl78"/>
    <w:basedOn w:val="Normal"/>
    <w:pPr>
      <w:pBdr>
        <w:top w:val="single" w:sz="4" w:space="0" w:color="00B050"/>
        <w:left w:val="single" w:sz="4" w:space="0" w:color="00B050"/>
        <w:bottom w:val="single" w:sz="4" w:space="0" w:color="00B050"/>
        <w:right w:val="single" w:sz="4" w:space="0" w:color="00B050"/>
      </w:pBdr>
      <w:shd w:val="clear" w:color="000000" w:fill="00B050"/>
      <w:spacing w:before="100" w:beforeAutospacing="1" w:after="100" w:afterAutospacing="1"/>
      <w:textAlignment w:val="top"/>
    </w:pPr>
    <w:rPr>
      <w:rFonts w:eastAsia="Times New Roman"/>
      <w:b/>
      <w:bCs/>
      <w:color w:val="FFFFFF"/>
      <w:sz w:val="16"/>
      <w:szCs w:val="16"/>
      <w:lang w:val="en-US"/>
      <w14:textFill>
        <w14:solidFill>
          <w14:srgbClr w14:val="FFFFFF">
            <w14:lumMod w14:val="50000"/>
            <w14:lumOff w14:val="50000"/>
          </w14:srgbClr>
        </w14:solidFill>
      </w14:textFill>
    </w:rPr>
  </w:style>
  <w:style w:type="paragraph" w:customStyle="1" w:styleId="xl79">
    <w:name w:val="xl79"/>
    <w:basedOn w:val="Normal"/>
    <w:pPr>
      <w:pBdr>
        <w:top w:val="single" w:sz="4" w:space="0" w:color="00B050"/>
        <w:left w:val="single" w:sz="4" w:space="0" w:color="00B050"/>
        <w:bottom w:val="single" w:sz="4" w:space="0" w:color="00B050"/>
        <w:right w:val="single" w:sz="4" w:space="0" w:color="00B050"/>
      </w:pBdr>
      <w:shd w:val="clear" w:color="000000" w:fill="00B050"/>
      <w:spacing w:before="100" w:beforeAutospacing="1" w:after="100" w:afterAutospacing="1"/>
      <w:textAlignment w:val="top"/>
    </w:pPr>
    <w:rPr>
      <w:rFonts w:eastAsia="Times New Roman"/>
      <w:b/>
      <w:bCs/>
      <w:color w:val="FFFFFF"/>
      <w:sz w:val="16"/>
      <w:szCs w:val="16"/>
      <w:lang w:val="en-US"/>
      <w14:textFill>
        <w14:solidFill>
          <w14:srgbClr w14:val="FFFFFF">
            <w14:lumMod w14:val="50000"/>
            <w14:lumOff w14:val="50000"/>
          </w14:srgbClr>
        </w14:solidFill>
      </w14:textFill>
    </w:rPr>
  </w:style>
  <w:style w:type="paragraph" w:customStyle="1" w:styleId="xl80">
    <w:name w:val="xl80"/>
    <w:basedOn w:val="Normal"/>
    <w:pPr>
      <w:pBdr>
        <w:top w:val="single" w:sz="4" w:space="0" w:color="00B050"/>
        <w:left w:val="single" w:sz="4" w:space="0" w:color="00B050"/>
        <w:bottom w:val="single" w:sz="4" w:space="0" w:color="00B050"/>
        <w:right w:val="single" w:sz="4" w:space="0" w:color="00B050"/>
      </w:pBdr>
      <w:shd w:val="clear" w:color="000000" w:fill="00B050"/>
      <w:spacing w:before="100" w:beforeAutospacing="1" w:after="100" w:afterAutospacing="1"/>
      <w:jc w:val="center"/>
      <w:textAlignment w:val="top"/>
    </w:pPr>
    <w:rPr>
      <w:rFonts w:eastAsia="Times New Roman"/>
      <w:b/>
      <w:bCs/>
      <w:color w:val="FFFFFF"/>
      <w:sz w:val="16"/>
      <w:szCs w:val="16"/>
      <w:lang w:val="en-US"/>
      <w14:textFill>
        <w14:solidFill>
          <w14:srgbClr w14:val="FFFFFF">
            <w14:lumMod w14:val="50000"/>
            <w14:lumOff w14:val="50000"/>
          </w14:srgbClr>
        </w14:solidFill>
      </w14:textFill>
    </w:rPr>
  </w:style>
  <w:style w:type="paragraph" w:customStyle="1" w:styleId="xl81">
    <w:name w:val="xl81"/>
    <w:basedOn w:val="Normal"/>
    <w:pPr>
      <w:pBdr>
        <w:top w:val="single" w:sz="4" w:space="0" w:color="00B050"/>
        <w:left w:val="single" w:sz="4" w:space="0" w:color="00B050"/>
        <w:bottom w:val="single" w:sz="4" w:space="0" w:color="00B050"/>
        <w:right w:val="single" w:sz="4" w:space="0" w:color="00B050"/>
      </w:pBdr>
      <w:spacing w:before="100" w:beforeAutospacing="1" w:after="100" w:afterAutospacing="1"/>
      <w:textAlignment w:val="top"/>
    </w:pPr>
    <w:rPr>
      <w:rFonts w:eastAsia="Times New Roman"/>
      <w:sz w:val="16"/>
      <w:szCs w:val="16"/>
      <w:lang w:val="en-US"/>
    </w:rPr>
  </w:style>
  <w:style w:type="paragraph" w:customStyle="1" w:styleId="xl82">
    <w:name w:val="xl82"/>
    <w:basedOn w:val="Normal"/>
    <w:pPr>
      <w:pBdr>
        <w:top w:val="single" w:sz="4" w:space="0" w:color="00B050"/>
        <w:left w:val="single" w:sz="4" w:space="0" w:color="00B050"/>
        <w:bottom w:val="single" w:sz="4" w:space="0" w:color="00B050"/>
        <w:right w:val="single" w:sz="4" w:space="0" w:color="00B050"/>
      </w:pBdr>
      <w:spacing w:before="100" w:beforeAutospacing="1" w:after="100" w:afterAutospacing="1"/>
      <w:textAlignment w:val="top"/>
    </w:pPr>
    <w:rPr>
      <w:rFonts w:eastAsia="Times New Roman"/>
      <w:sz w:val="16"/>
      <w:szCs w:val="16"/>
      <w:lang w:val="en-US"/>
    </w:rPr>
  </w:style>
  <w:style w:type="paragraph" w:customStyle="1" w:styleId="xl83">
    <w:name w:val="xl83"/>
    <w:basedOn w:val="Normal"/>
    <w:pPr>
      <w:spacing w:before="100" w:beforeAutospacing="1" w:after="100" w:afterAutospacing="1"/>
      <w:textAlignment w:val="top"/>
    </w:pPr>
    <w:rPr>
      <w:rFonts w:eastAsia="Times New Roman"/>
      <w:sz w:val="16"/>
      <w:szCs w:val="16"/>
      <w:lang w:val="en-US"/>
    </w:rPr>
  </w:style>
  <w:style w:type="paragraph" w:customStyle="1" w:styleId="xl84">
    <w:name w:val="xl84"/>
    <w:basedOn w:val="Normal"/>
    <w:pPr>
      <w:shd w:val="clear" w:color="000000" w:fill="FFFFFF"/>
      <w:spacing w:before="100" w:beforeAutospacing="1" w:after="100" w:afterAutospacing="1"/>
      <w:textAlignment w:val="top"/>
    </w:pPr>
    <w:rPr>
      <w:rFonts w:eastAsia="Times New Roman"/>
      <w:sz w:val="16"/>
      <w:szCs w:val="16"/>
      <w:lang w:val="en-US"/>
    </w:rPr>
  </w:style>
  <w:style w:type="paragraph" w:customStyle="1" w:styleId="EYTableText">
    <w:name w:val="EY Table Text"/>
    <w:basedOn w:val="Normal"/>
    <w:link w:val="EYTableTextChar"/>
    <w:pPr>
      <w:keepNext/>
      <w:keepLines/>
      <w:tabs>
        <w:tab w:val="left" w:pos="0"/>
        <w:tab w:val="left" w:pos="720"/>
      </w:tabs>
      <w:spacing w:line="240" w:lineRule="exact"/>
      <w:outlineLvl w:val="0"/>
    </w:pPr>
    <w:rPr>
      <w:rFonts w:ascii="EYInterstate Light" w:eastAsia="Times New Roman" w:hAnsi="EYInterstate Light" w:cs="Times New Roman"/>
      <w:sz w:val="18"/>
      <w:szCs w:val="24"/>
    </w:rPr>
  </w:style>
  <w:style w:type="character" w:customStyle="1" w:styleId="EYTableTextChar">
    <w:name w:val="EY Table Text Char"/>
    <w:basedOn w:val="DefaultParagraphFont"/>
    <w:link w:val="EYTableText"/>
    <w:rPr>
      <w:rFonts w:ascii="EYInterstate Light" w:eastAsia="Times New Roman" w:hAnsi="EYInterstate Light" w:cs="Times New Roman"/>
      <w:sz w:val="18"/>
      <w:szCs w:val="24"/>
      <w:lang w:val="en-GB"/>
    </w:rPr>
  </w:style>
  <w:style w:type="table" w:customStyle="1" w:styleId="SmartClassicTable">
    <w:name w:val="Smart Classic Table"/>
    <w:basedOn w:val="TableNormal"/>
    <w:uiPriority w:val="99"/>
    <w:qFormat/>
    <w:pPr>
      <w:spacing w:before="60" w:after="60"/>
    </w:pPr>
    <w:rPr>
      <w:rFonts w:ascii="Georgia" w:hAnsi="Georgia"/>
      <w:lang w:val="en-GB"/>
    </w:rPr>
    <w:tblPr>
      <w:tblBorders>
        <w:top w:val="single" w:sz="4" w:space="0" w:color="820000" w:themeColor="accent1"/>
        <w:left w:val="single" w:sz="4" w:space="0" w:color="820000" w:themeColor="accent1"/>
        <w:bottom w:val="single" w:sz="4" w:space="0" w:color="820000" w:themeColor="accent1"/>
        <w:right w:val="single" w:sz="4" w:space="0" w:color="820000" w:themeColor="accent1"/>
        <w:insideH w:val="single" w:sz="4" w:space="0" w:color="820000" w:themeColor="accent1"/>
        <w:insideV w:val="single" w:sz="4" w:space="0" w:color="820000" w:themeColor="accent1"/>
      </w:tblBorders>
    </w:tblPr>
    <w:tblStylePr w:type="firstRow">
      <w:rPr>
        <w:rFonts w:asciiTheme="majorHAnsi" w:hAnsiTheme="majorHAnsi"/>
        <w:b/>
        <w:color w:val="7F7F7F" w:themeColor="text2"/>
        <w:sz w:val="22"/>
      </w:rPr>
    </w:tblStylePr>
  </w:style>
  <w:style w:type="table" w:customStyle="1" w:styleId="GridTable4-Accent11">
    <w:name w:val="Grid Table 4 - Accent 11"/>
    <w:basedOn w:val="TableNormal"/>
    <w:uiPriority w:val="49"/>
    <w:rPr>
      <w:rFonts w:ascii="Georgia" w:hAnsi="Georgia"/>
      <w:lang w:val="en-GB"/>
    </w:rPr>
    <w:tblPr>
      <w:tblBorders>
        <w:top w:val="single" w:sz="4" w:space="0" w:color="E06161"/>
        <w:left w:val="single" w:sz="4" w:space="0" w:color="E06161"/>
        <w:bottom w:val="single" w:sz="4" w:space="0" w:color="E06161"/>
        <w:right w:val="single" w:sz="4" w:space="0" w:color="E06161"/>
        <w:insideH w:val="single" w:sz="4" w:space="0" w:color="E06161"/>
        <w:insideV w:val="single" w:sz="4" w:space="0" w:color="E06161"/>
      </w:tblBorders>
    </w:tblPr>
    <w:tblStylePr w:type="firstRow">
      <w:rPr>
        <w:b/>
        <w:bCs/>
        <w:color w:val="FFFFFF"/>
      </w:rPr>
      <w:tblPr/>
      <w:tcPr>
        <w:tcBorders>
          <w:top w:val="single" w:sz="4" w:space="0" w:color="A32020"/>
          <w:left w:val="single" w:sz="4" w:space="0" w:color="A32020"/>
          <w:bottom w:val="single" w:sz="4" w:space="0" w:color="A32020"/>
          <w:right w:val="single" w:sz="4" w:space="0" w:color="A32020"/>
          <w:insideH w:val="nil"/>
          <w:insideV w:val="nil"/>
        </w:tcBorders>
        <w:shd w:val="clear" w:color="auto" w:fill="A32020"/>
      </w:tcPr>
    </w:tblStylePr>
    <w:tblStylePr w:type="lastRow">
      <w:rPr>
        <w:b/>
        <w:bCs/>
      </w:rPr>
      <w:tblPr/>
      <w:tcPr>
        <w:tcBorders>
          <w:top w:val="double" w:sz="4" w:space="0" w:color="A32020"/>
        </w:tcBorders>
      </w:tcPr>
    </w:tblStylePr>
    <w:tblStylePr w:type="firstCol">
      <w:rPr>
        <w:b/>
        <w:bCs/>
      </w:rPr>
    </w:tblStylePr>
    <w:tblStylePr w:type="lastCol">
      <w:rPr>
        <w:b/>
        <w:bCs/>
      </w:rPr>
    </w:tblStylePr>
    <w:tblStylePr w:type="band1Vert">
      <w:tblPr/>
      <w:tcPr>
        <w:shd w:val="clear" w:color="auto" w:fill="F4CACA"/>
      </w:tcPr>
    </w:tblStylePr>
    <w:tblStylePr w:type="band1Horz">
      <w:tblPr/>
      <w:tcPr>
        <w:shd w:val="clear" w:color="auto" w:fill="F4CACA"/>
      </w:tcPr>
    </w:tblStylePr>
  </w:style>
  <w:style w:type="paragraph" w:customStyle="1" w:styleId="Bullet1">
    <w:name w:val="Bullet 1"/>
    <w:basedOn w:val="Normal"/>
    <w:link w:val="Bullet1Char"/>
    <w:pPr>
      <w:numPr>
        <w:numId w:val="6"/>
      </w:numPr>
      <w:spacing w:before="240" w:after="240" w:line="240" w:lineRule="atLeast"/>
    </w:pPr>
    <w:rPr>
      <w:rFonts w:ascii="Georgia" w:eastAsia="PMingLiU" w:hAnsi="Georgia" w:cs="Times New Roman"/>
      <w:lang w:val="en-US"/>
    </w:rPr>
  </w:style>
  <w:style w:type="character" w:customStyle="1" w:styleId="Bullet1Char">
    <w:name w:val="Bullet 1 Char"/>
    <w:basedOn w:val="DefaultParagraphFont"/>
    <w:link w:val="Bullet1"/>
    <w:rPr>
      <w:rFonts w:ascii="Georgia" w:eastAsia="PMingLiU" w:hAnsi="Georgia" w:cs="Times New Roman"/>
      <w:color w:val="7F7F7F" w:themeColor="text1" w:themeTint="80"/>
      <w:sz w:val="20"/>
      <w:szCs w:val="20"/>
      <w:lang w:val="en-US"/>
    </w:rPr>
  </w:style>
  <w:style w:type="paragraph" w:customStyle="1" w:styleId="BodySingle">
    <w:name w:val="Body Single"/>
    <w:basedOn w:val="Normal"/>
    <w:link w:val="BodySingleChar"/>
    <w:qFormat/>
    <w:pPr>
      <w:spacing w:line="240" w:lineRule="atLeast"/>
    </w:pPr>
    <w:rPr>
      <w:rFonts w:ascii="Georgia" w:hAnsi="Georgia"/>
      <w:lang w:val="en-US"/>
    </w:rPr>
  </w:style>
  <w:style w:type="character" w:customStyle="1" w:styleId="BodySingleChar">
    <w:name w:val="Body Single Char"/>
    <w:basedOn w:val="DefaultParagraphFont"/>
    <w:link w:val="BodySingle"/>
    <w:rPr>
      <w:rFonts w:ascii="Georgia" w:hAnsi="Georgia"/>
      <w:sz w:val="20"/>
      <w:szCs w:val="20"/>
      <w:lang w:val="en-US"/>
    </w:rPr>
  </w:style>
  <w:style w:type="table" w:customStyle="1" w:styleId="GridTable5Dark-Accent11">
    <w:name w:val="Grid Table 5 Dark - Accent 11"/>
    <w:basedOn w:val="TableNormal"/>
    <w:uiPriority w:val="50"/>
    <w:rPr>
      <w:rFonts w:ascii="Georgia" w:hAnsi="Georgia"/>
      <w:lang w:val="en-GB"/>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3B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0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0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0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0000" w:themeFill="accent1"/>
      </w:tcPr>
    </w:tblStylePr>
    <w:tblStylePr w:type="band1Vert">
      <w:tblPr/>
      <w:tcPr>
        <w:shd w:val="clear" w:color="auto" w:fill="FF6767" w:themeFill="accent1" w:themeFillTint="66"/>
      </w:tcPr>
    </w:tblStylePr>
    <w:tblStylePr w:type="band1Horz">
      <w:tblPr/>
      <w:tcPr>
        <w:shd w:val="clear" w:color="auto" w:fill="FF6767" w:themeFill="accent1" w:themeFillTint="66"/>
      </w:tcPr>
    </w:tblStylePr>
  </w:style>
  <w:style w:type="paragraph" w:customStyle="1" w:styleId="Default">
    <w:name w:val="Default"/>
    <w:pPr>
      <w:autoSpaceDE w:val="0"/>
      <w:autoSpaceDN w:val="0"/>
      <w:adjustRightInd w:val="0"/>
    </w:pPr>
    <w:rPr>
      <w:rFonts w:ascii="Georgia" w:hAnsi="Georgia" w:cs="Georgia"/>
      <w:color w:val="000000"/>
      <w:sz w:val="24"/>
      <w:szCs w:val="24"/>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kern w:val="1"/>
      <w:szCs w:val="24"/>
      <w:lang w:val="pl-PL" w:eastAsia="ar-SA"/>
    </w:rPr>
  </w:style>
  <w:style w:type="table" w:customStyle="1" w:styleId="PlainTable7">
    <w:name w:val="Plain Table7"/>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2"/>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PlainTable6">
    <w:name w:val="Plain Table6"/>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withoutspacing">
    <w:name w:val="Table without spacing"/>
    <w:basedOn w:val="Normal"/>
    <w:link w:val="TablewithoutspacingChar"/>
    <w:qFormat/>
    <w:pPr>
      <w:autoSpaceDE w:val="0"/>
      <w:autoSpaceDN w:val="0"/>
      <w:adjustRightInd w:val="0"/>
      <w:spacing w:before="0" w:after="0" w:line="240" w:lineRule="auto"/>
    </w:pPr>
    <w:rPr>
      <w:rFonts w:eastAsiaTheme="minorHAnsi" w:cs="Prelo-Light"/>
    </w:rPr>
  </w:style>
  <w:style w:type="character" w:customStyle="1" w:styleId="TablewithoutspacingChar">
    <w:name w:val="Table without spacing Char"/>
    <w:basedOn w:val="DefaultParagraphFont"/>
    <w:link w:val="Tablewithoutspacing"/>
    <w:qFormat/>
    <w:rPr>
      <w:rFonts w:ascii="Arial" w:eastAsiaTheme="minorHAnsi" w:hAnsi="Arial" w:cs="Prelo-Light"/>
      <w:color w:val="000000" w:themeColor="text1"/>
      <w:sz w:val="20"/>
      <w:szCs w:val="20"/>
      <w:lang w:val="en-GB"/>
    </w:rPr>
  </w:style>
  <w:style w:type="table" w:customStyle="1" w:styleId="TableGrid6">
    <w:name w:val="Table Grid6"/>
    <w:basedOn w:val="TableNormal"/>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0" w:after="0" w:line="240" w:lineRule="auto"/>
      <w:ind w:left="102"/>
      <w:jc w:val="left"/>
    </w:pPr>
    <w:rPr>
      <w:rFonts w:eastAsia="Arial"/>
      <w:color w:val="000000"/>
      <w:sz w:val="22"/>
      <w:szCs w:val="22"/>
      <w:lang w:val="en-US"/>
      <w14:textFill>
        <w14:solidFill>
          <w14:srgbClr w14:val="000000">
            <w14:lumMod w14:val="50000"/>
            <w14:lumOff w14:val="50000"/>
          </w14:srgbClr>
        </w14:solidFill>
      </w14:textFill>
    </w:rPr>
  </w:style>
  <w:style w:type="character" w:customStyle="1" w:styleId="EndnoteTextChar">
    <w:name w:val="Endnote Text Char"/>
    <w:basedOn w:val="DefaultParagraphFont"/>
    <w:link w:val="EndnoteText"/>
    <w:uiPriority w:val="99"/>
    <w:semiHidden/>
    <w:qFormat/>
    <w:rPr>
      <w:rFonts w:eastAsiaTheme="minorEastAsia"/>
      <w:sz w:val="20"/>
      <w:szCs w:val="20"/>
      <w:lang w:val="en-GB"/>
    </w:rPr>
  </w:style>
  <w:style w:type="table" w:customStyle="1" w:styleId="PlainTable3">
    <w:name w:val="Plain Table3"/>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
    <w:name w:val="Plain Table4"/>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
    <w:name w:val="Plain Table5"/>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dTable4">
    <w:name w:val="Red Table4"/>
    <w:basedOn w:val="TableNormal"/>
    <w:uiPriority w:val="99"/>
    <w:rPr>
      <w:rFonts w:eastAsiaTheme="minorEastAsia"/>
    </w:rPr>
    <w:tblPr>
      <w:tblBorders>
        <w:top w:val="single" w:sz="4" w:space="0" w:color="820000" w:themeColor="accent1"/>
        <w:left w:val="single" w:sz="4" w:space="0" w:color="820000" w:themeColor="accent1"/>
        <w:bottom w:val="single" w:sz="4" w:space="0" w:color="820000" w:themeColor="accent1"/>
        <w:right w:val="single" w:sz="4" w:space="0" w:color="820000" w:themeColor="accent1"/>
        <w:insideH w:val="single" w:sz="4" w:space="0" w:color="820000" w:themeColor="accent1"/>
        <w:insideV w:val="single" w:sz="4" w:space="0" w:color="820000" w:themeColor="accent1"/>
      </w:tblBorders>
    </w:tblPr>
    <w:tblStylePr w:type="firstRow">
      <w:tblPr/>
      <w:tcPr>
        <w:tcBorders>
          <w:insideV w:val="single" w:sz="4" w:space="0" w:color="auto"/>
        </w:tcBorders>
        <w:shd w:val="clear" w:color="auto" w:fill="820000" w:themeFill="accent1"/>
      </w:tcPr>
    </w:tblStylePr>
    <w:tblStylePr w:type="lastRow">
      <w:rPr>
        <w:b/>
      </w:rPr>
      <w:tblPr/>
      <w:tcPr>
        <w:shd w:val="clear" w:color="auto" w:fill="FFB3B3" w:themeFill="accent1" w:themeFillTint="33"/>
      </w:tcPr>
    </w:tblStylePr>
    <w:tblStylePr w:type="firstCol">
      <w:rPr>
        <w:i w:val="0"/>
      </w:rPr>
      <w:tblPr/>
      <w:tcPr>
        <w:shd w:val="clear" w:color="auto" w:fill="FFB3B3" w:themeFill="accent1" w:themeFillTint="33"/>
      </w:tcPr>
    </w:tblStylePr>
    <w:tblStylePr w:type="lastCol">
      <w:tblPr/>
      <w:tcPr>
        <w:shd w:val="clear" w:color="auto" w:fill="FFB3B3" w:themeFill="accent1" w:themeFillTint="33"/>
      </w:tcPr>
    </w:tblStylePr>
    <w:tblStylePr w:type="band2Vert">
      <w:tblPr/>
      <w:tcPr>
        <w:shd w:val="clear" w:color="auto" w:fill="FFB3B3" w:themeFill="accent1" w:themeFillTint="33"/>
      </w:tcPr>
    </w:tblStylePr>
    <w:tblStylePr w:type="band2Horz">
      <w:tblPr/>
      <w:tcPr>
        <w:shd w:val="clear" w:color="auto" w:fill="FFB3B3" w:themeFill="accent1" w:themeFillTint="33"/>
      </w:tcPr>
    </w:tblStylePr>
  </w:style>
  <w:style w:type="table" w:customStyle="1" w:styleId="PlainTable8">
    <w:name w:val="Plain Table8"/>
    <w:basedOn w:val="TableNormal"/>
    <w:uiPriority w:val="39"/>
    <w:qFormat/>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
    <w:name w:val="Style2"/>
    <w:basedOn w:val="TableNormal"/>
    <w:uiPriority w:val="99"/>
    <w:rPr>
      <w:rFonts w:ascii="Arial" w:eastAsiaTheme="minorHAnsi" w:hAnsi="Arial"/>
    </w:rPr>
    <w:tblPr>
      <w:tblBorders>
        <w:top w:val="single" w:sz="4" w:space="0" w:color="820000" w:themeColor="accent1"/>
        <w:left w:val="single" w:sz="4" w:space="0" w:color="820000" w:themeColor="accent1"/>
        <w:bottom w:val="single" w:sz="4" w:space="0" w:color="820000" w:themeColor="accent1"/>
        <w:right w:val="single" w:sz="4" w:space="0" w:color="820000" w:themeColor="accent1"/>
        <w:insideH w:val="single" w:sz="4" w:space="0" w:color="820000" w:themeColor="accent1"/>
        <w:insideV w:val="single" w:sz="4" w:space="0" w:color="820000" w:themeColor="accent1"/>
      </w:tblBorders>
    </w:tblPr>
    <w:tcPr>
      <w:vAlign w:val="center"/>
    </w:tcPr>
    <w:tblStylePr w:type="firstRow">
      <w:pPr>
        <w:jc w:val="left"/>
      </w:pPr>
      <w:rPr>
        <w:rFonts w:ascii="Arial" w:hAnsi="Arial"/>
        <w:b/>
        <w:color w:val="F2F2F2" w:themeColor="background1" w:themeShade="F2"/>
        <w:sz w:val="20"/>
      </w:rPr>
      <w:tblPr/>
      <w:tcPr>
        <w:shd w:val="clear" w:color="auto" w:fill="7F7F7F" w:themeFill="text2"/>
      </w:tcPr>
    </w:tblStylePr>
    <w:tblStylePr w:type="firstCol">
      <w:pPr>
        <w:jc w:val="left"/>
      </w:pPr>
      <w:rPr>
        <w:rFonts w:ascii="Arial" w:hAnsi="Arial"/>
        <w:b/>
        <w:color w:val="000000" w:themeColor="text1"/>
        <w:sz w:val="20"/>
      </w:rPr>
      <w:tblPr/>
      <w:tcPr>
        <w:shd w:val="clear" w:color="auto" w:fill="F2F2F2" w:themeFill="background1" w:themeFillShade="F2"/>
      </w:tcPr>
    </w:tblStylePr>
  </w:style>
  <w:style w:type="paragraph" w:customStyle="1" w:styleId="Appendixheading1">
    <w:name w:val="Appendix heading 1"/>
    <w:basedOn w:val="Heading1"/>
    <w:link w:val="Appendixheading1Char"/>
    <w:qFormat/>
    <w:pPr>
      <w:numPr>
        <w:numId w:val="7"/>
      </w:numPr>
      <w:tabs>
        <w:tab w:val="right" w:pos="2410"/>
      </w:tabs>
      <w:autoSpaceDE w:val="0"/>
      <w:autoSpaceDN w:val="0"/>
      <w:adjustRightInd w:val="0"/>
      <w:jc w:val="left"/>
    </w:pPr>
    <w:rPr>
      <w:bCs w:val="0"/>
      <w:color w:val="58595B" w:themeColor="accent2"/>
      <w:lang w:val="en-US"/>
      <w14:textFill>
        <w14:solidFill>
          <w14:schemeClr w14:val="accent2">
            <w14:lumMod w14:val="50000"/>
            <w14:lumOff w14:val="50000"/>
            <w14:lumMod w14:val="50000"/>
            <w14:lumOff w14:val="50000"/>
          </w14:schemeClr>
        </w14:solidFill>
      </w14:textFill>
      <w14:scene3d>
        <w14:camera w14:prst="orthographicFront"/>
        <w14:lightRig w14:rig="threePt" w14:dir="t">
          <w14:rot w14:lat="0" w14:lon="0" w14:rev="0"/>
        </w14:lightRig>
      </w14:scene3d>
    </w:rPr>
  </w:style>
  <w:style w:type="character" w:customStyle="1" w:styleId="Appendixheading1Char">
    <w:name w:val="Appendix heading 1 Char"/>
    <w:basedOn w:val="Heading1Char"/>
    <w:link w:val="Appendixheading1"/>
    <w:rPr>
      <w:rFonts w:ascii="Arial" w:eastAsiaTheme="majorEastAsia" w:hAnsi="Arial" w:cstheme="majorBidi"/>
      <w:bCs w:val="0"/>
      <w:color w:val="58595B" w:themeColor="accent2"/>
      <w:sz w:val="36"/>
      <w:szCs w:val="28"/>
      <w:lang w:val="en-US"/>
      <w14:scene3d>
        <w14:camera w14:prst="orthographicFront"/>
        <w14:lightRig w14:rig="threePt" w14:dir="t">
          <w14:rot w14:lat="0" w14:lon="0" w14:rev="0"/>
        </w14:lightRig>
      </w14:scene3d>
    </w:rPr>
  </w:style>
  <w:style w:type="table" w:customStyle="1" w:styleId="Style21">
    <w:name w:val="Style21"/>
    <w:basedOn w:val="TableNormal"/>
    <w:uiPriority w:val="99"/>
    <w:qFormat/>
    <w:rPr>
      <w:rFonts w:ascii="Arial" w:hAnsi="Arial"/>
      <w:lang w:eastAsia="zh-TW"/>
    </w:rPr>
    <w:tblPr>
      <w:tblBorders>
        <w:top w:val="single" w:sz="4" w:space="0" w:color="009CDE"/>
        <w:left w:val="single" w:sz="4" w:space="0" w:color="009CDE"/>
        <w:bottom w:val="single" w:sz="4" w:space="0" w:color="009CDE"/>
        <w:right w:val="single" w:sz="4" w:space="0" w:color="009CDE"/>
        <w:insideH w:val="single" w:sz="4" w:space="0" w:color="009CDE"/>
        <w:insideV w:val="single" w:sz="4" w:space="0" w:color="009CDE"/>
      </w:tblBorders>
    </w:tblPr>
    <w:tcPr>
      <w:vAlign w:val="center"/>
    </w:tcPr>
    <w:tblStylePr w:type="firstRow">
      <w:pPr>
        <w:jc w:val="left"/>
      </w:pPr>
      <w:rPr>
        <w:rFonts w:ascii="Arial" w:hAnsi="Arial"/>
        <w:b/>
        <w:color w:val="F2F2F2"/>
        <w:sz w:val="20"/>
      </w:rPr>
      <w:tblPr/>
      <w:tcPr>
        <w:shd w:val="clear" w:color="auto" w:fill="3F9C35"/>
      </w:tcPr>
    </w:tblStylePr>
    <w:tblStylePr w:type="firstCol">
      <w:pPr>
        <w:jc w:val="left"/>
      </w:pPr>
      <w:rPr>
        <w:rFonts w:ascii="Arial" w:hAnsi="Arial"/>
        <w:b/>
        <w:color w:val="63666A"/>
        <w:sz w:val="20"/>
      </w:rPr>
      <w:tblPr/>
      <w:tcPr>
        <w:shd w:val="clear" w:color="auto" w:fill="F2F2F2"/>
      </w:tcPr>
    </w:tblStylePr>
  </w:style>
  <w:style w:type="table" w:customStyle="1" w:styleId="PlainTable11">
    <w:name w:val="Plain Table11"/>
    <w:basedOn w:val="TableNormal"/>
    <w:uiPriority w:val="39"/>
    <w:rPr>
      <w:rFonts w:ascii="Century Gothic" w:eastAsia="YouYuan" w:hAnsi="Century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11">
    <w:name w:val="Style211"/>
    <w:basedOn w:val="TableNormal"/>
    <w:uiPriority w:val="99"/>
    <w:rPr>
      <w:rFonts w:ascii="Arial" w:eastAsia="Century Gothic" w:hAnsi="Arial"/>
    </w:rPr>
    <w:tblPr>
      <w:tblBorders>
        <w:top w:val="single" w:sz="4" w:space="0" w:color="820000"/>
        <w:left w:val="single" w:sz="4" w:space="0" w:color="820000"/>
        <w:bottom w:val="single" w:sz="4" w:space="0" w:color="820000"/>
        <w:right w:val="single" w:sz="4" w:space="0" w:color="820000"/>
        <w:insideH w:val="single" w:sz="4" w:space="0" w:color="820000"/>
        <w:insideV w:val="single" w:sz="4" w:space="0" w:color="820000"/>
      </w:tblBorders>
    </w:tblPr>
    <w:tcPr>
      <w:vAlign w:val="center"/>
    </w:tcPr>
    <w:tblStylePr w:type="firstRow">
      <w:pPr>
        <w:jc w:val="left"/>
      </w:pPr>
      <w:rPr>
        <w:rFonts w:ascii="Arial" w:hAnsi="Arial"/>
        <w:b/>
        <w:color w:val="F2F2F2"/>
        <w:sz w:val="20"/>
      </w:rPr>
      <w:tblPr/>
      <w:tcPr>
        <w:shd w:val="clear" w:color="auto" w:fill="7F7F7F"/>
      </w:tcPr>
    </w:tblStylePr>
    <w:tblStylePr w:type="firstCol">
      <w:pPr>
        <w:jc w:val="left"/>
      </w:pPr>
      <w:rPr>
        <w:rFonts w:ascii="Arial" w:hAnsi="Arial"/>
        <w:b/>
        <w:color w:val="000000"/>
        <w:sz w:val="20"/>
      </w:rPr>
      <w:tblPr/>
      <w:tcPr>
        <w:shd w:val="clear" w:color="auto" w:fill="F2F2F2"/>
      </w:tcPr>
    </w:tblStylePr>
  </w:style>
  <w:style w:type="table" w:customStyle="1" w:styleId="Style22">
    <w:name w:val="Style22"/>
    <w:basedOn w:val="TableNormal"/>
    <w:uiPriority w:val="99"/>
    <w:rPr>
      <w:rFonts w:ascii="Arial" w:eastAsia="Century Gothic" w:hAnsi="Arial"/>
    </w:rPr>
    <w:tblPr>
      <w:tblBorders>
        <w:top w:val="single" w:sz="4" w:space="0" w:color="009CDE"/>
        <w:left w:val="single" w:sz="4" w:space="0" w:color="009CDE"/>
        <w:bottom w:val="single" w:sz="4" w:space="0" w:color="009CDE"/>
        <w:right w:val="single" w:sz="4" w:space="0" w:color="009CDE"/>
        <w:insideH w:val="single" w:sz="4" w:space="0" w:color="009CDE"/>
        <w:insideV w:val="single" w:sz="4" w:space="0" w:color="009CDE"/>
      </w:tblBorders>
    </w:tblPr>
    <w:tcPr>
      <w:vAlign w:val="center"/>
    </w:tcPr>
    <w:tblStylePr w:type="firstRow">
      <w:pPr>
        <w:jc w:val="left"/>
      </w:pPr>
      <w:rPr>
        <w:rFonts w:ascii="Arial" w:hAnsi="Arial"/>
        <w:b/>
        <w:color w:val="F2F2F2"/>
        <w:sz w:val="20"/>
      </w:rPr>
      <w:tblPr/>
      <w:tcPr>
        <w:shd w:val="clear" w:color="auto" w:fill="3F9C35"/>
      </w:tcPr>
    </w:tblStylePr>
    <w:tblStylePr w:type="firstCol">
      <w:pPr>
        <w:jc w:val="left"/>
      </w:pPr>
      <w:rPr>
        <w:rFonts w:ascii="Arial" w:hAnsi="Arial"/>
        <w:b/>
        <w:color w:val="63666A"/>
        <w:sz w:val="20"/>
      </w:rPr>
      <w:tblPr/>
      <w:tcPr>
        <w:shd w:val="clear" w:color="auto" w:fill="F2F2F2"/>
      </w:tcPr>
    </w:tblStylePr>
  </w:style>
  <w:style w:type="character" w:customStyle="1" w:styleId="ListParagraphChar">
    <w:name w:val="List Paragraph Char"/>
    <w:basedOn w:val="DefaultParagraphFont"/>
    <w:link w:val="ListParagraph"/>
    <w:uiPriority w:val="34"/>
    <w:rPr>
      <w:rFonts w:ascii="Arial" w:hAnsi="Arial" w:cs="Arial"/>
      <w:color w:val="7F7F7F" w:themeColor="text1" w:themeTint="80"/>
      <w:sz w:val="20"/>
      <w:szCs w:val="20"/>
      <w:lang w:val="en-GB"/>
    </w:rPr>
  </w:style>
  <w:style w:type="paragraph" w:styleId="Revision">
    <w:name w:val="Revision"/>
    <w:hidden/>
    <w:uiPriority w:val="99"/>
    <w:unhideWhenUsed/>
    <w:rsid w:val="00361F29"/>
    <w:rPr>
      <w:rFonts w:ascii="Arial" w:hAnsi="Arial" w:cs="Arial"/>
      <w:color w:val="7F7F7F" w:themeColor="text1" w:themeTint="8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3927">
      <w:bodyDiv w:val="1"/>
      <w:marLeft w:val="0"/>
      <w:marRight w:val="0"/>
      <w:marTop w:val="0"/>
      <w:marBottom w:val="0"/>
      <w:divBdr>
        <w:top w:val="none" w:sz="0" w:space="0" w:color="auto"/>
        <w:left w:val="none" w:sz="0" w:space="0" w:color="auto"/>
        <w:bottom w:val="none" w:sz="0" w:space="0" w:color="auto"/>
        <w:right w:val="none" w:sz="0" w:space="0" w:color="auto"/>
      </w:divBdr>
    </w:div>
    <w:div w:id="268776351">
      <w:bodyDiv w:val="1"/>
      <w:marLeft w:val="0"/>
      <w:marRight w:val="0"/>
      <w:marTop w:val="0"/>
      <w:marBottom w:val="0"/>
      <w:divBdr>
        <w:top w:val="none" w:sz="0" w:space="0" w:color="auto"/>
        <w:left w:val="none" w:sz="0" w:space="0" w:color="auto"/>
        <w:bottom w:val="none" w:sz="0" w:space="0" w:color="auto"/>
        <w:right w:val="none" w:sz="0" w:space="0" w:color="auto"/>
      </w:divBdr>
    </w:div>
    <w:div w:id="322977534">
      <w:bodyDiv w:val="1"/>
      <w:marLeft w:val="0"/>
      <w:marRight w:val="0"/>
      <w:marTop w:val="0"/>
      <w:marBottom w:val="0"/>
      <w:divBdr>
        <w:top w:val="none" w:sz="0" w:space="0" w:color="auto"/>
        <w:left w:val="none" w:sz="0" w:space="0" w:color="auto"/>
        <w:bottom w:val="none" w:sz="0" w:space="0" w:color="auto"/>
        <w:right w:val="none" w:sz="0" w:space="0" w:color="auto"/>
      </w:divBdr>
    </w:div>
    <w:div w:id="393554433">
      <w:bodyDiv w:val="1"/>
      <w:marLeft w:val="0"/>
      <w:marRight w:val="0"/>
      <w:marTop w:val="0"/>
      <w:marBottom w:val="0"/>
      <w:divBdr>
        <w:top w:val="none" w:sz="0" w:space="0" w:color="auto"/>
        <w:left w:val="none" w:sz="0" w:space="0" w:color="auto"/>
        <w:bottom w:val="none" w:sz="0" w:space="0" w:color="auto"/>
        <w:right w:val="none" w:sz="0" w:space="0" w:color="auto"/>
      </w:divBdr>
    </w:div>
    <w:div w:id="431972362">
      <w:bodyDiv w:val="1"/>
      <w:marLeft w:val="0"/>
      <w:marRight w:val="0"/>
      <w:marTop w:val="0"/>
      <w:marBottom w:val="0"/>
      <w:divBdr>
        <w:top w:val="none" w:sz="0" w:space="0" w:color="auto"/>
        <w:left w:val="none" w:sz="0" w:space="0" w:color="auto"/>
        <w:bottom w:val="none" w:sz="0" w:space="0" w:color="auto"/>
        <w:right w:val="none" w:sz="0" w:space="0" w:color="auto"/>
      </w:divBdr>
    </w:div>
    <w:div w:id="566036548">
      <w:bodyDiv w:val="1"/>
      <w:marLeft w:val="0"/>
      <w:marRight w:val="0"/>
      <w:marTop w:val="0"/>
      <w:marBottom w:val="0"/>
      <w:divBdr>
        <w:top w:val="none" w:sz="0" w:space="0" w:color="auto"/>
        <w:left w:val="none" w:sz="0" w:space="0" w:color="auto"/>
        <w:bottom w:val="none" w:sz="0" w:space="0" w:color="auto"/>
        <w:right w:val="none" w:sz="0" w:space="0" w:color="auto"/>
      </w:divBdr>
    </w:div>
    <w:div w:id="685139713">
      <w:bodyDiv w:val="1"/>
      <w:marLeft w:val="0"/>
      <w:marRight w:val="0"/>
      <w:marTop w:val="0"/>
      <w:marBottom w:val="0"/>
      <w:divBdr>
        <w:top w:val="none" w:sz="0" w:space="0" w:color="auto"/>
        <w:left w:val="none" w:sz="0" w:space="0" w:color="auto"/>
        <w:bottom w:val="none" w:sz="0" w:space="0" w:color="auto"/>
        <w:right w:val="none" w:sz="0" w:space="0" w:color="auto"/>
      </w:divBdr>
    </w:div>
    <w:div w:id="895816348">
      <w:bodyDiv w:val="1"/>
      <w:marLeft w:val="0"/>
      <w:marRight w:val="0"/>
      <w:marTop w:val="0"/>
      <w:marBottom w:val="0"/>
      <w:divBdr>
        <w:top w:val="none" w:sz="0" w:space="0" w:color="auto"/>
        <w:left w:val="none" w:sz="0" w:space="0" w:color="auto"/>
        <w:bottom w:val="none" w:sz="0" w:space="0" w:color="auto"/>
        <w:right w:val="none" w:sz="0" w:space="0" w:color="auto"/>
      </w:divBdr>
    </w:div>
    <w:div w:id="930429755">
      <w:bodyDiv w:val="1"/>
      <w:marLeft w:val="0"/>
      <w:marRight w:val="0"/>
      <w:marTop w:val="0"/>
      <w:marBottom w:val="0"/>
      <w:divBdr>
        <w:top w:val="none" w:sz="0" w:space="0" w:color="auto"/>
        <w:left w:val="none" w:sz="0" w:space="0" w:color="auto"/>
        <w:bottom w:val="none" w:sz="0" w:space="0" w:color="auto"/>
        <w:right w:val="none" w:sz="0" w:space="0" w:color="auto"/>
      </w:divBdr>
    </w:div>
    <w:div w:id="1323584625">
      <w:bodyDiv w:val="1"/>
      <w:marLeft w:val="0"/>
      <w:marRight w:val="0"/>
      <w:marTop w:val="0"/>
      <w:marBottom w:val="0"/>
      <w:divBdr>
        <w:top w:val="none" w:sz="0" w:space="0" w:color="auto"/>
        <w:left w:val="none" w:sz="0" w:space="0" w:color="auto"/>
        <w:bottom w:val="none" w:sz="0" w:space="0" w:color="auto"/>
        <w:right w:val="none" w:sz="0" w:space="0" w:color="auto"/>
      </w:divBdr>
    </w:div>
    <w:div w:id="1547181630">
      <w:bodyDiv w:val="1"/>
      <w:marLeft w:val="0"/>
      <w:marRight w:val="0"/>
      <w:marTop w:val="0"/>
      <w:marBottom w:val="0"/>
      <w:divBdr>
        <w:top w:val="none" w:sz="0" w:space="0" w:color="auto"/>
        <w:left w:val="none" w:sz="0" w:space="0" w:color="auto"/>
        <w:bottom w:val="none" w:sz="0" w:space="0" w:color="auto"/>
        <w:right w:val="none" w:sz="0" w:space="0" w:color="auto"/>
      </w:divBdr>
    </w:div>
    <w:div w:id="1596137275">
      <w:bodyDiv w:val="1"/>
      <w:marLeft w:val="0"/>
      <w:marRight w:val="0"/>
      <w:marTop w:val="0"/>
      <w:marBottom w:val="0"/>
      <w:divBdr>
        <w:top w:val="none" w:sz="0" w:space="0" w:color="auto"/>
        <w:left w:val="none" w:sz="0" w:space="0" w:color="auto"/>
        <w:bottom w:val="none" w:sz="0" w:space="0" w:color="auto"/>
        <w:right w:val="none" w:sz="0" w:space="0" w:color="auto"/>
      </w:divBdr>
    </w:div>
    <w:div w:id="1859584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d\Templates\Formatting.dotx" TargetMode="External"/></Relationships>
</file>

<file path=word/theme/theme1.xml><?xml version="1.0" encoding="utf-8"?>
<a:theme xmlns:a="http://schemas.openxmlformats.org/drawingml/2006/main" name="Office Theme">
  <a:themeElements>
    <a:clrScheme name="Quantera">
      <a:dk1>
        <a:sysClr val="windowText" lastClr="000000"/>
      </a:dk1>
      <a:lt1>
        <a:sysClr val="window" lastClr="FFFFFF"/>
      </a:lt1>
      <a:dk2>
        <a:srgbClr val="7F7F7F"/>
      </a:dk2>
      <a:lt2>
        <a:srgbClr val="F2F2F2"/>
      </a:lt2>
      <a:accent1>
        <a:srgbClr val="820000"/>
      </a:accent1>
      <a:accent2>
        <a:srgbClr val="58595B"/>
      </a:accent2>
      <a:accent3>
        <a:srgbClr val="A98E89"/>
      </a:accent3>
      <a:accent4>
        <a:srgbClr val="7E8B9A"/>
      </a:accent4>
      <a:accent5>
        <a:srgbClr val="CBB9BB"/>
      </a:accent5>
      <a:accent6>
        <a:srgbClr val="B4BAC4"/>
      </a:accent6>
      <a:hlink>
        <a:srgbClr val="820000"/>
      </a:hlink>
      <a:folHlink>
        <a:srgbClr val="82000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5836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f9ee487-6986-4d2e-b5e5-889ba48cae2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87EA30D4A3C7840B8C861EB0642C02B" ma:contentTypeVersion="14" ma:contentTypeDescription="Create a new document." ma:contentTypeScope="" ma:versionID="75a2ae3f1b5d12e9f4618edb03d202d5">
  <xsd:schema xmlns:xsd="http://www.w3.org/2001/XMLSchema" xmlns:xs="http://www.w3.org/2001/XMLSchema" xmlns:p="http://schemas.microsoft.com/office/2006/metadata/properties" xmlns:ns2="1f9ee487-6986-4d2e-b5e5-889ba48cae20" xmlns:ns3="9a8d07ad-0a24-4816-b16b-6708affd5a7d" targetNamespace="http://schemas.microsoft.com/office/2006/metadata/properties" ma:root="true" ma:fieldsID="7d5e8e9ba175969f89068917b603b19d" ns2:_="" ns3:_="">
    <xsd:import namespace="1f9ee487-6986-4d2e-b5e5-889ba48cae20"/>
    <xsd:import namespace="9a8d07ad-0a24-4816-b16b-6708affd5a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9ee487-6986-4d2e-b5e5-889ba48ca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645989-4945-43d3-b46b-6d922f5527b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8d07ad-0a24-4816-b16b-6708affd5a7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F47B1B-ED58-44F2-85FF-980D40EF143F}">
  <ds:schemaRefs>
    <ds:schemaRef ds:uri="http://schemas.openxmlformats.org/officeDocument/2006/bibliography"/>
  </ds:schemaRefs>
</ds:datastoreItem>
</file>

<file path=customXml/itemProps3.xml><?xml version="1.0" encoding="utf-8"?>
<ds:datastoreItem xmlns:ds="http://schemas.openxmlformats.org/officeDocument/2006/customXml" ds:itemID="{8576AA93-D66B-4848-8AD2-1E7B7EC6255B}">
  <ds:schemaRefs>
    <ds:schemaRef ds:uri="http://schemas.microsoft.com/office/2006/metadata/properties"/>
    <ds:schemaRef ds:uri="http://schemas.microsoft.com/office/infopath/2007/PartnerControls"/>
    <ds:schemaRef ds:uri="1f9ee487-6986-4d2e-b5e5-889ba48cae20"/>
  </ds:schemaRefs>
</ds:datastoreItem>
</file>

<file path=customXml/itemProps4.xml><?xml version="1.0" encoding="utf-8"?>
<ds:datastoreItem xmlns:ds="http://schemas.openxmlformats.org/officeDocument/2006/customXml" ds:itemID="{426E089C-C168-4911-9981-34CE70AFE54B}">
  <ds:schemaRefs>
    <ds:schemaRef ds:uri="http://schemas.microsoft.com/sharepoint/v3/contenttype/forms"/>
  </ds:schemaRefs>
</ds:datastoreItem>
</file>

<file path=customXml/itemProps5.xml><?xml version="1.0" encoding="utf-8"?>
<ds:datastoreItem xmlns:ds="http://schemas.openxmlformats.org/officeDocument/2006/customXml" ds:itemID="{ABC48EF6-F4EC-497C-A087-8BD352C502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9ee487-6986-4d2e-b5e5-889ba48cae20"/>
    <ds:schemaRef ds:uri="9a8d07ad-0a24-4816-b16b-6708affd5a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Formatting</Template>
  <TotalTime>221</TotalTime>
  <Pages>27</Pages>
  <Words>5872</Words>
  <Characters>37670</Characters>
  <Application>Microsoft Office Word</Application>
  <DocSecurity>0</DocSecurity>
  <Lines>313</Lines>
  <Paragraphs>86</Paragraphs>
  <ScaleCrop>false</ScaleCrop>
  <HeadingPairs>
    <vt:vector size="2" baseType="variant">
      <vt:variant>
        <vt:lpstr>Title</vt:lpstr>
      </vt:variant>
      <vt:variant>
        <vt:i4>1</vt:i4>
      </vt:variant>
    </vt:vector>
  </HeadingPairs>
  <TitlesOfParts>
    <vt:vector size="1" baseType="lpstr">
      <vt:lpstr/>
    </vt:vector>
  </TitlesOfParts>
  <Company>RSM</Company>
  <LinksUpToDate>false</LinksUpToDate>
  <CharactersWithSpaces>43456</CharactersWithSpaces>
  <SharedDoc>false</SharedDoc>
  <HLinks>
    <vt:vector size="222" baseType="variant">
      <vt:variant>
        <vt:i4>2031670</vt:i4>
      </vt:variant>
      <vt:variant>
        <vt:i4>218</vt:i4>
      </vt:variant>
      <vt:variant>
        <vt:i4>0</vt:i4>
      </vt:variant>
      <vt:variant>
        <vt:i4>5</vt:i4>
      </vt:variant>
      <vt:variant>
        <vt:lpwstr/>
      </vt:variant>
      <vt:variant>
        <vt:lpwstr>_Toc203039412</vt:lpwstr>
      </vt:variant>
      <vt:variant>
        <vt:i4>2031670</vt:i4>
      </vt:variant>
      <vt:variant>
        <vt:i4>212</vt:i4>
      </vt:variant>
      <vt:variant>
        <vt:i4>0</vt:i4>
      </vt:variant>
      <vt:variant>
        <vt:i4>5</vt:i4>
      </vt:variant>
      <vt:variant>
        <vt:lpwstr/>
      </vt:variant>
      <vt:variant>
        <vt:lpwstr>_Toc203039411</vt:lpwstr>
      </vt:variant>
      <vt:variant>
        <vt:i4>2031670</vt:i4>
      </vt:variant>
      <vt:variant>
        <vt:i4>206</vt:i4>
      </vt:variant>
      <vt:variant>
        <vt:i4>0</vt:i4>
      </vt:variant>
      <vt:variant>
        <vt:i4>5</vt:i4>
      </vt:variant>
      <vt:variant>
        <vt:lpwstr/>
      </vt:variant>
      <vt:variant>
        <vt:lpwstr>_Toc203039410</vt:lpwstr>
      </vt:variant>
      <vt:variant>
        <vt:i4>1966134</vt:i4>
      </vt:variant>
      <vt:variant>
        <vt:i4>200</vt:i4>
      </vt:variant>
      <vt:variant>
        <vt:i4>0</vt:i4>
      </vt:variant>
      <vt:variant>
        <vt:i4>5</vt:i4>
      </vt:variant>
      <vt:variant>
        <vt:lpwstr/>
      </vt:variant>
      <vt:variant>
        <vt:lpwstr>_Toc203039409</vt:lpwstr>
      </vt:variant>
      <vt:variant>
        <vt:i4>1966134</vt:i4>
      </vt:variant>
      <vt:variant>
        <vt:i4>194</vt:i4>
      </vt:variant>
      <vt:variant>
        <vt:i4>0</vt:i4>
      </vt:variant>
      <vt:variant>
        <vt:i4>5</vt:i4>
      </vt:variant>
      <vt:variant>
        <vt:lpwstr/>
      </vt:variant>
      <vt:variant>
        <vt:lpwstr>_Toc203039408</vt:lpwstr>
      </vt:variant>
      <vt:variant>
        <vt:i4>1966134</vt:i4>
      </vt:variant>
      <vt:variant>
        <vt:i4>188</vt:i4>
      </vt:variant>
      <vt:variant>
        <vt:i4>0</vt:i4>
      </vt:variant>
      <vt:variant>
        <vt:i4>5</vt:i4>
      </vt:variant>
      <vt:variant>
        <vt:lpwstr/>
      </vt:variant>
      <vt:variant>
        <vt:lpwstr>_Toc203039407</vt:lpwstr>
      </vt:variant>
      <vt:variant>
        <vt:i4>1966134</vt:i4>
      </vt:variant>
      <vt:variant>
        <vt:i4>182</vt:i4>
      </vt:variant>
      <vt:variant>
        <vt:i4>0</vt:i4>
      </vt:variant>
      <vt:variant>
        <vt:i4>5</vt:i4>
      </vt:variant>
      <vt:variant>
        <vt:lpwstr/>
      </vt:variant>
      <vt:variant>
        <vt:lpwstr>_Toc203039406</vt:lpwstr>
      </vt:variant>
      <vt:variant>
        <vt:i4>1966134</vt:i4>
      </vt:variant>
      <vt:variant>
        <vt:i4>176</vt:i4>
      </vt:variant>
      <vt:variant>
        <vt:i4>0</vt:i4>
      </vt:variant>
      <vt:variant>
        <vt:i4>5</vt:i4>
      </vt:variant>
      <vt:variant>
        <vt:lpwstr/>
      </vt:variant>
      <vt:variant>
        <vt:lpwstr>_Toc203039405</vt:lpwstr>
      </vt:variant>
      <vt:variant>
        <vt:i4>1966134</vt:i4>
      </vt:variant>
      <vt:variant>
        <vt:i4>170</vt:i4>
      </vt:variant>
      <vt:variant>
        <vt:i4>0</vt:i4>
      </vt:variant>
      <vt:variant>
        <vt:i4>5</vt:i4>
      </vt:variant>
      <vt:variant>
        <vt:lpwstr/>
      </vt:variant>
      <vt:variant>
        <vt:lpwstr>_Toc203039404</vt:lpwstr>
      </vt:variant>
      <vt:variant>
        <vt:i4>1966134</vt:i4>
      </vt:variant>
      <vt:variant>
        <vt:i4>164</vt:i4>
      </vt:variant>
      <vt:variant>
        <vt:i4>0</vt:i4>
      </vt:variant>
      <vt:variant>
        <vt:i4>5</vt:i4>
      </vt:variant>
      <vt:variant>
        <vt:lpwstr/>
      </vt:variant>
      <vt:variant>
        <vt:lpwstr>_Toc203039403</vt:lpwstr>
      </vt:variant>
      <vt:variant>
        <vt:i4>1966134</vt:i4>
      </vt:variant>
      <vt:variant>
        <vt:i4>158</vt:i4>
      </vt:variant>
      <vt:variant>
        <vt:i4>0</vt:i4>
      </vt:variant>
      <vt:variant>
        <vt:i4>5</vt:i4>
      </vt:variant>
      <vt:variant>
        <vt:lpwstr/>
      </vt:variant>
      <vt:variant>
        <vt:lpwstr>_Toc203039402</vt:lpwstr>
      </vt:variant>
      <vt:variant>
        <vt:i4>1966134</vt:i4>
      </vt:variant>
      <vt:variant>
        <vt:i4>152</vt:i4>
      </vt:variant>
      <vt:variant>
        <vt:i4>0</vt:i4>
      </vt:variant>
      <vt:variant>
        <vt:i4>5</vt:i4>
      </vt:variant>
      <vt:variant>
        <vt:lpwstr/>
      </vt:variant>
      <vt:variant>
        <vt:lpwstr>_Toc203039401</vt:lpwstr>
      </vt:variant>
      <vt:variant>
        <vt:i4>1966134</vt:i4>
      </vt:variant>
      <vt:variant>
        <vt:i4>146</vt:i4>
      </vt:variant>
      <vt:variant>
        <vt:i4>0</vt:i4>
      </vt:variant>
      <vt:variant>
        <vt:i4>5</vt:i4>
      </vt:variant>
      <vt:variant>
        <vt:lpwstr/>
      </vt:variant>
      <vt:variant>
        <vt:lpwstr>_Toc203039400</vt:lpwstr>
      </vt:variant>
      <vt:variant>
        <vt:i4>1507377</vt:i4>
      </vt:variant>
      <vt:variant>
        <vt:i4>140</vt:i4>
      </vt:variant>
      <vt:variant>
        <vt:i4>0</vt:i4>
      </vt:variant>
      <vt:variant>
        <vt:i4>5</vt:i4>
      </vt:variant>
      <vt:variant>
        <vt:lpwstr/>
      </vt:variant>
      <vt:variant>
        <vt:lpwstr>_Toc203039399</vt:lpwstr>
      </vt:variant>
      <vt:variant>
        <vt:i4>1507377</vt:i4>
      </vt:variant>
      <vt:variant>
        <vt:i4>134</vt:i4>
      </vt:variant>
      <vt:variant>
        <vt:i4>0</vt:i4>
      </vt:variant>
      <vt:variant>
        <vt:i4>5</vt:i4>
      </vt:variant>
      <vt:variant>
        <vt:lpwstr/>
      </vt:variant>
      <vt:variant>
        <vt:lpwstr>_Toc203039398</vt:lpwstr>
      </vt:variant>
      <vt:variant>
        <vt:i4>1507377</vt:i4>
      </vt:variant>
      <vt:variant>
        <vt:i4>128</vt:i4>
      </vt:variant>
      <vt:variant>
        <vt:i4>0</vt:i4>
      </vt:variant>
      <vt:variant>
        <vt:i4>5</vt:i4>
      </vt:variant>
      <vt:variant>
        <vt:lpwstr/>
      </vt:variant>
      <vt:variant>
        <vt:lpwstr>_Toc203039397</vt:lpwstr>
      </vt:variant>
      <vt:variant>
        <vt:i4>1507377</vt:i4>
      </vt:variant>
      <vt:variant>
        <vt:i4>122</vt:i4>
      </vt:variant>
      <vt:variant>
        <vt:i4>0</vt:i4>
      </vt:variant>
      <vt:variant>
        <vt:i4>5</vt:i4>
      </vt:variant>
      <vt:variant>
        <vt:lpwstr/>
      </vt:variant>
      <vt:variant>
        <vt:lpwstr>_Toc203039396</vt:lpwstr>
      </vt:variant>
      <vt:variant>
        <vt:i4>1507377</vt:i4>
      </vt:variant>
      <vt:variant>
        <vt:i4>116</vt:i4>
      </vt:variant>
      <vt:variant>
        <vt:i4>0</vt:i4>
      </vt:variant>
      <vt:variant>
        <vt:i4>5</vt:i4>
      </vt:variant>
      <vt:variant>
        <vt:lpwstr/>
      </vt:variant>
      <vt:variant>
        <vt:lpwstr>_Toc203039395</vt:lpwstr>
      </vt:variant>
      <vt:variant>
        <vt:i4>1507377</vt:i4>
      </vt:variant>
      <vt:variant>
        <vt:i4>110</vt:i4>
      </vt:variant>
      <vt:variant>
        <vt:i4>0</vt:i4>
      </vt:variant>
      <vt:variant>
        <vt:i4>5</vt:i4>
      </vt:variant>
      <vt:variant>
        <vt:lpwstr/>
      </vt:variant>
      <vt:variant>
        <vt:lpwstr>_Toc203039394</vt:lpwstr>
      </vt:variant>
      <vt:variant>
        <vt:i4>1507377</vt:i4>
      </vt:variant>
      <vt:variant>
        <vt:i4>104</vt:i4>
      </vt:variant>
      <vt:variant>
        <vt:i4>0</vt:i4>
      </vt:variant>
      <vt:variant>
        <vt:i4>5</vt:i4>
      </vt:variant>
      <vt:variant>
        <vt:lpwstr/>
      </vt:variant>
      <vt:variant>
        <vt:lpwstr>_Toc203039393</vt:lpwstr>
      </vt:variant>
      <vt:variant>
        <vt:i4>1507377</vt:i4>
      </vt:variant>
      <vt:variant>
        <vt:i4>98</vt:i4>
      </vt:variant>
      <vt:variant>
        <vt:i4>0</vt:i4>
      </vt:variant>
      <vt:variant>
        <vt:i4>5</vt:i4>
      </vt:variant>
      <vt:variant>
        <vt:lpwstr/>
      </vt:variant>
      <vt:variant>
        <vt:lpwstr>_Toc203039392</vt:lpwstr>
      </vt:variant>
      <vt:variant>
        <vt:i4>1507377</vt:i4>
      </vt:variant>
      <vt:variant>
        <vt:i4>92</vt:i4>
      </vt:variant>
      <vt:variant>
        <vt:i4>0</vt:i4>
      </vt:variant>
      <vt:variant>
        <vt:i4>5</vt:i4>
      </vt:variant>
      <vt:variant>
        <vt:lpwstr/>
      </vt:variant>
      <vt:variant>
        <vt:lpwstr>_Toc203039391</vt:lpwstr>
      </vt:variant>
      <vt:variant>
        <vt:i4>1507377</vt:i4>
      </vt:variant>
      <vt:variant>
        <vt:i4>86</vt:i4>
      </vt:variant>
      <vt:variant>
        <vt:i4>0</vt:i4>
      </vt:variant>
      <vt:variant>
        <vt:i4>5</vt:i4>
      </vt:variant>
      <vt:variant>
        <vt:lpwstr/>
      </vt:variant>
      <vt:variant>
        <vt:lpwstr>_Toc203039390</vt:lpwstr>
      </vt:variant>
      <vt:variant>
        <vt:i4>1441841</vt:i4>
      </vt:variant>
      <vt:variant>
        <vt:i4>80</vt:i4>
      </vt:variant>
      <vt:variant>
        <vt:i4>0</vt:i4>
      </vt:variant>
      <vt:variant>
        <vt:i4>5</vt:i4>
      </vt:variant>
      <vt:variant>
        <vt:lpwstr/>
      </vt:variant>
      <vt:variant>
        <vt:lpwstr>_Toc203039389</vt:lpwstr>
      </vt:variant>
      <vt:variant>
        <vt:i4>1441841</vt:i4>
      </vt:variant>
      <vt:variant>
        <vt:i4>74</vt:i4>
      </vt:variant>
      <vt:variant>
        <vt:i4>0</vt:i4>
      </vt:variant>
      <vt:variant>
        <vt:i4>5</vt:i4>
      </vt:variant>
      <vt:variant>
        <vt:lpwstr/>
      </vt:variant>
      <vt:variant>
        <vt:lpwstr>_Toc203039388</vt:lpwstr>
      </vt:variant>
      <vt:variant>
        <vt:i4>1441841</vt:i4>
      </vt:variant>
      <vt:variant>
        <vt:i4>68</vt:i4>
      </vt:variant>
      <vt:variant>
        <vt:i4>0</vt:i4>
      </vt:variant>
      <vt:variant>
        <vt:i4>5</vt:i4>
      </vt:variant>
      <vt:variant>
        <vt:lpwstr/>
      </vt:variant>
      <vt:variant>
        <vt:lpwstr>_Toc203039387</vt:lpwstr>
      </vt:variant>
      <vt:variant>
        <vt:i4>1441841</vt:i4>
      </vt:variant>
      <vt:variant>
        <vt:i4>62</vt:i4>
      </vt:variant>
      <vt:variant>
        <vt:i4>0</vt:i4>
      </vt:variant>
      <vt:variant>
        <vt:i4>5</vt:i4>
      </vt:variant>
      <vt:variant>
        <vt:lpwstr/>
      </vt:variant>
      <vt:variant>
        <vt:lpwstr>_Toc203039386</vt:lpwstr>
      </vt:variant>
      <vt:variant>
        <vt:i4>1441841</vt:i4>
      </vt:variant>
      <vt:variant>
        <vt:i4>56</vt:i4>
      </vt:variant>
      <vt:variant>
        <vt:i4>0</vt:i4>
      </vt:variant>
      <vt:variant>
        <vt:i4>5</vt:i4>
      </vt:variant>
      <vt:variant>
        <vt:lpwstr/>
      </vt:variant>
      <vt:variant>
        <vt:lpwstr>_Toc203039385</vt:lpwstr>
      </vt:variant>
      <vt:variant>
        <vt:i4>1441841</vt:i4>
      </vt:variant>
      <vt:variant>
        <vt:i4>50</vt:i4>
      </vt:variant>
      <vt:variant>
        <vt:i4>0</vt:i4>
      </vt:variant>
      <vt:variant>
        <vt:i4>5</vt:i4>
      </vt:variant>
      <vt:variant>
        <vt:lpwstr/>
      </vt:variant>
      <vt:variant>
        <vt:lpwstr>_Toc203039384</vt:lpwstr>
      </vt:variant>
      <vt:variant>
        <vt:i4>1441841</vt:i4>
      </vt:variant>
      <vt:variant>
        <vt:i4>44</vt:i4>
      </vt:variant>
      <vt:variant>
        <vt:i4>0</vt:i4>
      </vt:variant>
      <vt:variant>
        <vt:i4>5</vt:i4>
      </vt:variant>
      <vt:variant>
        <vt:lpwstr/>
      </vt:variant>
      <vt:variant>
        <vt:lpwstr>_Toc203039383</vt:lpwstr>
      </vt:variant>
      <vt:variant>
        <vt:i4>1441841</vt:i4>
      </vt:variant>
      <vt:variant>
        <vt:i4>38</vt:i4>
      </vt:variant>
      <vt:variant>
        <vt:i4>0</vt:i4>
      </vt:variant>
      <vt:variant>
        <vt:i4>5</vt:i4>
      </vt:variant>
      <vt:variant>
        <vt:lpwstr/>
      </vt:variant>
      <vt:variant>
        <vt:lpwstr>_Toc203039382</vt:lpwstr>
      </vt:variant>
      <vt:variant>
        <vt:i4>1441841</vt:i4>
      </vt:variant>
      <vt:variant>
        <vt:i4>32</vt:i4>
      </vt:variant>
      <vt:variant>
        <vt:i4>0</vt:i4>
      </vt:variant>
      <vt:variant>
        <vt:i4>5</vt:i4>
      </vt:variant>
      <vt:variant>
        <vt:lpwstr/>
      </vt:variant>
      <vt:variant>
        <vt:lpwstr>_Toc203039381</vt:lpwstr>
      </vt:variant>
      <vt:variant>
        <vt:i4>1441841</vt:i4>
      </vt:variant>
      <vt:variant>
        <vt:i4>26</vt:i4>
      </vt:variant>
      <vt:variant>
        <vt:i4>0</vt:i4>
      </vt:variant>
      <vt:variant>
        <vt:i4>5</vt:i4>
      </vt:variant>
      <vt:variant>
        <vt:lpwstr/>
      </vt:variant>
      <vt:variant>
        <vt:lpwstr>_Toc203039380</vt:lpwstr>
      </vt:variant>
      <vt:variant>
        <vt:i4>1638449</vt:i4>
      </vt:variant>
      <vt:variant>
        <vt:i4>20</vt:i4>
      </vt:variant>
      <vt:variant>
        <vt:i4>0</vt:i4>
      </vt:variant>
      <vt:variant>
        <vt:i4>5</vt:i4>
      </vt:variant>
      <vt:variant>
        <vt:lpwstr/>
      </vt:variant>
      <vt:variant>
        <vt:lpwstr>_Toc203039379</vt:lpwstr>
      </vt:variant>
      <vt:variant>
        <vt:i4>1638449</vt:i4>
      </vt:variant>
      <vt:variant>
        <vt:i4>14</vt:i4>
      </vt:variant>
      <vt:variant>
        <vt:i4>0</vt:i4>
      </vt:variant>
      <vt:variant>
        <vt:i4>5</vt:i4>
      </vt:variant>
      <vt:variant>
        <vt:lpwstr/>
      </vt:variant>
      <vt:variant>
        <vt:lpwstr>_Toc203039378</vt:lpwstr>
      </vt:variant>
      <vt:variant>
        <vt:i4>1638449</vt:i4>
      </vt:variant>
      <vt:variant>
        <vt:i4>8</vt:i4>
      </vt:variant>
      <vt:variant>
        <vt:i4>0</vt:i4>
      </vt:variant>
      <vt:variant>
        <vt:i4>5</vt:i4>
      </vt:variant>
      <vt:variant>
        <vt:lpwstr/>
      </vt:variant>
      <vt:variant>
        <vt:lpwstr>_Toc203039377</vt:lpwstr>
      </vt:variant>
      <vt:variant>
        <vt:i4>1638449</vt:i4>
      </vt:variant>
      <vt:variant>
        <vt:i4>2</vt:i4>
      </vt:variant>
      <vt:variant>
        <vt:i4>0</vt:i4>
      </vt:variant>
      <vt:variant>
        <vt:i4>5</vt:i4>
      </vt:variant>
      <vt:variant>
        <vt:lpwstr/>
      </vt:variant>
      <vt:variant>
        <vt:lpwstr>_Toc203039376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Tsai</dc:creator>
  <cp:keywords/>
  <cp:lastModifiedBy>Saunaq Chakrabarty</cp:lastModifiedBy>
  <cp:revision>200</cp:revision>
  <dcterms:created xsi:type="dcterms:W3CDTF">2025-07-17T23:15:00Z</dcterms:created>
  <dcterms:modified xsi:type="dcterms:W3CDTF">2025-07-18T14:58:00Z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Formatting</vt:lpwstr>
  </property>
  <property fmtid="{D5CDD505-2E9C-101B-9397-08002B2CF9AE}" pid="3" name="ContentTypeId">
    <vt:lpwstr>0x010100387EA30D4A3C7840B8C861EB0642C02B</vt:lpwstr>
  </property>
  <property fmtid="{D5CDD505-2E9C-101B-9397-08002B2CF9AE}" pid="4" name="GrammarlyDocumentId">
    <vt:lpwstr>986f2c42-6c7a-4262-b0e7-e861e4270ea3</vt:lpwstr>
  </property>
  <property fmtid="{D5CDD505-2E9C-101B-9397-08002B2CF9AE}" pid="5" name="MediaServiceImageTags">
    <vt:lpwstr/>
  </property>
  <property fmtid="{D5CDD505-2E9C-101B-9397-08002B2CF9AE}" pid="6" name="KSOTemplateDocerSaveRecord">
    <vt:lpwstr>eyJoZGlkIjoiMTE5YWNkODIwODlkZTI3ZWQyNTUzYzE1ZGE0NmZkYmIiLCJ1c2VySWQiOiIxNDIwMjc2OTI0In0=</vt:lpwstr>
  </property>
  <property fmtid="{D5CDD505-2E9C-101B-9397-08002B2CF9AE}" pid="7" name="KSOProductBuildVer">
    <vt:lpwstr>2052-12.1.0.21541</vt:lpwstr>
  </property>
  <property fmtid="{D5CDD505-2E9C-101B-9397-08002B2CF9AE}" pid="8" name="ICV">
    <vt:lpwstr>2AC779FAA3F84EC98B246DBBD9701E5C_13</vt:lpwstr>
  </property>
</Properties>
</file>