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TECHNICAL INTERVIEW / STUDY PACK</w:t>
      </w:r>
    </w:p>
    <w:p>
      <w:pPr>
        <w:pStyle w:val="Title"/>
      </w:pPr>
      <w:r>
        <w:t>EU AI Act RAG Assistant</w:t>
      </w:r>
    </w:p>
    <w:p>
      <w:r>
        <w:t>Questions • model answers • definitions • design trade-offs • strengths and limitations • manager-style scenarios</w:t>
      </w:r>
    </w:p>
    <w:p>
      <w:r>
        <w:t>Based on the project details discussed and its reported experiments. Examples of future improvements are clearly separated from implemented features.</w:t>
      </w:r>
    </w:p>
    <w:p>
      <w:pPr>
        <w:pStyle w:val="Heading1"/>
      </w:pPr>
      <w:r>
        <w:t>The 60-second answer</w:t>
      </w:r>
    </w:p>
    <w:p>
      <w:r>
        <w:t>“I built an EU AI Act question-answering assistant using Retrieval-Augmented Generation. I extracted and cleaned the legal text, split it into Article-aware chunks, embedded those chunks using sentence-transformer models, and indexed them in FAISS. When someone asks a question, the system retrieves semantically relevant passages, expands selected results to provide fuller Article context, and sends that context to an LLM through Groq to generate an answer. I compared MiniLM with BGE on 12 curated questions; BGE achieved 12/12 Hit@3 versus 9/12 for MiniLM. I also built evaluation checks and handled API limits. I would not claim the answers are legally verified: retrieving and mentioning the expected Article are useful checks, but human review and stronger factuality tests are still needed.”</w:t>
      </w:r>
    </w:p>
    <w:p>
      <w:pPr>
        <w:pStyle w:val="Heading1"/>
      </w:pPr>
      <w:r>
        <w:t>Project facts: remember these numbers</w:t>
      </w:r>
    </w:p>
    <w:tbl>
      <w:tblPr>
        <w:tblStyle w:val="LightShading-Accent1"/>
        <w:tblW w:type="auto" w:w="0"/>
        <w:jc w:val="center"/>
        <w:tblLook w:firstColumn="1" w:firstRow="1" w:lastColumn="0" w:lastRow="0" w:noHBand="0" w:noVBand="1" w:val="04A0"/>
      </w:tblPr>
      <w:tblGrid>
        <w:gridCol w:w="4939"/>
        <w:gridCol w:w="4939"/>
      </w:tblGrid>
      <w:tr>
        <w:trPr>
          <w:tblHeader w:val="true"/>
        </w:trPr>
        <w:tc>
          <w:tcPr>
            <w:tcW w:type="dxa" w:w="1944"/>
            <w:vAlign w:val="center"/>
          </w:tcPr>
          <w:p>
            <w:pPr>
              <w:spacing w:after="60"/>
            </w:pPr>
            <w:r>
              <w:rPr>
                <w:b/>
                <w:color w:val="142640"/>
                <w:sz w:val="16"/>
              </w:rPr>
              <w:t>Component</w:t>
            </w:r>
          </w:p>
        </w:tc>
        <w:tc>
          <w:tcPr>
            <w:tcW w:type="dxa" w:w="7776"/>
            <w:vAlign w:val="center"/>
          </w:tcPr>
          <w:p>
            <w:pPr>
              <w:spacing w:after="60"/>
            </w:pPr>
            <w:r>
              <w:rPr>
                <w:b/>
                <w:color w:val="142640"/>
                <w:sz w:val="16"/>
              </w:rPr>
              <w:t>Your project</w:t>
            </w:r>
          </w:p>
        </w:tc>
      </w:tr>
      <w:tr>
        <w:tc>
          <w:tcPr>
            <w:tcW w:type="dxa" w:w="1944"/>
            <w:vAlign w:val="center"/>
          </w:tcPr>
          <w:p>
            <w:pPr>
              <w:spacing w:after="60"/>
            </w:pPr>
            <w:r>
              <w:rPr>
                <w:sz w:val="16"/>
              </w:rPr>
              <w:t>Source</w:t>
            </w:r>
          </w:p>
        </w:tc>
        <w:tc>
          <w:tcPr>
            <w:tcW w:type="dxa" w:w="7776"/>
            <w:vAlign w:val="center"/>
          </w:tcPr>
          <w:p>
            <w:pPr>
              <w:spacing w:after="60"/>
            </w:pPr>
            <w:r>
              <w:rPr>
                <w:sz w:val="16"/>
              </w:rPr>
              <w:t>Consolidated EU AI Act PDF from EUR-Lex (project version dated 27 July 2026)</w:t>
            </w:r>
          </w:p>
        </w:tc>
      </w:tr>
      <w:tr>
        <w:tc>
          <w:tcPr>
            <w:tcW w:type="dxa" w:w="1944"/>
            <w:vAlign w:val="center"/>
          </w:tcPr>
          <w:p>
            <w:pPr>
              <w:spacing w:after="60"/>
            </w:pPr>
            <w:r>
              <w:rPr>
                <w:sz w:val="16"/>
              </w:rPr>
              <w:t>Text extraction</w:t>
            </w:r>
          </w:p>
        </w:tc>
        <w:tc>
          <w:tcPr>
            <w:tcW w:type="dxa" w:w="7776"/>
            <w:vAlign w:val="center"/>
          </w:tcPr>
          <w:p>
            <w:pPr>
              <w:spacing w:after="60"/>
            </w:pPr>
            <w:r>
              <w:rPr>
                <w:sz w:val="16"/>
              </w:rPr>
              <w:t>PyMuPDF; approximately 407k extracted/cleaned characters in the final workflow</w:t>
            </w:r>
          </w:p>
        </w:tc>
      </w:tr>
      <w:tr>
        <w:tc>
          <w:tcPr>
            <w:tcW w:type="dxa" w:w="1944"/>
            <w:vAlign w:val="center"/>
          </w:tcPr>
          <w:p>
            <w:pPr>
              <w:spacing w:after="60"/>
            </w:pPr>
            <w:r>
              <w:rPr>
                <w:sz w:val="16"/>
              </w:rPr>
              <w:t>Chunking</w:t>
            </w:r>
          </w:p>
        </w:tc>
        <w:tc>
          <w:tcPr>
            <w:tcW w:type="dxa" w:w="7776"/>
            <w:vAlign w:val="center"/>
          </w:tcPr>
          <w:p>
            <w:pPr>
              <w:spacing w:after="60"/>
            </w:pPr>
            <w:r>
              <w:rPr>
                <w:sz w:val="16"/>
              </w:rPr>
              <w:t>160 Article/Annex-aware chunks: 141 Article chunks + 19 Annex chunks</w:t>
            </w:r>
          </w:p>
        </w:tc>
      </w:tr>
      <w:tr>
        <w:tc>
          <w:tcPr>
            <w:tcW w:type="dxa" w:w="1944"/>
            <w:vAlign w:val="center"/>
          </w:tcPr>
          <w:p>
            <w:pPr>
              <w:spacing w:after="60"/>
            </w:pPr>
            <w:r>
              <w:rPr>
                <w:sz w:val="16"/>
              </w:rPr>
              <w:t>Embeddings</w:t>
            </w:r>
          </w:p>
        </w:tc>
        <w:tc>
          <w:tcPr>
            <w:tcW w:type="dxa" w:w="7776"/>
            <w:vAlign w:val="center"/>
          </w:tcPr>
          <w:p>
            <w:pPr>
              <w:spacing w:after="60"/>
            </w:pPr>
            <w:r>
              <w:rPr>
                <w:sz w:val="16"/>
              </w:rPr>
              <w:t>MiniLM and BAAI/bge-small-en-v1.5; 384-dimensional vectors</w:t>
            </w:r>
          </w:p>
        </w:tc>
      </w:tr>
      <w:tr>
        <w:tc>
          <w:tcPr>
            <w:tcW w:type="dxa" w:w="1944"/>
            <w:vAlign w:val="center"/>
          </w:tcPr>
          <w:p>
            <w:pPr>
              <w:spacing w:after="60"/>
            </w:pPr>
            <w:r>
              <w:rPr>
                <w:sz w:val="16"/>
              </w:rPr>
              <w:t>Vector search</w:t>
            </w:r>
          </w:p>
        </w:tc>
        <w:tc>
          <w:tcPr>
            <w:tcW w:type="dxa" w:w="7776"/>
            <w:vAlign w:val="center"/>
          </w:tcPr>
          <w:p>
            <w:pPr>
              <w:spacing w:after="60"/>
            </w:pPr>
            <w:r>
              <w:rPr>
                <w:sz w:val="16"/>
              </w:rPr>
              <w:t>FAISS IndexFlatIP with normalized embeddings (cosine-style similarity)</w:t>
            </w:r>
          </w:p>
        </w:tc>
      </w:tr>
      <w:tr>
        <w:tc>
          <w:tcPr>
            <w:tcW w:type="dxa" w:w="1944"/>
            <w:vAlign w:val="center"/>
          </w:tcPr>
          <w:p>
            <w:pPr>
              <w:spacing w:after="60"/>
            </w:pPr>
            <w:r>
              <w:rPr>
                <w:sz w:val="16"/>
              </w:rPr>
              <w:t>Retrieval</w:t>
            </w:r>
          </w:p>
        </w:tc>
        <w:tc>
          <w:tcPr>
            <w:tcW w:type="dxa" w:w="7776"/>
            <w:vAlign w:val="center"/>
          </w:tcPr>
          <w:p>
            <w:pPr>
              <w:spacing w:after="60"/>
            </w:pPr>
            <w:r>
              <w:rPr>
                <w:sz w:val="16"/>
              </w:rPr>
              <w:t>Top 5 similarity matches; expand top 3 unique sections for context</w:t>
            </w:r>
          </w:p>
        </w:tc>
      </w:tr>
      <w:tr>
        <w:tc>
          <w:tcPr>
            <w:tcW w:type="dxa" w:w="1944"/>
            <w:vAlign w:val="center"/>
          </w:tcPr>
          <w:p>
            <w:pPr>
              <w:spacing w:after="60"/>
            </w:pPr>
            <w:r>
              <w:rPr>
                <w:sz w:val="16"/>
              </w:rPr>
              <w:t>Generation</w:t>
            </w:r>
          </w:p>
        </w:tc>
        <w:tc>
          <w:tcPr>
            <w:tcW w:type="dxa" w:w="7776"/>
            <w:vAlign w:val="center"/>
          </w:tcPr>
          <w:p>
            <w:pPr>
              <w:spacing w:after="60"/>
            </w:pPr>
            <w:r>
              <w:rPr>
                <w:sz w:val="16"/>
              </w:rPr>
              <w:t>Groq API with openai/gpt-oss-20b; context capped at 12,000 characters</w:t>
            </w:r>
          </w:p>
        </w:tc>
      </w:tr>
      <w:tr>
        <w:tc>
          <w:tcPr>
            <w:tcW w:type="dxa" w:w="1944"/>
            <w:vAlign w:val="center"/>
          </w:tcPr>
          <w:p>
            <w:pPr>
              <w:spacing w:after="60"/>
            </w:pPr>
            <w:r>
              <w:rPr>
                <w:sz w:val="16"/>
              </w:rPr>
              <w:t>Modes</w:t>
            </w:r>
          </w:p>
        </w:tc>
        <w:tc>
          <w:tcPr>
            <w:tcW w:type="dxa" w:w="7776"/>
            <w:vAlign w:val="center"/>
          </w:tcPr>
          <w:p>
            <w:pPr>
              <w:spacing w:after="60"/>
            </w:pPr>
            <w:r>
              <w:rPr>
                <w:sz w:val="16"/>
              </w:rPr>
              <w:t>1: interactive Q&amp;A; 2: 12-question evaluation</w:t>
            </w:r>
          </w:p>
        </w:tc>
      </w:tr>
      <w:tr>
        <w:tc>
          <w:tcPr>
            <w:tcW w:type="dxa" w:w="1944"/>
            <w:vAlign w:val="center"/>
          </w:tcPr>
          <w:p>
            <w:pPr>
              <w:spacing w:after="60"/>
            </w:pPr>
            <w:r>
              <w:rPr>
                <w:sz w:val="16"/>
              </w:rPr>
              <w:t>Evaluation caution</w:t>
            </w:r>
          </w:p>
        </w:tc>
        <w:tc>
          <w:tcPr>
            <w:tcW w:type="dxa" w:w="7776"/>
            <w:vAlign w:val="center"/>
          </w:tcPr>
          <w:p>
            <w:pPr>
              <w:spacing w:after="60"/>
            </w:pPr>
            <w:r>
              <w:rPr>
                <w:sz w:val="16"/>
              </w:rPr>
              <w:t>12/12 expected Articles present and mentioned in recorded runs; this is not a factuality score</w:t>
            </w:r>
          </w:p>
        </w:tc>
      </w:tr>
    </w:tbl>
    <w:p/>
    <w:p>
      <w:pPr>
        <w:pStyle w:val="Heading1"/>
      </w:pPr>
      <w:r>
        <w:t>Architecture in one line</w:t>
      </w:r>
    </w:p>
    <w:p>
      <w:r>
        <w:t>PDF → extract text → clean → Article/Annex chunks → embeddings → FAISS index → user question → query embedding → top-k search → Article expansion → LLM → answer.</w:t>
      </w:r>
    </w:p>
    <w:p>
      <w:r>
        <w:t>Offline stage: prepare and index the document. Online stage: process a user question and generate a grounded answer.</w:t>
      </w:r>
    </w:p>
    <w:p>
      <w:pPr>
        <w:pStyle w:val="Heading1"/>
      </w:pPr>
      <w:r>
        <w:t>PART 1  |  Essential AI and RAG concepts</w:t>
      </w:r>
    </w:p>
    <w:p>
      <w:pPr>
        <w:pStyle w:val="Question"/>
      </w:pPr>
      <w:r>
        <w:t>1. What is RAG?</w:t>
      </w:r>
    </w:p>
    <w:p>
      <w:r>
        <w:rPr>
          <w:b/>
        </w:rPr>
        <w:t xml:space="preserve">Answer  </w:t>
      </w:r>
      <w:r>
        <w:t>Retrieval-Augmented Generation combines information retrieval with a generative language model. Instead of relying only on the LLM’s internal knowledge, it retrieves relevant passages from a source and uses them as context when answering.</w:t>
      </w:r>
    </w:p>
    <w:p>
      <w:pPr>
        <w:pStyle w:val="Question"/>
      </w:pPr>
      <w:r>
        <w:t>2. Is RAG the same as fine-tuning?</w:t>
      </w:r>
    </w:p>
    <w:p>
      <w:r>
        <w:rPr>
          <w:b/>
        </w:rPr>
        <w:t xml:space="preserve">Answer  </w:t>
      </w:r>
      <w:r>
        <w:t>No. RAG supplies external information at inference time; fine-tuning changes model weights during training. My project used pretrained embedding and generation models with retrieval; I did not fine-tune the LLM.</w:t>
      </w:r>
    </w:p>
    <w:p>
      <w:pPr>
        <w:ind w:left="259"/>
      </w:pPr>
      <w:r>
        <w:rPr>
          <w:b/>
          <w:color w:val="007D89"/>
        </w:rPr>
        <w:t xml:space="preserve">Manager follow-up  </w:t>
      </w:r>
      <w:r>
        <w:t>When would you fine-tune? For consistent style, domain-specific behavior or structured output when training data and evaluation justify it; RAG is usually preferable for frequently updated factual sources.</w:t>
      </w:r>
    </w:p>
    <w:p>
      <w:pPr>
        <w:pStyle w:val="Question"/>
      </w:pPr>
      <w:r>
        <w:t>3. Why use RAG instead of sending the entire PDF to the LLM?</w:t>
      </w:r>
    </w:p>
    <w:p>
      <w:r>
        <w:rPr>
          <w:b/>
        </w:rPr>
        <w:t xml:space="preserve">Answer  </w:t>
      </w:r>
      <w:r>
        <w:t>Long documents may exceed context limits, increase cost and latency, and distract the model. Retrieval selects smaller, relevant passages. The trade-off is that an incorrect retrieval can leave out essential information.</w:t>
      </w:r>
    </w:p>
    <w:p>
      <w:pPr>
        <w:pStyle w:val="Question"/>
      </w:pPr>
      <w:r>
        <w:t>4. What is an embedding?</w:t>
      </w:r>
    </w:p>
    <w:p>
      <w:r>
        <w:rPr>
          <w:b/>
        </w:rPr>
        <w:t xml:space="preserve">Answer  </w:t>
      </w:r>
      <w:r>
        <w:t>An embedding is a numerical vector representing text in a semantic space. Similar meanings tend to produce nearby vectors. My project uses 384-dimensional sentence embeddings.</w:t>
      </w:r>
    </w:p>
    <w:p>
      <w:pPr>
        <w:pStyle w:val="Question"/>
      </w:pPr>
      <w:r>
        <w:t>5. What is semantic search?</w:t>
      </w:r>
    </w:p>
    <w:p>
      <w:r>
        <w:rPr>
          <w:b/>
        </w:rPr>
        <w:t xml:space="preserve">Answer  </w:t>
      </w:r>
      <w:r>
        <w:t>Semantic search finds passages by meaning, not only exact keywords. For example, “requirements for safe AI systems” may retrieve text about robustness and cybersecurity even without identical wording.</w:t>
      </w:r>
    </w:p>
    <w:p>
      <w:pPr>
        <w:pStyle w:val="Question"/>
      </w:pPr>
      <w:r>
        <w:t>6. What is a vector database versus FAISS?</w:t>
      </w:r>
    </w:p>
    <w:p>
      <w:r>
        <w:rPr>
          <w:b/>
        </w:rPr>
        <w:t xml:space="preserve">Answer  </w:t>
      </w:r>
      <w:r>
        <w:t>FAISS is a similarity-search library and index; it is not a complete managed database with built-in permissions, distributed storage, backups and application-level metadata services. For a small local corpus, FAISS is a simple and effective choice.</w:t>
      </w:r>
    </w:p>
    <w:p>
      <w:pPr>
        <w:pStyle w:val="Question"/>
      </w:pPr>
      <w:r>
        <w:t>7. What is cosine similarity?</w:t>
      </w:r>
    </w:p>
    <w:p>
      <w:r>
        <w:rPr>
          <w:b/>
        </w:rPr>
        <w:t xml:space="preserve">Answer  </w:t>
      </w:r>
      <w:r>
        <w:t>It measures the angle between vectors: cosine = dot product / (vector lengths multiplied). After L2 normalization, the inner product equals cosine similarity, which is why normalized vectors work with FAISS IndexFlatIP.</w:t>
      </w:r>
    </w:p>
    <w:p>
      <w:pPr>
        <w:pStyle w:val="Question"/>
      </w:pPr>
      <w:r>
        <w:t>8. What is top-k retrieval?</w:t>
      </w:r>
    </w:p>
    <w:p>
      <w:r>
        <w:rPr>
          <w:b/>
        </w:rPr>
        <w:t xml:space="preserve">Answer  </w:t>
      </w:r>
      <w:r>
        <w:t>The retriever returns the k highest-scoring chunks. My project first retrieves the top five matches, then expands selected sections. Higher k can improve coverage but may add noise, cost and irrelevant context.</w:t>
      </w:r>
    </w:p>
    <w:p>
      <w:pPr>
        <w:pStyle w:val="Question"/>
      </w:pPr>
      <w:r>
        <w:t>9. What is chunking and why is it necessary?</w:t>
      </w:r>
    </w:p>
    <w:p>
      <w:r>
        <w:rPr>
          <w:b/>
        </w:rPr>
        <w:t xml:space="preserve">Answer  </w:t>
      </w:r>
      <w:r>
        <w:t>Chunking splits long source text into units that can be embedded and retrieved. I preserved Article and Annex structure rather than slicing arbitrary fixed-length blocks, because legal meaning often depends on section boundaries.</w:t>
      </w:r>
    </w:p>
    <w:p>
      <w:pPr>
        <w:pStyle w:val="Question"/>
      </w:pPr>
      <w:r>
        <w:t>10. What is a hallucination?</w:t>
      </w:r>
    </w:p>
    <w:p>
      <w:r>
        <w:rPr>
          <w:b/>
        </w:rPr>
        <w:t xml:space="preserve">Answer  </w:t>
      </w:r>
      <w:r>
        <w:t>A hallucination is a fluent but unsupported or false model claim. RAG can reduce the risk by supplying evidence, but cannot guarantee correctness. A retrieved Article can still be misunderstood or misquoted.</w:t>
      </w:r>
    </w:p>
    <w:p>
      <w:pPr>
        <w:pStyle w:val="Question"/>
      </w:pPr>
      <w:r>
        <w:t>11. What is grounding?</w:t>
      </w:r>
    </w:p>
    <w:p>
      <w:r>
        <w:rPr>
          <w:b/>
        </w:rPr>
        <w:t xml:space="preserve">Answer  </w:t>
      </w:r>
      <w:r>
        <w:t>Grounding means tying the generated response to supplied evidence. In this project, the prompt uses retrieved legal text. Grounding is a design objective; it needs factuality testing to confirm whether it works.</w:t>
      </w:r>
    </w:p>
    <w:p>
      <w:pPr>
        <w:pStyle w:val="Question"/>
      </w:pPr>
      <w:r>
        <w:t>12. What is a context window?</w:t>
      </w:r>
    </w:p>
    <w:p>
      <w:r>
        <w:rPr>
          <w:b/>
        </w:rPr>
        <w:t xml:space="preserve">Answer  </w:t>
      </w:r>
      <w:r>
        <w:t>It is the amount of text/tokens a model can process in one request. My project capped retrieved context at 12,000 characters, which is not the same as 12,000 tokens.</w:t>
      </w:r>
    </w:p>
    <w:p>
      <w:pPr>
        <w:pStyle w:val="Heading1"/>
      </w:pPr>
      <w:r>
        <w:t>PART 2  |  Data processing and architecture</w:t>
      </w:r>
    </w:p>
    <w:p>
      <w:pPr>
        <w:pStyle w:val="Question"/>
      </w:pPr>
      <w:r>
        <w:t>13. Why did you choose the EU AI Act?</w:t>
      </w:r>
    </w:p>
    <w:p>
      <w:r>
        <w:rPr>
          <w:b/>
        </w:rPr>
        <w:t xml:space="preserve">Answer  </w:t>
      </w:r>
      <w:r>
        <w:t>It is a real, lengthy, structured regulation where users need traceable answers. It gives the project a meaningful use case and enables Article-level retrieval evaluation. The tool is educational, not a substitute for legal advice.</w:t>
      </w:r>
    </w:p>
    <w:p>
      <w:pPr>
        <w:pStyle w:val="Question"/>
      </w:pPr>
      <w:r>
        <w:t>14. Why PyMuPDF?</w:t>
      </w:r>
    </w:p>
    <w:p>
      <w:r>
        <w:rPr>
          <w:b/>
        </w:rPr>
        <w:t xml:space="preserve">Answer  </w:t>
      </w:r>
      <w:r>
        <w:t>PyMuPDF extracts selectable PDF text efficiently in Python. It helped convert the source into machine-readable text for cleaning and indexing. PDF extraction still needs checks for headers, page breaks and broken text.</w:t>
      </w:r>
    </w:p>
    <w:p>
      <w:pPr>
        <w:pStyle w:val="Question"/>
      </w:pPr>
      <w:r>
        <w:t>15. Why Article-aware chunking instead of fixed 500-character chunks?</w:t>
      </w:r>
    </w:p>
    <w:p>
      <w:r>
        <w:rPr>
          <w:b/>
        </w:rPr>
        <w:t xml:space="preserve">Answer  </w:t>
      </w:r>
      <w:r>
        <w:t>Legal questions often map to specific Articles. Preserving those boundaries improves interpretability and lets me evaluate whether the correct Article was retrieved. Large Articles still need multiple chunks; boundaries do not eliminate retrieval misses.</w:t>
      </w:r>
    </w:p>
    <w:p>
      <w:pPr>
        <w:pStyle w:val="Question"/>
      </w:pPr>
      <w:r>
        <w:t>16. What are the risks of cleaning text?</w:t>
      </w:r>
    </w:p>
    <w:p>
      <w:r>
        <w:rPr>
          <w:b/>
        </w:rPr>
        <w:t xml:space="preserve">Answer  </w:t>
      </w:r>
      <w:r>
        <w:t>Over-cleaning can remove numbering, negation, footnotes or cross-references and change legal meaning. I would keep an untouched source copy and validate that important Article headings and obligations survive preprocessing.</w:t>
      </w:r>
    </w:p>
    <w:p>
      <w:pPr>
        <w:pStyle w:val="Question"/>
      </w:pPr>
      <w:r>
        <w:t>17. What is the difference between indexing and querying?</w:t>
      </w:r>
    </w:p>
    <w:p>
      <w:r>
        <w:rPr>
          <w:b/>
        </w:rPr>
        <w:t xml:space="preserve">Answer  </w:t>
      </w:r>
      <w:r>
        <w:t>Indexing is the preparation stage: extract, chunk, embed and store vectors. Querying is the user-facing stage: embed a new question, search FAISS, collect source passages and ask the LLM to answer.</w:t>
      </w:r>
    </w:p>
    <w:p>
      <w:pPr>
        <w:pStyle w:val="Question"/>
      </w:pPr>
      <w:r>
        <w:t>18. Why did you compare MiniLM and BGE?</w:t>
      </w:r>
    </w:p>
    <w:p>
      <w:r>
        <w:rPr>
          <w:b/>
        </w:rPr>
        <w:t xml:space="preserve">Answer  </w:t>
      </w:r>
      <w:r>
        <w:t>Embedding quality controls which legal text reaches the LLM. I compared models on the same curated questions using retrieval metrics rather than assuming one model was better. BGE had better Hit@3 and Hit@5 in this small test.</w:t>
      </w:r>
    </w:p>
    <w:p>
      <w:pPr>
        <w:pStyle w:val="Question"/>
      </w:pPr>
      <w:r>
        <w:t>19. Why use IndexFlatIP?</w:t>
      </w:r>
    </w:p>
    <w:p>
      <w:r>
        <w:rPr>
          <w:b/>
        </w:rPr>
        <w:t xml:space="preserve">Answer  </w:t>
      </w:r>
      <w:r>
        <w:t>It performs exact inner-product similarity search and is easy to understand. With only 160 chunks, the index is small and exact search is practical. For millions of chunks, I would benchmark approximate indexes such as HNSW or IVF.</w:t>
      </w:r>
    </w:p>
    <w:p>
      <w:pPr>
        <w:pStyle w:val="Question"/>
      </w:pPr>
      <w:r>
        <w:t>20. What does normalization do?</w:t>
      </w:r>
    </w:p>
    <w:p>
      <w:r>
        <w:rPr>
          <w:b/>
        </w:rPr>
        <w:t xml:space="preserve">Answer  </w:t>
      </w:r>
      <w:r>
        <w:t>L2 normalization scales each embedding to unit length. It allows inner product to represent cosine similarity. Both stored document embeddings and query embeddings must be normalized consistently.</w:t>
      </w:r>
    </w:p>
    <w:p>
      <w:pPr>
        <w:pStyle w:val="Question"/>
      </w:pPr>
      <w:r>
        <w:t>21. Why expand a retrieved chunk to a full Article?</w:t>
      </w:r>
    </w:p>
    <w:p>
      <w:r>
        <w:rPr>
          <w:b/>
        </w:rPr>
        <w:t xml:space="preserve">Answer  </w:t>
      </w:r>
      <w:r>
        <w:t>One chunk may contain only half an obligation or miss an exception in the same Article. Expanding selected unique sections provides broader context. The drawback is more tokens and possible truncation under the context cap.</w:t>
      </w:r>
    </w:p>
    <w:p>
      <w:pPr>
        <w:pStyle w:val="Question"/>
      </w:pPr>
      <w:r>
        <w:t>22. Why choose top three unique sections for expansion?</w:t>
      </w:r>
    </w:p>
    <w:p>
      <w:r>
        <w:rPr>
          <w:b/>
        </w:rPr>
        <w:t xml:space="preserve">Answer  </w:t>
      </w:r>
      <w:r>
        <w:t>It balances relevance and context size: the initial top-five search identifies candidates, then the highest-ranked distinct sections are expanded. This is a heuristic, not an optimal setting; I would tune it with a larger evaluation set.</w:t>
      </w:r>
    </w:p>
    <w:p>
      <w:pPr>
        <w:pStyle w:val="Question"/>
      </w:pPr>
      <w:r>
        <w:t>23. What is the role of Groq?</w:t>
      </w:r>
    </w:p>
    <w:p>
      <w:r>
        <w:rPr>
          <w:b/>
        </w:rPr>
        <w:t xml:space="preserve">Answer  </w:t>
      </w:r>
      <w:r>
        <w:t>Groq provides the hosted inference API used to run the generation model. It is separate from FAISS and the embedding model. The LLM writes an answer using the retrieved passages; FAISS does not generate text.</w:t>
      </w:r>
    </w:p>
    <w:p>
      <w:pPr>
        <w:pStyle w:val="Question"/>
      </w:pPr>
      <w:r>
        <w:t>24. What happens when a user asks something outside the PDF?</w:t>
      </w:r>
    </w:p>
    <w:p>
      <w:r>
        <w:rPr>
          <w:b/>
        </w:rPr>
        <w:t xml:space="preserve">Answer  </w:t>
      </w:r>
      <w:r>
        <w:t>The safe intended behavior is to say the document does not provide enough evidence rather than inventing an answer. A production system should add a retrieval-confidence/answerability check and test out-of-scope questions; I would not claim this is fully solved yet.</w:t>
      </w:r>
    </w:p>
    <w:p>
      <w:pPr>
        <w:pStyle w:val="Question"/>
      </w:pPr>
      <w:r>
        <w:t>25. What is the difference between a retrieved chunk and the final answer?</w:t>
      </w:r>
    </w:p>
    <w:p>
      <w:r>
        <w:rPr>
          <w:b/>
        </w:rPr>
        <w:t xml:space="preserve">Answer  </w:t>
      </w:r>
      <w:r>
        <w:t>A chunk is source text selected by search. The final answer is generated language that summarizes or interprets that text. Even with a correct chunk, the final answer can omit qualifications or add unsupported claims.</w:t>
      </w:r>
    </w:p>
    <w:p>
      <w:pPr>
        <w:pStyle w:val="Heading1"/>
      </w:pPr>
      <w:r>
        <w:t>PART 3  |  Evaluation and interpreting results</w:t>
      </w:r>
    </w:p>
    <w:tbl>
      <w:tblPr>
        <w:tblStyle w:val="LightShading-Accent1"/>
        <w:tblW w:type="auto" w:w="0"/>
        <w:jc w:val="center"/>
        <w:tblLook w:firstColumn="1" w:firstRow="1" w:lastColumn="0" w:lastRow="0" w:noHBand="0" w:noVBand="1" w:val="04A0"/>
      </w:tblPr>
      <w:tblGrid>
        <w:gridCol w:w="3293"/>
        <w:gridCol w:w="3293"/>
        <w:gridCol w:w="3293"/>
      </w:tblGrid>
      <w:tr>
        <w:trPr>
          <w:tblHeader w:val="true"/>
        </w:trPr>
        <w:tc>
          <w:tcPr>
            <w:tcW w:type="dxa" w:w="2880"/>
            <w:vAlign w:val="center"/>
          </w:tcPr>
          <w:p>
            <w:pPr>
              <w:spacing w:after="60"/>
            </w:pPr>
            <w:r>
              <w:rPr>
                <w:b/>
                <w:color w:val="142640"/>
                <w:sz w:val="16"/>
              </w:rPr>
              <w:t>Metric</w:t>
            </w:r>
          </w:p>
        </w:tc>
        <w:tc>
          <w:tcPr>
            <w:tcW w:type="dxa" w:w="3024"/>
            <w:vAlign w:val="center"/>
          </w:tcPr>
          <w:p>
            <w:pPr>
              <w:spacing w:after="60"/>
            </w:pPr>
            <w:r>
              <w:rPr>
                <w:b/>
                <w:color w:val="142640"/>
                <w:sz w:val="16"/>
              </w:rPr>
              <w:t>MiniLM</w:t>
            </w:r>
          </w:p>
        </w:tc>
        <w:tc>
          <w:tcPr>
            <w:tcW w:type="dxa" w:w="3024"/>
            <w:vAlign w:val="center"/>
          </w:tcPr>
          <w:p>
            <w:pPr>
              <w:spacing w:after="60"/>
            </w:pPr>
            <w:r>
              <w:rPr>
                <w:b/>
                <w:color w:val="142640"/>
                <w:sz w:val="16"/>
              </w:rPr>
              <w:t>BGE</w:t>
            </w:r>
          </w:p>
        </w:tc>
      </w:tr>
      <w:tr>
        <w:tc>
          <w:tcPr>
            <w:tcW w:type="dxa" w:w="2880"/>
            <w:vAlign w:val="center"/>
          </w:tcPr>
          <w:p>
            <w:pPr>
              <w:spacing w:after="60"/>
            </w:pPr>
            <w:r>
              <w:rPr>
                <w:sz w:val="16"/>
              </w:rPr>
              <w:t>Hit@1</w:t>
            </w:r>
          </w:p>
        </w:tc>
        <w:tc>
          <w:tcPr>
            <w:tcW w:type="dxa" w:w="3024"/>
            <w:vAlign w:val="center"/>
          </w:tcPr>
          <w:p>
            <w:pPr>
              <w:spacing w:after="60"/>
            </w:pPr>
            <w:r>
              <w:rPr>
                <w:sz w:val="16"/>
              </w:rPr>
              <w:t>9/12 = 75%</w:t>
            </w:r>
          </w:p>
        </w:tc>
        <w:tc>
          <w:tcPr>
            <w:tcW w:type="dxa" w:w="3024"/>
            <w:vAlign w:val="center"/>
          </w:tcPr>
          <w:p>
            <w:pPr>
              <w:spacing w:after="60"/>
            </w:pPr>
            <w:r>
              <w:rPr>
                <w:sz w:val="16"/>
              </w:rPr>
              <w:t>9/12 = 75%</w:t>
            </w:r>
          </w:p>
        </w:tc>
      </w:tr>
      <w:tr>
        <w:tc>
          <w:tcPr>
            <w:tcW w:type="dxa" w:w="2880"/>
            <w:vAlign w:val="center"/>
          </w:tcPr>
          <w:p>
            <w:pPr>
              <w:spacing w:after="60"/>
            </w:pPr>
            <w:r>
              <w:rPr>
                <w:sz w:val="16"/>
              </w:rPr>
              <w:t>Hit@3</w:t>
            </w:r>
          </w:p>
        </w:tc>
        <w:tc>
          <w:tcPr>
            <w:tcW w:type="dxa" w:w="3024"/>
            <w:vAlign w:val="center"/>
          </w:tcPr>
          <w:p>
            <w:pPr>
              <w:spacing w:after="60"/>
            </w:pPr>
            <w:r>
              <w:rPr>
                <w:sz w:val="16"/>
              </w:rPr>
              <w:t>9/12 = 75%</w:t>
            </w:r>
          </w:p>
        </w:tc>
        <w:tc>
          <w:tcPr>
            <w:tcW w:type="dxa" w:w="3024"/>
            <w:vAlign w:val="center"/>
          </w:tcPr>
          <w:p>
            <w:pPr>
              <w:spacing w:after="60"/>
            </w:pPr>
            <w:r>
              <w:rPr>
                <w:sz w:val="16"/>
              </w:rPr>
              <w:t>12/12 = 100%</w:t>
            </w:r>
          </w:p>
        </w:tc>
      </w:tr>
      <w:tr>
        <w:tc>
          <w:tcPr>
            <w:tcW w:type="dxa" w:w="2880"/>
            <w:vAlign w:val="center"/>
          </w:tcPr>
          <w:p>
            <w:pPr>
              <w:spacing w:after="60"/>
            </w:pPr>
            <w:r>
              <w:rPr>
                <w:sz w:val="16"/>
              </w:rPr>
              <w:t>Hit@5</w:t>
            </w:r>
          </w:p>
        </w:tc>
        <w:tc>
          <w:tcPr>
            <w:tcW w:type="dxa" w:w="3024"/>
            <w:vAlign w:val="center"/>
          </w:tcPr>
          <w:p>
            <w:pPr>
              <w:spacing w:after="60"/>
            </w:pPr>
            <w:r>
              <w:rPr>
                <w:sz w:val="16"/>
              </w:rPr>
              <w:t>10/12 = 83.3%</w:t>
            </w:r>
          </w:p>
        </w:tc>
        <w:tc>
          <w:tcPr>
            <w:tcW w:type="dxa" w:w="3024"/>
            <w:vAlign w:val="center"/>
          </w:tcPr>
          <w:p>
            <w:pPr>
              <w:spacing w:after="60"/>
            </w:pPr>
            <w:r>
              <w:rPr>
                <w:sz w:val="16"/>
              </w:rPr>
              <w:t>12/12 = 100%</w:t>
            </w:r>
          </w:p>
        </w:tc>
      </w:tr>
    </w:tbl>
    <w:p/>
    <w:p>
      <w:r>
        <w:t>These figures are from a small set of 12 manually curated questions. They describe retrieval on that test set, not production accuracy.</w:t>
      </w:r>
    </w:p>
    <w:p>
      <w:pPr>
        <w:pStyle w:val="Question"/>
      </w:pPr>
      <w:r>
        <w:t>26. What is Hit@k?</w:t>
      </w:r>
    </w:p>
    <w:p>
      <w:r>
        <w:rPr>
          <w:b/>
        </w:rPr>
        <w:t xml:space="preserve">Answer  </w:t>
      </w:r>
      <w:r>
        <w:t>For each question, Hit@k = 1 if the expected Article appears among the top k retrieved results, otherwise 0. Average those hits over all questions. Example: 9 correct out of 12 at top three gives Hit@3 = 75%.</w:t>
      </w:r>
    </w:p>
    <w:p>
      <w:pPr>
        <w:pStyle w:val="Question"/>
      </w:pPr>
      <w:r>
        <w:t>27. Why is Hit@1 equal for both models but Hit@3 different?</w:t>
      </w:r>
    </w:p>
    <w:p>
      <w:r>
        <w:rPr>
          <w:b/>
        </w:rPr>
        <w:t xml:space="preserve">Answer  </w:t>
      </w:r>
      <w:r>
        <w:t>Both models ranked the expected Article first for nine questions. For the remaining questions, BGE more often placed the correct Article in ranks two or three. This suggests better candidate coverage, not necessarily better top-rank precision.</w:t>
      </w:r>
    </w:p>
    <w:p>
      <w:pPr>
        <w:pStyle w:val="Question"/>
      </w:pPr>
      <w:r>
        <w:t>28. Does 12/12 Hit@3 mean the chatbot is 100% accurate?</w:t>
      </w:r>
    </w:p>
    <w:p>
      <w:r>
        <w:rPr>
          <w:b/>
        </w:rPr>
        <w:t xml:space="preserve">Answer  </w:t>
      </w:r>
      <w:r>
        <w:t>No. It means the expected Article was among the first three retrieved results for all 12 curated questions. It says nothing by itself about whether the generated response correctly interprets the law, cites exceptions or avoids invented claims.</w:t>
      </w:r>
    </w:p>
    <w:p>
      <w:pPr>
        <w:pStyle w:val="Question"/>
      </w:pPr>
      <w:r>
        <w:t>29. What did your end-to-end evaluation check?</w:t>
      </w:r>
    </w:p>
    <w:p>
      <w:r>
        <w:rPr>
          <w:b/>
        </w:rPr>
        <w:t xml:space="preserve">Answer  </w:t>
      </w:r>
      <w:r>
        <w:t>It checked whether the expected Article was present in the supplied LLM context and mentioned in the generated answer. The recorded runs showed 12/12 on both checks. These are coverage/mention checks, not a human-rated factual correctness score.</w:t>
      </w:r>
    </w:p>
    <w:p>
      <w:pPr>
        <w:pStyle w:val="Question"/>
      </w:pPr>
      <w:r>
        <w:t>30. What is a weakness of the current evaluation?</w:t>
      </w:r>
    </w:p>
    <w:p>
      <w:r>
        <w:rPr>
          <w:b/>
        </w:rPr>
        <w:t xml:space="preserve">Answer  </w:t>
      </w:r>
      <w:r>
        <w:t>The test has only 12 manually curated questions, and some recorded outcomes were resumed from earlier runs before the context-cap change. The results should not be presented as a clean, independently repeated benchmark of one frozen pipeline version.</w:t>
      </w:r>
    </w:p>
    <w:p>
      <w:pPr>
        <w:pStyle w:val="Question"/>
      </w:pPr>
      <w:r>
        <w:t>31. How would you evaluate answer quality more rigorously?</w:t>
      </w:r>
    </w:p>
    <w:p>
      <w:r>
        <w:rPr>
          <w:b/>
        </w:rPr>
        <w:t xml:space="preserve">Answer  </w:t>
      </w:r>
      <w:r>
        <w:t>Build a larger held-out question set with gold source spans and human-reviewed answers. Measure retrieval recall, source faithfulness, answer correctness, citation accuracy, refusal behavior, latency and cost. Include tricky multi-Article and out-of-scope questions.</w:t>
      </w:r>
    </w:p>
    <w:p>
      <w:pPr>
        <w:pStyle w:val="Question"/>
      </w:pPr>
      <w:r>
        <w:t>32. What is precision versus recall in retrieval?</w:t>
      </w:r>
    </w:p>
    <w:p>
      <w:r>
        <w:rPr>
          <w:b/>
        </w:rPr>
        <w:t xml:space="preserve">Answer  </w:t>
      </w:r>
      <w:r>
        <w:t>Precision asks how many retrieved items are relevant; recall asks how much of the relevant information was found. In legal RAG, missing an important exception is a recall problem, while too many unrelated Articles is a precision problem.</w:t>
      </w:r>
    </w:p>
    <w:p>
      <w:pPr>
        <w:pStyle w:val="Question"/>
      </w:pPr>
      <w:r>
        <w:t>33. What is MRR?</w:t>
      </w:r>
    </w:p>
    <w:p>
      <w:r>
        <w:rPr>
          <w:b/>
        </w:rPr>
        <w:t xml:space="preserve">Answer  </w:t>
      </w:r>
      <w:r>
        <w:t>Mean Reciprocal Rank rewards placing the first relevant result near the top. A correct Article at rank 1 gets 1, rank 2 gets 1/2, and rank 3 gets 1/3. MRR could complement Hit@k when comparing embeddings.</w:t>
      </w:r>
    </w:p>
    <w:p>
      <w:pPr>
        <w:pStyle w:val="Question"/>
      </w:pPr>
      <w:r>
        <w:t>34. What is evaluation leakage or overfitting?</w:t>
      </w:r>
    </w:p>
    <w:p>
      <w:r>
        <w:rPr>
          <w:b/>
        </w:rPr>
        <w:t xml:space="preserve">Answer  </w:t>
      </w:r>
      <w:r>
        <w:t>If I repeatedly tune model and retrieval settings against the same 12 questions, I may overfit to that set. A separate held-out test set and versioned experiments would give more credible evidence of generalization.</w:t>
      </w:r>
    </w:p>
    <w:p>
      <w:pPr>
        <w:pStyle w:val="Heading1"/>
      </w:pPr>
      <w:r>
        <w:t>PART 4  |  Engineering, reliability and security</w:t>
      </w:r>
    </w:p>
    <w:p>
      <w:pPr>
        <w:pStyle w:val="Question"/>
      </w:pPr>
      <w:r>
        <w:t>35. What was the biggest engineering challenge?</w:t>
      </w:r>
    </w:p>
    <w:p>
      <w:r>
        <w:rPr>
          <w:b/>
        </w:rPr>
        <w:t xml:space="preserve">Answer  </w:t>
      </w:r>
      <w:r>
        <w:t>API rate limits and token usage during repeated evaluations. I added retries and resumable saved results so that a temporary failure would not require starting the entire evaluation again. The lesson was to make experiments reproducible and failure-tolerant.</w:t>
      </w:r>
    </w:p>
    <w:p>
      <w:pPr>
        <w:pStyle w:val="Question"/>
      </w:pPr>
      <w:r>
        <w:t>36. What is an HTTP 429 error?</w:t>
      </w:r>
    </w:p>
    <w:p>
      <w:r>
        <w:rPr>
          <w:b/>
        </w:rPr>
        <w:t xml:space="preserve">Answer  </w:t>
      </w:r>
      <w:r>
        <w:t>It means too many requests or too much token usage for the current API limits. Good handling includes respecting retry-after guidance, exponential backoff, limiting concurrency and reducing unnecessary prompt length.</w:t>
      </w:r>
    </w:p>
    <w:p>
      <w:pPr>
        <w:pStyle w:val="Question"/>
      </w:pPr>
      <w:r>
        <w:t>37. What if the LLM API is down?</w:t>
      </w:r>
    </w:p>
    <w:p>
      <w:r>
        <w:rPr>
          <w:b/>
        </w:rPr>
        <w:t xml:space="preserve">Answer  </w:t>
      </w:r>
      <w:r>
        <w:t>The retriever can still return relevant Articles, but answer generation is unavailable. In a production design, I would show a clear error or source-only fallback, log the failure and retry safely. I would not silently invent a response.</w:t>
      </w:r>
    </w:p>
    <w:p>
      <w:pPr>
        <w:pStyle w:val="Question"/>
      </w:pPr>
      <w:r>
        <w:t>38. How would you reduce latency and cost?</w:t>
      </w:r>
    </w:p>
    <w:p>
      <w:r>
        <w:rPr>
          <w:b/>
        </w:rPr>
        <w:t xml:space="preserve">Answer  </w:t>
      </w:r>
      <w:r>
        <w:t>Cache document embeddings and the index, avoid reprocessing the PDF for each question, limit retrieved context, monitor token usage and cache repeated safe queries. Benchmark any optimization against answer quality, because shorter prompts can omit important details.</w:t>
      </w:r>
    </w:p>
    <w:p>
      <w:pPr>
        <w:pStyle w:val="Question"/>
      </w:pPr>
      <w:r>
        <w:t>39. What is prompt injection in a RAG system?</w:t>
      </w:r>
    </w:p>
    <w:p>
      <w:r>
        <w:rPr>
          <w:b/>
        </w:rPr>
        <w:t xml:space="preserve">Answer  </w:t>
      </w:r>
      <w:r>
        <w:t>Malicious or misleading text inside retrieved content may try to override the assistant’s instructions. Treat retrieved documents as untrusted data, separate system instructions from source text, restrict tool permissions and test adversarial examples.</w:t>
      </w:r>
    </w:p>
    <w:p>
      <w:pPr>
        <w:pStyle w:val="Question"/>
      </w:pPr>
      <w:r>
        <w:t>40. How did you handle secrets?</w:t>
      </w:r>
    </w:p>
    <w:p>
      <w:r>
        <w:rPr>
          <w:b/>
        </w:rPr>
        <w:t xml:space="preserve">Answer  </w:t>
      </w:r>
      <w:r>
        <w:t>The Groq API key was stored in a local .env file and excluded from Git using .gitignore. In production I would use a secret manager, rotate exposed credentials and avoid printing secrets in logs.</w:t>
      </w:r>
    </w:p>
    <w:p>
      <w:pPr>
        <w:pStyle w:val="Question"/>
      </w:pPr>
      <w:r>
        <w:t>41. How would you keep the EU AI Act up to date?</w:t>
      </w:r>
    </w:p>
    <w:p>
      <w:r>
        <w:rPr>
          <w:b/>
        </w:rPr>
        <w:t xml:space="preserve">Answer  </w:t>
      </w:r>
      <w:r>
        <w:t>Track the official source version, re-extract and re-index when the source changes, record document dates, and show the version used for each answer. Legal updates should trigger regression tests; old answers should not be silently treated as current.</w:t>
      </w:r>
    </w:p>
    <w:p>
      <w:pPr>
        <w:pStyle w:val="Question"/>
      </w:pPr>
      <w:r>
        <w:t>42. How would you add citations to exact passages?</w:t>
      </w:r>
    </w:p>
    <w:p>
      <w:r>
        <w:rPr>
          <w:b/>
        </w:rPr>
        <w:t xml:space="preserve">Answer  </w:t>
      </w:r>
      <w:r>
        <w:t>Store Article ID, heading, chunk ID, source URL and page/section metadata alongside embeddings. Return cited spans with answers and verify each claim against those spans. Article mentions alone are weaker than precise citations.</w:t>
      </w:r>
    </w:p>
    <w:p>
      <w:pPr>
        <w:pStyle w:val="Question"/>
      </w:pPr>
      <w:r>
        <w:t>43. What would you monitor in production?</w:t>
      </w:r>
    </w:p>
    <w:p>
      <w:r>
        <w:rPr>
          <w:b/>
        </w:rPr>
        <w:t xml:space="preserve">Answer  </w:t>
      </w:r>
      <w:r>
        <w:t>Query latency, retrieval scores, API errors, token cost, citation coverage, user feedback, no-answer rate and drift after document updates. Logs should avoid storing sensitive questions unnecessarily.</w:t>
      </w:r>
    </w:p>
    <w:p>
      <w:r>
        <w:br w:type="page"/>
      </w:r>
    </w:p>
    <w:p>
      <w:pPr>
        <w:pStyle w:val="Heading1"/>
      </w:pPr>
      <w:r>
        <w:t>PART 5  |  Design choices: pros and cons</w:t>
      </w:r>
    </w:p>
    <w:tbl>
      <w:tblPr>
        <w:tblStyle w:val="LightShading-Accent1"/>
        <w:tblW w:type="auto" w:w="0"/>
        <w:jc w:val="center"/>
        <w:tblLook w:firstColumn="1" w:firstRow="1" w:lastColumn="0" w:lastRow="0" w:noHBand="0" w:noVBand="1" w:val="04A0"/>
      </w:tblPr>
      <w:tblGrid>
        <w:gridCol w:w="3293"/>
        <w:gridCol w:w="3293"/>
        <w:gridCol w:w="3293"/>
      </w:tblGrid>
      <w:tr>
        <w:trPr>
          <w:tblHeader w:val="true"/>
        </w:trPr>
        <w:tc>
          <w:tcPr>
            <w:tcW w:type="dxa" w:w="1872"/>
            <w:vAlign w:val="center"/>
          </w:tcPr>
          <w:p>
            <w:pPr>
              <w:spacing w:after="60"/>
            </w:pPr>
            <w:r>
              <w:rPr>
                <w:b/>
                <w:color w:val="142640"/>
                <w:sz w:val="16"/>
              </w:rPr>
              <w:t>Choice</w:t>
            </w:r>
          </w:p>
        </w:tc>
        <w:tc>
          <w:tcPr>
            <w:tcW w:type="dxa" w:w="3816"/>
            <w:vAlign w:val="center"/>
          </w:tcPr>
          <w:p>
            <w:pPr>
              <w:spacing w:after="60"/>
            </w:pPr>
            <w:r>
              <w:rPr>
                <w:b/>
                <w:color w:val="142640"/>
                <w:sz w:val="16"/>
              </w:rPr>
              <w:t>Advantages</w:t>
            </w:r>
          </w:p>
        </w:tc>
        <w:tc>
          <w:tcPr>
            <w:tcW w:type="dxa" w:w="3888"/>
            <w:vAlign w:val="center"/>
          </w:tcPr>
          <w:p>
            <w:pPr>
              <w:spacing w:after="60"/>
            </w:pPr>
            <w:r>
              <w:rPr>
                <w:b/>
                <w:color w:val="142640"/>
                <w:sz w:val="16"/>
              </w:rPr>
              <w:t>Limitations / risks</w:t>
            </w:r>
          </w:p>
        </w:tc>
      </w:tr>
      <w:tr>
        <w:tc>
          <w:tcPr>
            <w:tcW w:type="dxa" w:w="1872"/>
            <w:vAlign w:val="center"/>
          </w:tcPr>
          <w:p>
            <w:pPr>
              <w:spacing w:after="60"/>
            </w:pPr>
            <w:r>
              <w:rPr>
                <w:sz w:val="16"/>
              </w:rPr>
              <w:t>RAG vs LLM-only</w:t>
            </w:r>
          </w:p>
        </w:tc>
        <w:tc>
          <w:tcPr>
            <w:tcW w:type="dxa" w:w="3816"/>
            <w:vAlign w:val="center"/>
          </w:tcPr>
          <w:p>
            <w:pPr>
              <w:spacing w:after="60"/>
            </w:pPr>
            <w:r>
              <w:rPr>
                <w:sz w:val="16"/>
              </w:rPr>
              <w:t>Source grounding; updates without retraining</w:t>
            </w:r>
          </w:p>
        </w:tc>
        <w:tc>
          <w:tcPr>
            <w:tcW w:type="dxa" w:w="3888"/>
            <w:vAlign w:val="center"/>
          </w:tcPr>
          <w:p>
            <w:pPr>
              <w:spacing w:after="60"/>
            </w:pPr>
            <w:r>
              <w:rPr>
                <w:sz w:val="16"/>
              </w:rPr>
              <w:t>Retrieval failures; hallucinations still possible</w:t>
            </w:r>
          </w:p>
        </w:tc>
      </w:tr>
      <w:tr>
        <w:tc>
          <w:tcPr>
            <w:tcW w:type="dxa" w:w="1872"/>
            <w:vAlign w:val="center"/>
          </w:tcPr>
          <w:p>
            <w:pPr>
              <w:spacing w:after="60"/>
            </w:pPr>
            <w:r>
              <w:rPr>
                <w:sz w:val="16"/>
              </w:rPr>
              <w:t>Article-aware chunks</w:t>
            </w:r>
          </w:p>
        </w:tc>
        <w:tc>
          <w:tcPr>
            <w:tcW w:type="dxa" w:w="3816"/>
            <w:vAlign w:val="center"/>
          </w:tcPr>
          <w:p>
            <w:pPr>
              <w:spacing w:after="60"/>
            </w:pPr>
            <w:r>
              <w:rPr>
                <w:sz w:val="16"/>
              </w:rPr>
              <w:t>Traceable legal sections; meaningful evaluation</w:t>
            </w:r>
          </w:p>
        </w:tc>
        <w:tc>
          <w:tcPr>
            <w:tcW w:type="dxa" w:w="3888"/>
            <w:vAlign w:val="center"/>
          </w:tcPr>
          <w:p>
            <w:pPr>
              <w:spacing w:after="60"/>
            </w:pPr>
            <w:r>
              <w:rPr>
                <w:sz w:val="16"/>
              </w:rPr>
              <w:t>Long Articles can be split; exceptions may cross sections</w:t>
            </w:r>
          </w:p>
        </w:tc>
      </w:tr>
      <w:tr>
        <w:tc>
          <w:tcPr>
            <w:tcW w:type="dxa" w:w="1872"/>
            <w:vAlign w:val="center"/>
          </w:tcPr>
          <w:p>
            <w:pPr>
              <w:spacing w:after="60"/>
            </w:pPr>
            <w:r>
              <w:rPr>
                <w:sz w:val="16"/>
              </w:rPr>
              <w:t>Dense embeddings</w:t>
            </w:r>
          </w:p>
        </w:tc>
        <w:tc>
          <w:tcPr>
            <w:tcW w:type="dxa" w:w="3816"/>
            <w:vAlign w:val="center"/>
          </w:tcPr>
          <w:p>
            <w:pPr>
              <w:spacing w:after="60"/>
            </w:pPr>
            <w:r>
              <w:rPr>
                <w:sz w:val="16"/>
              </w:rPr>
              <w:t>Finds semantic matches and paraphrases</w:t>
            </w:r>
          </w:p>
        </w:tc>
        <w:tc>
          <w:tcPr>
            <w:tcW w:type="dxa" w:w="3888"/>
            <w:vAlign w:val="center"/>
          </w:tcPr>
          <w:p>
            <w:pPr>
              <w:spacing w:after="60"/>
            </w:pPr>
            <w:r>
              <w:rPr>
                <w:sz w:val="16"/>
              </w:rPr>
              <w:t>Can miss exact legal terms or numbers</w:t>
            </w:r>
          </w:p>
        </w:tc>
      </w:tr>
      <w:tr>
        <w:tc>
          <w:tcPr>
            <w:tcW w:type="dxa" w:w="1872"/>
            <w:vAlign w:val="center"/>
          </w:tcPr>
          <w:p>
            <w:pPr>
              <w:spacing w:after="60"/>
            </w:pPr>
            <w:r>
              <w:rPr>
                <w:sz w:val="16"/>
              </w:rPr>
              <w:t>FAISS IndexFlatIP</w:t>
            </w:r>
          </w:p>
        </w:tc>
        <w:tc>
          <w:tcPr>
            <w:tcW w:type="dxa" w:w="3816"/>
            <w:vAlign w:val="center"/>
          </w:tcPr>
          <w:p>
            <w:pPr>
              <w:spacing w:after="60"/>
            </w:pPr>
            <w:r>
              <w:rPr>
                <w:sz w:val="16"/>
              </w:rPr>
              <w:t>Simple, exact, fast for small corpus</w:t>
            </w:r>
          </w:p>
        </w:tc>
        <w:tc>
          <w:tcPr>
            <w:tcW w:type="dxa" w:w="3888"/>
            <w:vAlign w:val="center"/>
          </w:tcPr>
          <w:p>
            <w:pPr>
              <w:spacing w:after="60"/>
            </w:pPr>
            <w:r>
              <w:rPr>
                <w:sz w:val="16"/>
              </w:rPr>
              <w:t>Not a full DB; scaling/metadata services require work</w:t>
            </w:r>
          </w:p>
        </w:tc>
      </w:tr>
      <w:tr>
        <w:tc>
          <w:tcPr>
            <w:tcW w:type="dxa" w:w="1872"/>
            <w:vAlign w:val="center"/>
          </w:tcPr>
          <w:p>
            <w:pPr>
              <w:spacing w:after="60"/>
            </w:pPr>
            <w:r>
              <w:rPr>
                <w:sz w:val="16"/>
              </w:rPr>
              <w:t>BGE over MiniLM</w:t>
            </w:r>
          </w:p>
        </w:tc>
        <w:tc>
          <w:tcPr>
            <w:tcW w:type="dxa" w:w="3816"/>
            <w:vAlign w:val="center"/>
          </w:tcPr>
          <w:p>
            <w:pPr>
              <w:spacing w:after="60"/>
            </w:pPr>
            <w:r>
              <w:rPr>
                <w:sz w:val="16"/>
              </w:rPr>
              <w:t>Higher Hit@3/5 on current test</w:t>
            </w:r>
          </w:p>
        </w:tc>
        <w:tc>
          <w:tcPr>
            <w:tcW w:type="dxa" w:w="3888"/>
            <w:vAlign w:val="center"/>
          </w:tcPr>
          <w:p>
            <w:pPr>
              <w:spacing w:after="60"/>
            </w:pPr>
            <w:r>
              <w:rPr>
                <w:sz w:val="16"/>
              </w:rPr>
              <w:t>Small curated sample; same Hit@1</w:t>
            </w:r>
          </w:p>
        </w:tc>
      </w:tr>
      <w:tr>
        <w:tc>
          <w:tcPr>
            <w:tcW w:type="dxa" w:w="1872"/>
            <w:vAlign w:val="center"/>
          </w:tcPr>
          <w:p>
            <w:pPr>
              <w:spacing w:after="60"/>
            </w:pPr>
            <w:r>
              <w:rPr>
                <w:sz w:val="16"/>
              </w:rPr>
              <w:t>Article expansion</w:t>
            </w:r>
          </w:p>
        </w:tc>
        <w:tc>
          <w:tcPr>
            <w:tcW w:type="dxa" w:w="3816"/>
            <w:vAlign w:val="center"/>
          </w:tcPr>
          <w:p>
            <w:pPr>
              <w:spacing w:after="60"/>
            </w:pPr>
            <w:r>
              <w:rPr>
                <w:sz w:val="16"/>
              </w:rPr>
              <w:t>More complete context</w:t>
            </w:r>
          </w:p>
        </w:tc>
        <w:tc>
          <w:tcPr>
            <w:tcW w:type="dxa" w:w="3888"/>
            <w:vAlign w:val="center"/>
          </w:tcPr>
          <w:p>
            <w:pPr>
              <w:spacing w:after="60"/>
            </w:pPr>
            <w:r>
              <w:rPr>
                <w:sz w:val="16"/>
              </w:rPr>
              <w:t>More tokens; risk of context truncation</w:t>
            </w:r>
          </w:p>
        </w:tc>
      </w:tr>
      <w:tr>
        <w:tc>
          <w:tcPr>
            <w:tcW w:type="dxa" w:w="1872"/>
            <w:vAlign w:val="center"/>
          </w:tcPr>
          <w:p>
            <w:pPr>
              <w:spacing w:after="60"/>
            </w:pPr>
            <w:r>
              <w:rPr>
                <w:sz w:val="16"/>
              </w:rPr>
              <w:t>Hosted Groq LLM</w:t>
            </w:r>
          </w:p>
        </w:tc>
        <w:tc>
          <w:tcPr>
            <w:tcW w:type="dxa" w:w="3816"/>
            <w:vAlign w:val="center"/>
          </w:tcPr>
          <w:p>
            <w:pPr>
              <w:spacing w:after="60"/>
            </w:pPr>
            <w:r>
              <w:rPr>
                <w:sz w:val="16"/>
              </w:rPr>
              <w:t>Easy inference integration</w:t>
            </w:r>
          </w:p>
        </w:tc>
        <w:tc>
          <w:tcPr>
            <w:tcW w:type="dxa" w:w="3888"/>
            <w:vAlign w:val="center"/>
          </w:tcPr>
          <w:p>
            <w:pPr>
              <w:spacing w:after="60"/>
            </w:pPr>
            <w:r>
              <w:rPr>
                <w:sz w:val="16"/>
              </w:rPr>
              <w:t>Rate limits, external dependency, privacy considerations</w:t>
            </w:r>
          </w:p>
        </w:tc>
      </w:tr>
      <w:tr>
        <w:tc>
          <w:tcPr>
            <w:tcW w:type="dxa" w:w="1872"/>
            <w:vAlign w:val="center"/>
          </w:tcPr>
          <w:p>
            <w:pPr>
              <w:spacing w:after="60"/>
            </w:pPr>
            <w:r>
              <w:rPr>
                <w:sz w:val="16"/>
              </w:rPr>
              <w:t>Rule-based Article mention checks</w:t>
            </w:r>
          </w:p>
        </w:tc>
        <w:tc>
          <w:tcPr>
            <w:tcW w:type="dxa" w:w="3816"/>
            <w:vAlign w:val="center"/>
          </w:tcPr>
          <w:p>
            <w:pPr>
              <w:spacing w:after="60"/>
            </w:pPr>
            <w:r>
              <w:rPr>
                <w:sz w:val="16"/>
              </w:rPr>
              <w:t>Cheap, repeatable initial signal</w:t>
            </w:r>
          </w:p>
        </w:tc>
        <w:tc>
          <w:tcPr>
            <w:tcW w:type="dxa" w:w="3888"/>
            <w:vAlign w:val="center"/>
          </w:tcPr>
          <w:p>
            <w:pPr>
              <w:spacing w:after="60"/>
            </w:pPr>
            <w:r>
              <w:rPr>
                <w:sz w:val="16"/>
              </w:rPr>
              <w:t>Cannot validate legal interpretation or factual correctness</w:t>
            </w:r>
          </w:p>
        </w:tc>
      </w:tr>
    </w:tbl>
    <w:p/>
    <w:p>
      <w:pPr>
        <w:pStyle w:val="Heading1"/>
      </w:pPr>
      <w:r>
        <w:t>PART 6  |  Technical manager scenario questions</w:t>
      </w:r>
    </w:p>
    <w:p>
      <w:pPr>
        <w:pStyle w:val="Question"/>
      </w:pPr>
      <w:r>
        <w:t>44. “Your system cites the correct Article but gives the wrong answer. What do you do?”</w:t>
      </w:r>
    </w:p>
    <w:p>
      <w:r>
        <w:rPr>
          <w:b/>
        </w:rPr>
        <w:t xml:space="preserve">Answer  </w:t>
      </w:r>
      <w:r>
        <w:t>First inspect the exact retrieved passage and generated response. Determine whether the error came from extraction, chunking, retrieval, truncated context or generation. Add the case to regression tests, tighten evidence requirements and consider claim-level citation verification. I would not hide the failure behind a retrieval metric.</w:t>
      </w:r>
    </w:p>
    <w:p>
      <w:pPr>
        <w:pStyle w:val="Question"/>
      </w:pPr>
      <w:r>
        <w:t>45. “Why not use ChatGPT directly to answer EU AI Act questions?”</w:t>
      </w:r>
    </w:p>
    <w:p>
      <w:r>
        <w:rPr>
          <w:b/>
        </w:rPr>
        <w:t xml:space="preserve">Answer  </w:t>
      </w:r>
      <w:r>
        <w:t>A general LLM may not know the correct version of the regulation and may invent legal references. My pipeline uses a defined source, retrievable passages and measurable retrieval behavior. But it still needs stronger factuality checks and clear version labeling before real legal use.</w:t>
      </w:r>
    </w:p>
    <w:p>
      <w:pPr>
        <w:pStyle w:val="Question"/>
      </w:pPr>
      <w:r>
        <w:t>46. “What would you do if you had one more week?”</w:t>
      </w:r>
    </w:p>
    <w:p>
      <w:r>
        <w:rPr>
          <w:b/>
        </w:rPr>
        <w:t xml:space="preserve">Answer  </w:t>
      </w:r>
      <w:r>
        <w:t>Prioritize a larger held-out evaluation set, exact source citations and no-answer tests. Then add hybrid keyword + semantic retrieval and a reranker, measuring whether they improve difficult questions without increasing cost too much.</w:t>
      </w:r>
    </w:p>
    <w:p>
      <w:pPr>
        <w:pStyle w:val="Question"/>
      </w:pPr>
      <w:r>
        <w:t>47. “What would change if you had 10 million chunks?”</w:t>
      </w:r>
    </w:p>
    <w:p>
      <w:r>
        <w:rPr>
          <w:b/>
        </w:rPr>
        <w:t xml:space="preserve">Answer  </w:t>
      </w:r>
      <w:r>
        <w:t>An exact flat index may become expensive in memory and query time. I would benchmark approximate nearest-neighbor indexes or managed vector infrastructure, shard data if needed, add metadata filtering and monitor recall versus latency.</w:t>
      </w:r>
    </w:p>
    <w:p>
      <w:pPr>
        <w:pStyle w:val="Question"/>
      </w:pPr>
      <w:r>
        <w:t>48. “How would you support Norwegian questions?”</w:t>
      </w:r>
    </w:p>
    <w:p>
      <w:r>
        <w:rPr>
          <w:b/>
        </w:rPr>
        <w:t xml:space="preserve">Answer  </w:t>
      </w:r>
      <w:r>
        <w:t>Test multilingual embedding models and retrieval quality on Norwegian-to-English questions, or translate the query carefully before retrieval. I would build a Norwegian test set and verify that translations preserve legal terminology.</w:t>
      </w:r>
    </w:p>
    <w:p>
      <w:pPr>
        <w:pStyle w:val="Question"/>
      </w:pPr>
      <w:r>
        <w:t>49. “What happens when Articles contradict or refer to other Articles?”</w:t>
      </w:r>
    </w:p>
    <w:p>
      <w:r>
        <w:rPr>
          <w:b/>
        </w:rPr>
        <w:t xml:space="preserve">Answer  </w:t>
      </w:r>
      <w:r>
        <w:t>The system should surface multiple relevant passages and preserve cross-references, exceptions and scope. Article-level expansion helps within a section, but multi-hop retrieval and source-aware reasoning would be needed for more complex legal interpretation.</w:t>
      </w:r>
    </w:p>
    <w:p>
      <w:pPr>
        <w:pStyle w:val="Question"/>
      </w:pPr>
      <w:r>
        <w:t>50. “What exactly did you build versus what would you build next?”</w:t>
      </w:r>
    </w:p>
    <w:p>
      <w:r>
        <w:rPr>
          <w:b/>
        </w:rPr>
        <w:t xml:space="preserve">Answer  </w:t>
      </w:r>
      <w:r>
        <w:t>Built: PDF extraction, cleaning, section-aware chunks, embeddings, FAISS search, context expansion, Groq answer generation, two operating modes, model comparison and basic evaluation/retry handling. Next: stronger factuality scoring, precise citations, hybrid retrieval, multilingual support, monitoring and deployment.</w:t>
      </w:r>
    </w:p>
    <w:p>
      <w:pPr>
        <w:pStyle w:val="Heading1"/>
      </w:pPr>
      <w:r>
        <w:t>PART 7  |  Real examples from your project</w:t>
      </w:r>
    </w:p>
    <w:tbl>
      <w:tblPr>
        <w:tblStyle w:val="LightShading-Accent1"/>
        <w:tblW w:type="auto" w:w="0"/>
        <w:jc w:val="center"/>
        <w:tblLook w:firstColumn="1" w:firstRow="1" w:lastColumn="0" w:lastRow="0" w:noHBand="0" w:noVBand="1" w:val="04A0"/>
      </w:tblPr>
      <w:tblGrid>
        <w:gridCol w:w="4939"/>
        <w:gridCol w:w="4939"/>
      </w:tblGrid>
      <w:tr>
        <w:trPr>
          <w:tblHeader w:val="true"/>
        </w:trPr>
        <w:tc>
          <w:tcPr>
            <w:tcW w:type="dxa" w:w="4104"/>
            <w:vAlign w:val="center"/>
          </w:tcPr>
          <w:p>
            <w:pPr>
              <w:spacing w:after="60"/>
            </w:pPr>
            <w:r>
              <w:rPr>
                <w:b/>
                <w:color w:val="142640"/>
                <w:sz w:val="16"/>
              </w:rPr>
              <w:t>User question</w:t>
            </w:r>
          </w:p>
        </w:tc>
        <w:tc>
          <w:tcPr>
            <w:tcW w:type="dxa" w:w="5472"/>
            <w:vAlign w:val="center"/>
          </w:tcPr>
          <w:p>
            <w:pPr>
              <w:spacing w:after="60"/>
            </w:pPr>
            <w:r>
              <w:rPr>
                <w:b/>
                <w:color w:val="142640"/>
                <w:sz w:val="16"/>
              </w:rPr>
              <w:t>Retrieved evidence / lesson</w:t>
            </w:r>
          </w:p>
        </w:tc>
      </w:tr>
      <w:tr>
        <w:tc>
          <w:tcPr>
            <w:tcW w:type="dxa" w:w="4104"/>
            <w:vAlign w:val="center"/>
          </w:tcPr>
          <w:p>
            <w:pPr>
              <w:spacing w:after="60"/>
            </w:pPr>
            <w:r>
              <w:rPr>
                <w:sz w:val="16"/>
              </w:rPr>
              <w:t>Article 15: accuracy, robustness, cybersecurity</w:t>
            </w:r>
          </w:p>
        </w:tc>
        <w:tc>
          <w:tcPr>
            <w:tcW w:type="dxa" w:w="5472"/>
            <w:vAlign w:val="center"/>
          </w:tcPr>
          <w:p>
            <w:pPr>
              <w:spacing w:after="60"/>
            </w:pPr>
            <w:r>
              <w:rPr>
                <w:sz w:val="16"/>
              </w:rPr>
              <w:t>Article 15 was the top retrieved result (similarity around 0.8835). Shows direct Article retrieval.</w:t>
            </w:r>
          </w:p>
        </w:tc>
      </w:tr>
      <w:tr>
        <w:tc>
          <w:tcPr>
            <w:tcW w:type="dxa" w:w="4104"/>
            <w:vAlign w:val="center"/>
          </w:tcPr>
          <w:p>
            <w:pPr>
              <w:spacing w:after="60"/>
            </w:pPr>
            <w:r>
              <w:rPr>
                <w:sz w:val="16"/>
              </w:rPr>
              <w:t>Article 50: transparency for people/synthetic content</w:t>
            </w:r>
          </w:p>
        </w:tc>
        <w:tc>
          <w:tcPr>
            <w:tcW w:type="dxa" w:w="5472"/>
            <w:vAlign w:val="center"/>
          </w:tcPr>
          <w:p>
            <w:pPr>
              <w:spacing w:after="60"/>
            </w:pPr>
            <w:r>
              <w:rPr>
                <w:sz w:val="16"/>
              </w:rPr>
              <w:t>Article 50 was top (around 0.8434); related Articles also appeared. Shows semantic matching plus possible context noise.</w:t>
            </w:r>
          </w:p>
        </w:tc>
      </w:tr>
      <w:tr>
        <w:tc>
          <w:tcPr>
            <w:tcW w:type="dxa" w:w="4104"/>
            <w:vAlign w:val="center"/>
          </w:tcPr>
          <w:p>
            <w:pPr>
              <w:spacing w:after="60"/>
            </w:pPr>
            <w:r>
              <w:rPr>
                <w:sz w:val="16"/>
              </w:rPr>
              <w:t>Article 53: obligations for general-purpose AI model providers</w:t>
            </w:r>
          </w:p>
        </w:tc>
        <w:tc>
          <w:tcPr>
            <w:tcW w:type="dxa" w:w="5472"/>
            <w:vAlign w:val="center"/>
          </w:tcPr>
          <w:p>
            <w:pPr>
              <w:spacing w:after="60"/>
            </w:pPr>
            <w:r>
              <w:rPr>
                <w:sz w:val="16"/>
              </w:rPr>
              <w:t>Article 53 was top (around 0.8766), with Articles 54 and 55 also retrieved. Good example of related obligations and the need to distinguish general duties from systemic-risk duties.</w:t>
            </w:r>
          </w:p>
        </w:tc>
      </w:tr>
    </w:tbl>
    <w:p/>
    <w:p>
      <w:r>
        <w:t>Interview caution: Article 55 addresses additional obligations for general-purpose AI models with systemic risk. Do not imply all Article 55 obligations apply to every general-purpose model. The chatbot is a research aid, not legal advice.</w:t>
      </w:r>
    </w:p>
    <w:p>
      <w:pPr>
        <w:pStyle w:val="Heading1"/>
      </w:pPr>
      <w:r>
        <w:t>PART 8  |  Rapid-fire glossary</w:t>
      </w:r>
    </w:p>
    <w:tbl>
      <w:tblPr>
        <w:tblStyle w:val="LightShading-Accent1"/>
        <w:tblW w:type="auto" w:w="0"/>
        <w:jc w:val="center"/>
        <w:tblLook w:firstColumn="1" w:firstRow="1" w:lastColumn="0" w:lastRow="0" w:noHBand="0" w:noVBand="1" w:val="04A0"/>
      </w:tblPr>
      <w:tblGrid>
        <w:gridCol w:w="4939"/>
        <w:gridCol w:w="4939"/>
      </w:tblGrid>
      <w:tr>
        <w:trPr>
          <w:tblHeader w:val="true"/>
        </w:trPr>
        <w:tc>
          <w:tcPr>
            <w:tcW w:type="dxa" w:w="2016"/>
            <w:vAlign w:val="center"/>
          </w:tcPr>
          <w:p>
            <w:pPr>
              <w:spacing w:after="60"/>
            </w:pPr>
            <w:r>
              <w:rPr>
                <w:b/>
                <w:color w:val="142640"/>
                <w:sz w:val="16"/>
              </w:rPr>
              <w:t>Term</w:t>
            </w:r>
          </w:p>
        </w:tc>
        <w:tc>
          <w:tcPr>
            <w:tcW w:type="dxa" w:w="7560"/>
            <w:vAlign w:val="center"/>
          </w:tcPr>
          <w:p>
            <w:pPr>
              <w:spacing w:after="60"/>
            </w:pPr>
            <w:r>
              <w:rPr>
                <w:b/>
                <w:color w:val="142640"/>
                <w:sz w:val="16"/>
              </w:rPr>
              <w:t>Plain-English definition</w:t>
            </w:r>
          </w:p>
        </w:tc>
      </w:tr>
      <w:tr>
        <w:tc>
          <w:tcPr>
            <w:tcW w:type="dxa" w:w="2016"/>
            <w:vAlign w:val="center"/>
          </w:tcPr>
          <w:p>
            <w:pPr>
              <w:spacing w:after="60"/>
            </w:pPr>
            <w:r>
              <w:rPr>
                <w:sz w:val="16"/>
              </w:rPr>
              <w:t>LLM</w:t>
            </w:r>
          </w:p>
        </w:tc>
        <w:tc>
          <w:tcPr>
            <w:tcW w:type="dxa" w:w="7560"/>
            <w:vAlign w:val="center"/>
          </w:tcPr>
          <w:p>
            <w:pPr>
              <w:spacing w:after="60"/>
            </w:pPr>
            <w:r>
              <w:rPr>
                <w:sz w:val="16"/>
              </w:rPr>
              <w:t>Large language model that generates language from a prompt.</w:t>
            </w:r>
          </w:p>
        </w:tc>
      </w:tr>
      <w:tr>
        <w:tc>
          <w:tcPr>
            <w:tcW w:type="dxa" w:w="2016"/>
            <w:vAlign w:val="center"/>
          </w:tcPr>
          <w:p>
            <w:pPr>
              <w:spacing w:after="60"/>
            </w:pPr>
            <w:r>
              <w:rPr>
                <w:sz w:val="16"/>
              </w:rPr>
              <w:t>Token</w:t>
            </w:r>
          </w:p>
        </w:tc>
        <w:tc>
          <w:tcPr>
            <w:tcW w:type="dxa" w:w="7560"/>
            <w:vAlign w:val="center"/>
          </w:tcPr>
          <w:p>
            <w:pPr>
              <w:spacing w:after="60"/>
            </w:pPr>
            <w:r>
              <w:rPr>
                <w:sz w:val="16"/>
              </w:rPr>
              <w:t>A model-specific unit of text used in input/output accounting.</w:t>
            </w:r>
          </w:p>
        </w:tc>
      </w:tr>
      <w:tr>
        <w:tc>
          <w:tcPr>
            <w:tcW w:type="dxa" w:w="2016"/>
            <w:vAlign w:val="center"/>
          </w:tcPr>
          <w:p>
            <w:pPr>
              <w:spacing w:after="60"/>
            </w:pPr>
            <w:r>
              <w:rPr>
                <w:sz w:val="16"/>
              </w:rPr>
              <w:t>Embedding</w:t>
            </w:r>
          </w:p>
        </w:tc>
        <w:tc>
          <w:tcPr>
            <w:tcW w:type="dxa" w:w="7560"/>
            <w:vAlign w:val="center"/>
          </w:tcPr>
          <w:p>
            <w:pPr>
              <w:spacing w:after="60"/>
            </w:pPr>
            <w:r>
              <w:rPr>
                <w:sz w:val="16"/>
              </w:rPr>
              <w:t>Dense numeric vector representing text.</w:t>
            </w:r>
          </w:p>
        </w:tc>
      </w:tr>
      <w:tr>
        <w:tc>
          <w:tcPr>
            <w:tcW w:type="dxa" w:w="2016"/>
            <w:vAlign w:val="center"/>
          </w:tcPr>
          <w:p>
            <w:pPr>
              <w:spacing w:after="60"/>
            </w:pPr>
            <w:r>
              <w:rPr>
                <w:sz w:val="16"/>
              </w:rPr>
              <w:t>Bi-encoder</w:t>
            </w:r>
          </w:p>
        </w:tc>
        <w:tc>
          <w:tcPr>
            <w:tcW w:type="dxa" w:w="7560"/>
            <w:vAlign w:val="center"/>
          </w:tcPr>
          <w:p>
            <w:pPr>
              <w:spacing w:after="60"/>
            </w:pPr>
            <w:r>
              <w:rPr>
                <w:sz w:val="16"/>
              </w:rPr>
              <w:t>Encodes queries and passages separately for efficient similarity search.</w:t>
            </w:r>
          </w:p>
        </w:tc>
      </w:tr>
      <w:tr>
        <w:tc>
          <w:tcPr>
            <w:tcW w:type="dxa" w:w="2016"/>
            <w:vAlign w:val="center"/>
          </w:tcPr>
          <w:p>
            <w:pPr>
              <w:spacing w:after="60"/>
            </w:pPr>
            <w:r>
              <w:rPr>
                <w:sz w:val="16"/>
              </w:rPr>
              <w:t>Cross-encoder</w:t>
            </w:r>
          </w:p>
        </w:tc>
        <w:tc>
          <w:tcPr>
            <w:tcW w:type="dxa" w:w="7560"/>
            <w:vAlign w:val="center"/>
          </w:tcPr>
          <w:p>
            <w:pPr>
              <w:spacing w:after="60"/>
            </w:pPr>
            <w:r>
              <w:rPr>
                <w:sz w:val="16"/>
              </w:rPr>
              <w:t>Scores a query-passage pair together; useful for reranking, usually slower.</w:t>
            </w:r>
          </w:p>
        </w:tc>
      </w:tr>
      <w:tr>
        <w:tc>
          <w:tcPr>
            <w:tcW w:type="dxa" w:w="2016"/>
            <w:vAlign w:val="center"/>
          </w:tcPr>
          <w:p>
            <w:pPr>
              <w:spacing w:after="60"/>
            </w:pPr>
            <w:r>
              <w:rPr>
                <w:sz w:val="16"/>
              </w:rPr>
              <w:t>FAISS</w:t>
            </w:r>
          </w:p>
        </w:tc>
        <w:tc>
          <w:tcPr>
            <w:tcW w:type="dxa" w:w="7560"/>
            <w:vAlign w:val="center"/>
          </w:tcPr>
          <w:p>
            <w:pPr>
              <w:spacing w:after="60"/>
            </w:pPr>
            <w:r>
              <w:rPr>
                <w:sz w:val="16"/>
              </w:rPr>
              <w:t>Library for efficient vector similarity search.</w:t>
            </w:r>
          </w:p>
        </w:tc>
      </w:tr>
      <w:tr>
        <w:tc>
          <w:tcPr>
            <w:tcW w:type="dxa" w:w="2016"/>
            <w:vAlign w:val="center"/>
          </w:tcPr>
          <w:p>
            <w:pPr>
              <w:spacing w:after="60"/>
            </w:pPr>
            <w:r>
              <w:rPr>
                <w:sz w:val="16"/>
              </w:rPr>
              <w:t>IndexFlatIP</w:t>
            </w:r>
          </w:p>
        </w:tc>
        <w:tc>
          <w:tcPr>
            <w:tcW w:type="dxa" w:w="7560"/>
            <w:vAlign w:val="center"/>
          </w:tcPr>
          <w:p>
            <w:pPr>
              <w:spacing w:after="60"/>
            </w:pPr>
            <w:r>
              <w:rPr>
                <w:sz w:val="16"/>
              </w:rPr>
              <w:t>Exact FAISS index using inner-product scores.</w:t>
            </w:r>
          </w:p>
        </w:tc>
      </w:tr>
      <w:tr>
        <w:tc>
          <w:tcPr>
            <w:tcW w:type="dxa" w:w="2016"/>
            <w:vAlign w:val="center"/>
          </w:tcPr>
          <w:p>
            <w:pPr>
              <w:spacing w:after="60"/>
            </w:pPr>
            <w:r>
              <w:rPr>
                <w:sz w:val="16"/>
              </w:rPr>
              <w:t>L2 normalization</w:t>
            </w:r>
          </w:p>
        </w:tc>
        <w:tc>
          <w:tcPr>
            <w:tcW w:type="dxa" w:w="7560"/>
            <w:vAlign w:val="center"/>
          </w:tcPr>
          <w:p>
            <w:pPr>
              <w:spacing w:after="60"/>
            </w:pPr>
            <w:r>
              <w:rPr>
                <w:sz w:val="16"/>
              </w:rPr>
              <w:t>Rescaling a vector to length one.</w:t>
            </w:r>
          </w:p>
        </w:tc>
      </w:tr>
      <w:tr>
        <w:tc>
          <w:tcPr>
            <w:tcW w:type="dxa" w:w="2016"/>
            <w:vAlign w:val="center"/>
          </w:tcPr>
          <w:p>
            <w:pPr>
              <w:spacing w:after="60"/>
            </w:pPr>
            <w:r>
              <w:rPr>
                <w:sz w:val="16"/>
              </w:rPr>
              <w:t>Cosine similarity</w:t>
            </w:r>
          </w:p>
        </w:tc>
        <w:tc>
          <w:tcPr>
            <w:tcW w:type="dxa" w:w="7560"/>
            <w:vAlign w:val="center"/>
          </w:tcPr>
          <w:p>
            <w:pPr>
              <w:spacing w:after="60"/>
            </w:pPr>
            <w:r>
              <w:rPr>
                <w:sz w:val="16"/>
              </w:rPr>
              <w:t>Measure of directional similarity between two vectors.</w:t>
            </w:r>
          </w:p>
        </w:tc>
      </w:tr>
      <w:tr>
        <w:tc>
          <w:tcPr>
            <w:tcW w:type="dxa" w:w="2016"/>
            <w:vAlign w:val="center"/>
          </w:tcPr>
          <w:p>
            <w:pPr>
              <w:spacing w:after="60"/>
            </w:pPr>
            <w:r>
              <w:rPr>
                <w:sz w:val="16"/>
              </w:rPr>
              <w:t>Chunk</w:t>
            </w:r>
          </w:p>
        </w:tc>
        <w:tc>
          <w:tcPr>
            <w:tcW w:type="dxa" w:w="7560"/>
            <w:vAlign w:val="center"/>
          </w:tcPr>
          <w:p>
            <w:pPr>
              <w:spacing w:after="60"/>
            </w:pPr>
            <w:r>
              <w:rPr>
                <w:sz w:val="16"/>
              </w:rPr>
              <w:t>Unit of source text stored and retrieved.</w:t>
            </w:r>
          </w:p>
        </w:tc>
      </w:tr>
      <w:tr>
        <w:tc>
          <w:tcPr>
            <w:tcW w:type="dxa" w:w="2016"/>
            <w:vAlign w:val="center"/>
          </w:tcPr>
          <w:p>
            <w:pPr>
              <w:spacing w:after="60"/>
            </w:pPr>
            <w:r>
              <w:rPr>
                <w:sz w:val="16"/>
              </w:rPr>
              <w:t>Top-k</w:t>
            </w:r>
          </w:p>
        </w:tc>
        <w:tc>
          <w:tcPr>
            <w:tcW w:type="dxa" w:w="7560"/>
            <w:vAlign w:val="center"/>
          </w:tcPr>
          <w:p>
            <w:pPr>
              <w:spacing w:after="60"/>
            </w:pPr>
            <w:r>
              <w:rPr>
                <w:sz w:val="16"/>
              </w:rPr>
              <w:t>Number of highest-ranked search results retained.</w:t>
            </w:r>
          </w:p>
        </w:tc>
      </w:tr>
      <w:tr>
        <w:tc>
          <w:tcPr>
            <w:tcW w:type="dxa" w:w="2016"/>
            <w:vAlign w:val="center"/>
          </w:tcPr>
          <w:p>
            <w:pPr>
              <w:spacing w:after="60"/>
            </w:pPr>
            <w:r>
              <w:rPr>
                <w:sz w:val="16"/>
              </w:rPr>
              <w:t>Metadata</w:t>
            </w:r>
          </w:p>
        </w:tc>
        <w:tc>
          <w:tcPr>
            <w:tcW w:type="dxa" w:w="7560"/>
            <w:vAlign w:val="center"/>
          </w:tcPr>
          <w:p>
            <w:pPr>
              <w:spacing w:after="60"/>
            </w:pPr>
            <w:r>
              <w:rPr>
                <w:sz w:val="16"/>
              </w:rPr>
              <w:t>Extra fields such as Article ID, section, source and version.</w:t>
            </w:r>
          </w:p>
        </w:tc>
      </w:tr>
      <w:tr>
        <w:tc>
          <w:tcPr>
            <w:tcW w:type="dxa" w:w="2016"/>
            <w:vAlign w:val="center"/>
          </w:tcPr>
          <w:p>
            <w:pPr>
              <w:spacing w:after="60"/>
            </w:pPr>
            <w:r>
              <w:rPr>
                <w:sz w:val="16"/>
              </w:rPr>
              <w:t>Context expansion</w:t>
            </w:r>
          </w:p>
        </w:tc>
        <w:tc>
          <w:tcPr>
            <w:tcW w:type="dxa" w:w="7560"/>
            <w:vAlign w:val="center"/>
          </w:tcPr>
          <w:p>
            <w:pPr>
              <w:spacing w:after="60"/>
            </w:pPr>
            <w:r>
              <w:rPr>
                <w:sz w:val="16"/>
              </w:rPr>
              <w:t>Adding related/full-section text around a retrieved hit.</w:t>
            </w:r>
          </w:p>
        </w:tc>
      </w:tr>
      <w:tr>
        <w:tc>
          <w:tcPr>
            <w:tcW w:type="dxa" w:w="2016"/>
            <w:vAlign w:val="center"/>
          </w:tcPr>
          <w:p>
            <w:pPr>
              <w:spacing w:after="60"/>
            </w:pPr>
            <w:r>
              <w:rPr>
                <w:sz w:val="16"/>
              </w:rPr>
              <w:t>Prompt</w:t>
            </w:r>
          </w:p>
        </w:tc>
        <w:tc>
          <w:tcPr>
            <w:tcW w:type="dxa" w:w="7560"/>
            <w:vAlign w:val="center"/>
          </w:tcPr>
          <w:p>
            <w:pPr>
              <w:spacing w:after="60"/>
            </w:pPr>
            <w:r>
              <w:rPr>
                <w:sz w:val="16"/>
              </w:rPr>
              <w:t>Instructions and context supplied to the LLM.</w:t>
            </w:r>
          </w:p>
        </w:tc>
      </w:tr>
      <w:tr>
        <w:tc>
          <w:tcPr>
            <w:tcW w:type="dxa" w:w="2016"/>
            <w:vAlign w:val="center"/>
          </w:tcPr>
          <w:p>
            <w:pPr>
              <w:spacing w:after="60"/>
            </w:pPr>
            <w:r>
              <w:rPr>
                <w:sz w:val="16"/>
              </w:rPr>
              <w:t>Grounding</w:t>
            </w:r>
          </w:p>
        </w:tc>
        <w:tc>
          <w:tcPr>
            <w:tcW w:type="dxa" w:w="7560"/>
            <w:vAlign w:val="center"/>
          </w:tcPr>
          <w:p>
            <w:pPr>
              <w:spacing w:after="60"/>
            </w:pPr>
            <w:r>
              <w:rPr>
                <w:sz w:val="16"/>
              </w:rPr>
              <w:t>Basing claims on retrieved evidence.</w:t>
            </w:r>
          </w:p>
        </w:tc>
      </w:tr>
      <w:tr>
        <w:tc>
          <w:tcPr>
            <w:tcW w:type="dxa" w:w="2016"/>
            <w:vAlign w:val="center"/>
          </w:tcPr>
          <w:p>
            <w:pPr>
              <w:spacing w:after="60"/>
            </w:pPr>
            <w:r>
              <w:rPr>
                <w:sz w:val="16"/>
              </w:rPr>
              <w:t>Hallucination</w:t>
            </w:r>
          </w:p>
        </w:tc>
        <w:tc>
          <w:tcPr>
            <w:tcW w:type="dxa" w:w="7560"/>
            <w:vAlign w:val="center"/>
          </w:tcPr>
          <w:p>
            <w:pPr>
              <w:spacing w:after="60"/>
            </w:pPr>
            <w:r>
              <w:rPr>
                <w:sz w:val="16"/>
              </w:rPr>
              <w:t>Generated content not supported by evidence or fact.</w:t>
            </w:r>
          </w:p>
        </w:tc>
      </w:tr>
      <w:tr>
        <w:tc>
          <w:tcPr>
            <w:tcW w:type="dxa" w:w="2016"/>
            <w:vAlign w:val="center"/>
          </w:tcPr>
          <w:p>
            <w:pPr>
              <w:spacing w:after="60"/>
            </w:pPr>
            <w:r>
              <w:rPr>
                <w:sz w:val="16"/>
              </w:rPr>
              <w:t>Hit@k</w:t>
            </w:r>
          </w:p>
        </w:tc>
        <w:tc>
          <w:tcPr>
            <w:tcW w:type="dxa" w:w="7560"/>
            <w:vAlign w:val="center"/>
          </w:tcPr>
          <w:p>
            <w:pPr>
              <w:spacing w:after="60"/>
            </w:pPr>
            <w:r>
              <w:rPr>
                <w:sz w:val="16"/>
              </w:rPr>
              <w:t>Fraction of queries with expected result in top k.</w:t>
            </w:r>
          </w:p>
        </w:tc>
      </w:tr>
      <w:tr>
        <w:tc>
          <w:tcPr>
            <w:tcW w:type="dxa" w:w="2016"/>
            <w:vAlign w:val="center"/>
          </w:tcPr>
          <w:p>
            <w:pPr>
              <w:spacing w:after="60"/>
            </w:pPr>
            <w:r>
              <w:rPr>
                <w:sz w:val="16"/>
              </w:rPr>
              <w:t>MRR</w:t>
            </w:r>
          </w:p>
        </w:tc>
        <w:tc>
          <w:tcPr>
            <w:tcW w:type="dxa" w:w="7560"/>
            <w:vAlign w:val="center"/>
          </w:tcPr>
          <w:p>
            <w:pPr>
              <w:spacing w:after="60"/>
            </w:pPr>
            <w:r>
              <w:rPr>
                <w:sz w:val="16"/>
              </w:rPr>
              <w:t>Average reciprocal rank of first relevant result.</w:t>
            </w:r>
          </w:p>
        </w:tc>
      </w:tr>
      <w:tr>
        <w:tc>
          <w:tcPr>
            <w:tcW w:type="dxa" w:w="2016"/>
            <w:vAlign w:val="center"/>
          </w:tcPr>
          <w:p>
            <w:pPr>
              <w:spacing w:after="60"/>
            </w:pPr>
            <w:r>
              <w:rPr>
                <w:sz w:val="16"/>
              </w:rPr>
              <w:t>Reranker</w:t>
            </w:r>
          </w:p>
        </w:tc>
        <w:tc>
          <w:tcPr>
            <w:tcW w:type="dxa" w:w="7560"/>
            <w:vAlign w:val="center"/>
          </w:tcPr>
          <w:p>
            <w:pPr>
              <w:spacing w:after="60"/>
            </w:pPr>
            <w:r>
              <w:rPr>
                <w:sz w:val="16"/>
              </w:rPr>
              <w:t>Second-stage model that reorders retrieved candidates.</w:t>
            </w:r>
          </w:p>
        </w:tc>
      </w:tr>
      <w:tr>
        <w:tc>
          <w:tcPr>
            <w:tcW w:type="dxa" w:w="2016"/>
            <w:vAlign w:val="center"/>
          </w:tcPr>
          <w:p>
            <w:pPr>
              <w:spacing w:after="60"/>
            </w:pPr>
            <w:r>
              <w:rPr>
                <w:sz w:val="16"/>
              </w:rPr>
              <w:t>BM25</w:t>
            </w:r>
          </w:p>
        </w:tc>
        <w:tc>
          <w:tcPr>
            <w:tcW w:type="dxa" w:w="7560"/>
            <w:vAlign w:val="center"/>
          </w:tcPr>
          <w:p>
            <w:pPr>
              <w:spacing w:after="60"/>
            </w:pPr>
            <w:r>
              <w:rPr>
                <w:sz w:val="16"/>
              </w:rPr>
              <w:t>Keyword-based retrieval method often combined with dense search.</w:t>
            </w:r>
          </w:p>
        </w:tc>
      </w:tr>
      <w:tr>
        <w:tc>
          <w:tcPr>
            <w:tcW w:type="dxa" w:w="2016"/>
            <w:vAlign w:val="center"/>
          </w:tcPr>
          <w:p>
            <w:pPr>
              <w:spacing w:after="60"/>
            </w:pPr>
            <w:r>
              <w:rPr>
                <w:sz w:val="16"/>
              </w:rPr>
              <w:t>Hybrid retrieval</w:t>
            </w:r>
          </w:p>
        </w:tc>
        <w:tc>
          <w:tcPr>
            <w:tcW w:type="dxa" w:w="7560"/>
            <w:vAlign w:val="center"/>
          </w:tcPr>
          <w:p>
            <w:pPr>
              <w:spacing w:after="60"/>
            </w:pPr>
            <w:r>
              <w:rPr>
                <w:sz w:val="16"/>
              </w:rPr>
              <w:t>Combining lexical and semantic search results.</w:t>
            </w:r>
          </w:p>
        </w:tc>
      </w:tr>
      <w:tr>
        <w:tc>
          <w:tcPr>
            <w:tcW w:type="dxa" w:w="2016"/>
            <w:vAlign w:val="center"/>
          </w:tcPr>
          <w:p>
            <w:pPr>
              <w:spacing w:after="60"/>
            </w:pPr>
            <w:r>
              <w:rPr>
                <w:sz w:val="16"/>
              </w:rPr>
              <w:t>Regression test</w:t>
            </w:r>
          </w:p>
        </w:tc>
        <w:tc>
          <w:tcPr>
            <w:tcW w:type="dxa" w:w="7560"/>
            <w:vAlign w:val="center"/>
          </w:tcPr>
          <w:p>
            <w:pPr>
              <w:spacing w:after="60"/>
            </w:pPr>
            <w:r>
              <w:rPr>
                <w:sz w:val="16"/>
              </w:rPr>
              <w:t>Test that catches reintroduced errors after changes.</w:t>
            </w:r>
          </w:p>
        </w:tc>
      </w:tr>
      <w:tr>
        <w:tc>
          <w:tcPr>
            <w:tcW w:type="dxa" w:w="2016"/>
            <w:vAlign w:val="center"/>
          </w:tcPr>
          <w:p>
            <w:pPr>
              <w:spacing w:after="60"/>
            </w:pPr>
            <w:r>
              <w:rPr>
                <w:sz w:val="16"/>
              </w:rPr>
              <w:t>429 rate limit</w:t>
            </w:r>
          </w:p>
        </w:tc>
        <w:tc>
          <w:tcPr>
            <w:tcW w:type="dxa" w:w="7560"/>
            <w:vAlign w:val="center"/>
          </w:tcPr>
          <w:p>
            <w:pPr>
              <w:spacing w:after="60"/>
            </w:pPr>
            <w:r>
              <w:rPr>
                <w:sz w:val="16"/>
              </w:rPr>
              <w:t>API refusal due to request or token quota being exceeded.</w:t>
            </w:r>
          </w:p>
        </w:tc>
      </w:tr>
      <w:tr>
        <w:tc>
          <w:tcPr>
            <w:tcW w:type="dxa" w:w="2016"/>
            <w:vAlign w:val="center"/>
          </w:tcPr>
          <w:p>
            <w:pPr>
              <w:spacing w:after="60"/>
            </w:pPr>
            <w:r>
              <w:rPr>
                <w:sz w:val="16"/>
              </w:rPr>
              <w:t>Inference</w:t>
            </w:r>
          </w:p>
        </w:tc>
        <w:tc>
          <w:tcPr>
            <w:tcW w:type="dxa" w:w="7560"/>
            <w:vAlign w:val="center"/>
          </w:tcPr>
          <w:p>
            <w:pPr>
              <w:spacing w:after="60"/>
            </w:pPr>
            <w:r>
              <w:rPr>
                <w:sz w:val="16"/>
              </w:rPr>
              <w:t>Running a trained model to obtain an output.</w:t>
            </w:r>
          </w:p>
        </w:tc>
      </w:tr>
      <w:tr>
        <w:tc>
          <w:tcPr>
            <w:tcW w:type="dxa" w:w="2016"/>
            <w:vAlign w:val="center"/>
          </w:tcPr>
          <w:p>
            <w:pPr>
              <w:spacing w:after="60"/>
            </w:pPr>
            <w:r>
              <w:rPr>
                <w:sz w:val="16"/>
              </w:rPr>
              <w:t>Fine-tuning</w:t>
            </w:r>
          </w:p>
        </w:tc>
        <w:tc>
          <w:tcPr>
            <w:tcW w:type="dxa" w:w="7560"/>
            <w:vAlign w:val="center"/>
          </w:tcPr>
          <w:p>
            <w:pPr>
              <w:spacing w:after="60"/>
            </w:pPr>
            <w:r>
              <w:rPr>
                <w:sz w:val="16"/>
              </w:rPr>
              <w:t>Training that changes model parameters; not done in this project.</w:t>
            </w:r>
          </w:p>
        </w:tc>
      </w:tr>
    </w:tbl>
    <w:p/>
    <w:p>
      <w:pPr>
        <w:pStyle w:val="Heading1"/>
      </w:pPr>
      <w:r>
        <w:t>PART 9  |  Five honest interview statements</w:t>
      </w:r>
    </w:p>
    <w:p>
      <w:pPr>
        <w:pStyle w:val="ListBullet"/>
      </w:pPr>
      <w:r>
        <w:t>“My evaluation proves retrieval coverage on a small curated set, not overall legal accuracy.”</w:t>
      </w:r>
    </w:p>
    <w:p>
      <w:pPr>
        <w:pStyle w:val="ListBullet"/>
      </w:pPr>
      <w:r>
        <w:t>“I chose an exact FAISS index because the corpus is small; I would benchmark approximate search only when scale requires it.”</w:t>
      </w:r>
    </w:p>
    <w:p>
      <w:pPr>
        <w:pStyle w:val="ListBullet"/>
      </w:pPr>
      <w:r>
        <w:t>“Article-aware chunking improves traceability, but multi-Article obligations still require careful retrieval.”</w:t>
      </w:r>
    </w:p>
    <w:p>
      <w:pPr>
        <w:pStyle w:val="ListBullet"/>
      </w:pPr>
      <w:r>
        <w:t>“RAG does not fine-tune the LLM; it adds evidence at answer time.”</w:t>
      </w:r>
    </w:p>
    <w:p>
      <w:pPr>
        <w:pStyle w:val="ListBullet"/>
      </w:pPr>
      <w:r>
        <w:t>“I can explain what I implemented, what failed, and how I would validate the next improvement.”</w:t>
      </w:r>
    </w:p>
    <w:p>
      <w:pPr>
        <w:pStyle w:val="Heading1"/>
      </w:pPr>
      <w:r>
        <w:t>Practice plan: 20 minutes per day</w:t>
      </w:r>
    </w:p>
    <w:p>
      <w:r>
        <w:t>Days 1–2: Memorize the 60-second pitch and draw the pipeline from memory. Days 3–4: Explain embeddings, cosine similarity, FAISS and Article expansion using simple examples. Days 5–6: Practice evaluation numbers, weaknesses and error scenarios. Day 7: Answer manager questions aloud without reading, then review anything you cannot explain.</w:t>
      </w:r>
    </w:p>
    <w:p>
      <w:pPr>
        <w:pStyle w:val="Heading1"/>
      </w:pPr>
      <w:r>
        <w:t>Reference reading</w:t>
      </w:r>
    </w:p>
    <w:p>
      <w:r>
        <w:t>Sentence Transformers — Quickstart: https://www.sbert.net/docs/quickstart.html</w:t>
      </w:r>
    </w:p>
    <w:p>
      <w:r>
        <w:t>Sentence Transformers — Semantic Search: https://www.sbert.net/examples/sentence_transformer/applications/semantic-search/README.html</w:t>
      </w:r>
    </w:p>
    <w:p>
      <w:r>
        <w:t>FAISS — MetricType and distances: https://github.com/facebookresearch/faiss/wiki/MetricType-and-distances</w:t>
      </w:r>
    </w:p>
    <w:p>
      <w:r>
        <w:t>Groq — Rate Limits: https://console.groq.com/docs/rate-limits</w:t>
      </w:r>
    </w:p>
    <w:p>
      <w:r>
        <w:t>Project repository: https://github.com/SaurabRauniyar/eu-ai-act-rag-assistant</w:t>
      </w:r>
    </w:p>
    <w:p>
      <w:r>
        <w:t>Prepared as an interview learning resource. Project metrics are reported from the user’s recorded experiments; external links explain general technical concepts. Legal content and source-version statements should be checked against the current official EUR-Lex publication.</w:t>
      </w:r>
    </w:p>
    <w:sectPr w:rsidR="00FC693F" w:rsidRPr="0006063C" w:rsidSect="00034616">
      <w:headerReference w:type="default" r:id="rId9"/>
      <w:footerReference w:type="default" r:id="rId10"/>
      <w:pgSz w:w="12240" w:h="15840"/>
      <w:pgMar w:top="1051" w:right="1181" w:bottom="95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46373"/>
        <w:sz w:val="16"/>
      </w:rPr>
      <w:t xml:space="preserve">TECHNICAL INTERVIEW PREPARATION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007D89"/>
        <w:sz w:val="16"/>
      </w:rPr>
      <w:t>EU AI ACT RAG ASSISTANT  /  INTERVIEW STUDY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426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Aptos Display" w:hAnsi="Aptos Display"/>
      <w:b/>
      <w:bCs/>
      <w:color w:val="142640"/>
      <w:sz w:val="32"/>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Aptos" w:hAnsi="Aptos"/>
      <w:b/>
      <w:bCs/>
      <w:color w:val="007D8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4264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basedOn w:val="Normal"/>
    <w:pPr>
      <w:keepNext/>
      <w:spacing w:before="180" w:after="60"/>
    </w:pPr>
    <w:rPr>
      <w:b/>
      <w:color w:val="14264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 AI Act RAG Assistant — Technical Interview Study Guide</dc:title>
  <dc:subject>RAG technical interview questions, answers, definitions, trade-offs and evaluation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