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EA5E9"/>
          <w:sz w:val="20"/>
        </w:rPr>
        <w:t>ET AI HACKATHON 2.0 — PHASE 2 PROTOTYPE SUBMISSION</w:t>
      </w:r>
    </w:p>
    <w:p>
      <w:pPr>
        <w:spacing w:after="40"/>
      </w:pPr>
      <w:r>
        <w:rPr>
          <w:rFonts w:ascii="Calibri" w:hAnsi="Calibri"/>
          <w:b/>
          <w:color w:val="1E293B"/>
          <w:sz w:val="44"/>
        </w:rPr>
        <w:t>Industrial Knowledge Intelligence Platform (PS-8)</w:t>
      </w:r>
    </w:p>
    <w:p>
      <w:pPr>
        <w:spacing w:after="360"/>
      </w:pPr>
      <w:r>
        <w:rPr>
          <w:rFonts w:ascii="Calibri" w:hAnsi="Calibri"/>
          <w:i/>
          <w:color w:val="334155"/>
          <w:sz w:val="24"/>
        </w:rPr>
        <w:t>Technical Architecture &amp; Operational Specification Document | Unified Asset &amp; Operations Brain</w:t>
      </w:r>
    </w:p>
    <w:tbl>
      <w:tblPr>
        <w:tblW w:type="auto" w:w="0"/>
        <w:jc w:val="center"/>
        <w:tblLook w:firstColumn="1" w:firstRow="1" w:lastColumn="0" w:lastRow="0" w:noHBand="0" w:noVBand="1" w:val="04A0"/>
      </w:tblPr>
      <w:tblGrid>
        <w:gridCol w:w="4680"/>
        <w:gridCol w:w="4680"/>
      </w:tblGrid>
      <w:tr>
        <w:tc>
          <w:tcPr>
            <w:tcW w:type="dxa" w:w="4680"/>
            <w:shd w:fill="F8FAFC"/>
            <w:tcMar>
              <w:top w:w="80" w:type="dxa"/>
              <w:bottom w:w="80" w:type="dxa"/>
              <w:left w:w="100" w:type="dxa"/>
              <w:right w:w="100" w:type="dxa"/>
            </w:tcMar>
          </w:tcPr>
          <w:p>
            <w:r>
              <w:rPr>
                <w:b/>
                <w:color w:val="1E293B"/>
                <w:sz w:val="20"/>
              </w:rPr>
              <w:t>Problem Statement</w:t>
            </w:r>
          </w:p>
        </w:tc>
        <w:tc>
          <w:tcPr>
            <w:tcW w:type="dxa" w:w="4680"/>
            <w:shd w:fill="FFFFFF"/>
            <w:tcMar>
              <w:top w:w="80" w:type="dxa"/>
              <w:bottom w:w="80" w:type="dxa"/>
              <w:left w:w="100" w:type="dxa"/>
              <w:right w:w="100" w:type="dxa"/>
            </w:tcMar>
          </w:tcPr>
          <w:p>
            <w:r>
              <w:rPr>
                <w:color w:val="334155"/>
                <w:sz w:val="20"/>
              </w:rPr>
              <w:t>PS 8: AI for Industrial Knowledge Intelligence: Unified Asset &amp; Operations Brain</w:t>
            </w:r>
          </w:p>
        </w:tc>
      </w:tr>
      <w:tr>
        <w:tc>
          <w:tcPr>
            <w:tcW w:type="dxa" w:w="4680"/>
            <w:shd w:fill="F8FAFC"/>
            <w:tcMar>
              <w:top w:w="80" w:type="dxa"/>
              <w:bottom w:w="80" w:type="dxa"/>
              <w:left w:w="100" w:type="dxa"/>
              <w:right w:w="100" w:type="dxa"/>
            </w:tcMar>
          </w:tcPr>
          <w:p>
            <w:r>
              <w:rPr>
                <w:b/>
                <w:color w:val="1E293B"/>
                <w:sz w:val="20"/>
              </w:rPr>
              <w:t>Project Name</w:t>
            </w:r>
          </w:p>
        </w:tc>
        <w:tc>
          <w:tcPr>
            <w:tcW w:type="dxa" w:w="4680"/>
            <w:shd w:fill="FFFFFF"/>
            <w:tcMar>
              <w:top w:w="80" w:type="dxa"/>
              <w:bottom w:w="80" w:type="dxa"/>
              <w:left w:w="100" w:type="dxa"/>
              <w:right w:w="100" w:type="dxa"/>
            </w:tcMar>
          </w:tcPr>
          <w:p>
            <w:r>
              <w:rPr>
                <w:color w:val="334155"/>
                <w:sz w:val="20"/>
              </w:rPr>
              <w:t>ET Industrial AI</w:t>
            </w:r>
          </w:p>
        </w:tc>
      </w:tr>
      <w:tr>
        <w:tc>
          <w:tcPr>
            <w:tcW w:type="dxa" w:w="4680"/>
            <w:shd w:fill="F8FAFC"/>
            <w:tcMar>
              <w:top w:w="80" w:type="dxa"/>
              <w:bottom w:w="80" w:type="dxa"/>
              <w:left w:w="100" w:type="dxa"/>
              <w:right w:w="100" w:type="dxa"/>
            </w:tcMar>
          </w:tcPr>
          <w:p>
            <w:r>
              <w:rPr>
                <w:b/>
                <w:color w:val="1E293B"/>
                <w:sz w:val="20"/>
              </w:rPr>
              <w:t>Repository URL</w:t>
            </w:r>
          </w:p>
        </w:tc>
        <w:tc>
          <w:tcPr>
            <w:tcW w:type="dxa" w:w="4680"/>
            <w:shd w:fill="FFFFFF"/>
            <w:tcMar>
              <w:top w:w="80" w:type="dxa"/>
              <w:bottom w:w="80" w:type="dxa"/>
              <w:left w:w="100" w:type="dxa"/>
              <w:right w:w="100" w:type="dxa"/>
            </w:tcMar>
          </w:tcPr>
          <w:p>
            <w:r>
              <w:rPr>
                <w:color w:val="334155"/>
                <w:sz w:val="20"/>
              </w:rPr>
              <w:t>https://github.com/Saurabh-Shinde-Patil/ET-industrial-ai</w:t>
            </w:r>
          </w:p>
        </w:tc>
      </w:tr>
      <w:tr>
        <w:tc>
          <w:tcPr>
            <w:tcW w:type="dxa" w:w="4680"/>
            <w:shd w:fill="F8FAFC"/>
            <w:tcMar>
              <w:top w:w="80" w:type="dxa"/>
              <w:bottom w:w="80" w:type="dxa"/>
              <w:left w:w="100" w:type="dxa"/>
              <w:right w:w="100" w:type="dxa"/>
            </w:tcMar>
          </w:tcPr>
          <w:p>
            <w:r>
              <w:rPr>
                <w:b/>
                <w:color w:val="1E293B"/>
                <w:sz w:val="20"/>
              </w:rPr>
              <w:t>Date</w:t>
            </w:r>
          </w:p>
        </w:tc>
        <w:tc>
          <w:tcPr>
            <w:tcW w:type="dxa" w:w="4680"/>
            <w:shd w:fill="FFFFFF"/>
            <w:tcMar>
              <w:top w:w="80" w:type="dxa"/>
              <w:bottom w:w="80" w:type="dxa"/>
              <w:left w:w="100" w:type="dxa"/>
              <w:right w:w="100" w:type="dxa"/>
            </w:tcMar>
          </w:tcPr>
          <w:p>
            <w:r>
              <w:rPr>
                <w:color w:val="334155"/>
                <w:sz w:val="20"/>
              </w:rPr>
              <w:t>July 20, 2026</w:t>
            </w:r>
          </w:p>
        </w:tc>
      </w:tr>
    </w:tbl>
    <w:p>
      <w:pPr>
        <w:spacing w:after="240"/>
      </w:pPr>
    </w:p>
    <w:p>
      <w:pPr>
        <w:keepNext/>
        <w:spacing w:before="320" w:after="120"/>
      </w:pPr>
      <w:r>
        <w:rPr>
          <w:rFonts w:ascii="Calibri" w:hAnsi="Calibri"/>
          <w:b/>
          <w:color w:val="1E293B"/>
          <w:sz w:val="30"/>
        </w:rPr>
        <w:t>1. Executive Summary</w:t>
      </w:r>
    </w:p>
    <w:p>
      <w:pPr>
        <w:spacing w:after="160"/>
      </w:pPr>
      <w:r>
        <w:t>In thermal power plants, chemical process facilities, and heavy manufacturing installations, critical operational knowledge is frequently fragmented across thousands of static PDF manuals, handwritten maintenance logs, Standard Operating Procedures (SOPs), and historic Root Cause Analysis (RCA) records. During acute equipment trips or forced outages, plant engineers face significant delays sifting through non-searchable document repositories, leading to extended downtime, elevated safety risks, and operational inefficiencies.</w:t>
      </w:r>
    </w:p>
    <w:p>
      <w:pPr>
        <w:spacing w:after="240"/>
      </w:pPr>
      <w:r>
        <w:t>ET Industrial AI addresses this operational bottleneck by deploying a unified, enterprise-grade Knowledge Intelligence Platform. Built on a microservices architecture, the system combines a Zero-Hallucination Retrieval-Augmented Generation (RAG) conversational engine, a high-density vector search index (FAISS), an automated 5-Whys Root Cause Analysis engine, and predictive maintenance risk scoring. The platform provides plant engineers with immediate, contextual answers backed strictly by ground-truth document citations, enforcing strict confidence thresholds to prevent AI hallucination.</w:t>
      </w:r>
    </w:p>
    <w:p>
      <w:pPr>
        <w:keepNext/>
        <w:spacing w:before="320" w:after="120"/>
      </w:pPr>
      <w:r>
        <w:rPr>
          <w:rFonts w:ascii="Calibri" w:hAnsi="Calibri"/>
          <w:b/>
          <w:color w:val="1E293B"/>
          <w:sz w:val="30"/>
        </w:rPr>
        <w:t>2. Problem Statement Alignment (PS-8)</w:t>
      </w:r>
    </w:p>
    <w:p>
      <w:r>
        <w:t>The project is engineered specifically for Problem Statement 8: AI for Industrial Knowledge Intelligence: Unified Asset &amp; Operations Brain. The table below outlines how specific plant operational challenges are addressed by the platform architecture:</w:t>
      </w:r>
    </w:p>
    <w:tbl>
      <w:tblPr>
        <w:tblW w:type="auto" w:w="0"/>
        <w:jc w:val="center"/>
        <w:tblLook w:firstColumn="1" w:firstRow="1" w:lastColumn="0" w:lastRow="0" w:noHBand="0" w:noVBand="1" w:val="04A0"/>
      </w:tblPr>
      <w:tblGrid>
        <w:gridCol w:w="4680"/>
        <w:gridCol w:w="4680"/>
      </w:tblGrid>
      <w:tr>
        <w:tc>
          <w:tcPr>
            <w:tcW w:type="dxa" w:w="4680"/>
            <w:shd w:fill="1E293B"/>
            <w:tcMar>
              <w:top w:w="100" w:type="dxa"/>
              <w:bottom w:w="100" w:type="dxa"/>
              <w:left w:w="120" w:type="dxa"/>
              <w:right w:w="120" w:type="dxa"/>
            </w:tcMar>
          </w:tcPr>
          <w:p>
            <w:r>
              <w:rPr>
                <w:b/>
                <w:color w:val="FFFFFF"/>
              </w:rPr>
              <w:t>Industrial Operational Challenge</w:t>
            </w:r>
          </w:p>
        </w:tc>
        <w:tc>
          <w:tcPr>
            <w:tcW w:type="dxa" w:w="4680"/>
            <w:shd w:fill="1E293B"/>
            <w:tcMar>
              <w:top w:w="100" w:type="dxa"/>
              <w:bottom w:w="100" w:type="dxa"/>
              <w:left w:w="120" w:type="dxa"/>
              <w:right w:w="120" w:type="dxa"/>
            </w:tcMar>
          </w:tcPr>
          <w:p>
            <w:r>
              <w:rPr>
                <w:b/>
                <w:color w:val="FFFFFF"/>
              </w:rPr>
              <w:t>ET Industrial AI Architectural Solution</w:t>
            </w:r>
          </w:p>
        </w:tc>
      </w:tr>
      <w:tr>
        <w:tc>
          <w:tcPr>
            <w:tcW w:type="dxa" w:w="4680"/>
            <w:shd w:fill="F8FAFC"/>
            <w:tcMar>
              <w:top w:w="80" w:type="dxa"/>
              <w:bottom w:w="80" w:type="dxa"/>
              <w:left w:w="100" w:type="dxa"/>
              <w:right w:w="100" w:type="dxa"/>
            </w:tcMar>
          </w:tcPr>
          <w:p>
            <w:r>
              <w:rPr>
                <w:b/>
                <w:sz w:val="19"/>
              </w:rPr>
              <w:t>Knowledge Isolation across Plant Siloes</w:t>
            </w:r>
          </w:p>
        </w:tc>
        <w:tc>
          <w:tcPr>
            <w:tcW w:type="dxa" w:w="4680"/>
            <w:shd w:fill="F8FAFC"/>
            <w:tcMar>
              <w:top w:w="80" w:type="dxa"/>
              <w:bottom w:w="80" w:type="dxa"/>
              <w:left w:w="100" w:type="dxa"/>
              <w:right w:w="100" w:type="dxa"/>
            </w:tcMar>
          </w:tcPr>
          <w:p>
            <w:r>
              <w:rPr>
                <w:sz w:val="19"/>
              </w:rPr>
              <w:t>Centralized document ingestion &amp; OCR parsing supporting PDF, Word, TXT, and scanned image formats with direct asset tagging.</w:t>
            </w:r>
          </w:p>
        </w:tc>
      </w:tr>
      <w:tr>
        <w:tc>
          <w:tcPr>
            <w:tcW w:type="dxa" w:w="4680"/>
            <w:shd w:fill="FFFFFF"/>
            <w:tcMar>
              <w:top w:w="80" w:type="dxa"/>
              <w:bottom w:w="80" w:type="dxa"/>
              <w:left w:w="100" w:type="dxa"/>
              <w:right w:w="100" w:type="dxa"/>
            </w:tcMar>
          </w:tcPr>
          <w:p>
            <w:r>
              <w:rPr>
                <w:b/>
                <w:sz w:val="19"/>
              </w:rPr>
              <w:t>Risk of AI Hallucinations on Critical Assets</w:t>
            </w:r>
          </w:p>
        </w:tc>
        <w:tc>
          <w:tcPr>
            <w:tcW w:type="dxa" w:w="4680"/>
            <w:shd w:fill="FFFFFF"/>
            <w:tcMar>
              <w:top w:w="80" w:type="dxa"/>
              <w:bottom w:w="80" w:type="dxa"/>
              <w:left w:w="100" w:type="dxa"/>
              <w:right w:w="100" w:type="dxa"/>
            </w:tcMar>
          </w:tcPr>
          <w:p>
            <w:r>
              <w:rPr>
                <w:sz w:val="19"/>
              </w:rPr>
              <w:t>Zero-Hallucination RAG Chain enforcing similarity threshold suppression (&lt;50% score). Returns standardized fallback notices when manuals lack matching context.</w:t>
            </w:r>
          </w:p>
        </w:tc>
      </w:tr>
      <w:tr>
        <w:tc>
          <w:tcPr>
            <w:tcW w:type="dxa" w:w="4680"/>
            <w:shd w:fill="F8FAFC"/>
            <w:tcMar>
              <w:top w:w="80" w:type="dxa"/>
              <w:bottom w:w="80" w:type="dxa"/>
              <w:left w:w="100" w:type="dxa"/>
              <w:right w:w="100" w:type="dxa"/>
            </w:tcMar>
          </w:tcPr>
          <w:p>
            <w:r>
              <w:rPr>
                <w:b/>
                <w:sz w:val="19"/>
              </w:rPr>
              <w:t>Repetitive Equipment Failures</w:t>
            </w:r>
          </w:p>
        </w:tc>
        <w:tc>
          <w:tcPr>
            <w:tcW w:type="dxa" w:w="4680"/>
            <w:shd w:fill="F8FAFC"/>
            <w:tcMar>
              <w:top w:w="80" w:type="dxa"/>
              <w:bottom w:w="80" w:type="dxa"/>
              <w:left w:w="100" w:type="dxa"/>
              <w:right w:w="100" w:type="dxa"/>
            </w:tcMar>
          </w:tcPr>
          <w:p>
            <w:r>
              <w:rPr>
                <w:sz w:val="19"/>
              </w:rPr>
              <w:t>Automated 5-Whys Root Cause Analysis engine generating standardized incident reports and Corrective Action (CAPA) plans.</w:t>
            </w:r>
          </w:p>
        </w:tc>
      </w:tr>
      <w:tr>
        <w:tc>
          <w:tcPr>
            <w:tcW w:type="dxa" w:w="4680"/>
            <w:shd w:fill="FFFFFF"/>
            <w:tcMar>
              <w:top w:w="80" w:type="dxa"/>
              <w:bottom w:w="80" w:type="dxa"/>
              <w:left w:w="100" w:type="dxa"/>
              <w:right w:w="100" w:type="dxa"/>
            </w:tcMar>
          </w:tcPr>
          <w:p>
            <w:r>
              <w:rPr>
                <w:b/>
                <w:sz w:val="19"/>
              </w:rPr>
              <w:t>Unplanned Equipment Downtime</w:t>
            </w:r>
          </w:p>
        </w:tc>
        <w:tc>
          <w:tcPr>
            <w:tcW w:type="dxa" w:w="4680"/>
            <w:shd w:fill="FFFFFF"/>
            <w:tcMar>
              <w:top w:w="80" w:type="dxa"/>
              <w:bottom w:w="80" w:type="dxa"/>
              <w:left w:w="100" w:type="dxa"/>
              <w:right w:w="100" w:type="dxa"/>
            </w:tcMar>
          </w:tcPr>
          <w:p>
            <w:r>
              <w:rPr>
                <w:sz w:val="19"/>
              </w:rPr>
              <w:t>AI Predictive Maintenance engine calculating asset failure risk probabilities based on telemetry parameters and operating hours.</w:t>
            </w:r>
          </w:p>
        </w:tc>
      </w:tr>
      <w:tr>
        <w:tc>
          <w:tcPr>
            <w:tcW w:type="dxa" w:w="4680"/>
            <w:shd w:fill="F8FAFC"/>
            <w:tcMar>
              <w:top w:w="80" w:type="dxa"/>
              <w:bottom w:w="80" w:type="dxa"/>
              <w:left w:w="100" w:type="dxa"/>
              <w:right w:w="100" w:type="dxa"/>
            </w:tcMar>
          </w:tcPr>
          <w:p>
            <w:r>
              <w:rPr>
                <w:b/>
                <w:sz w:val="19"/>
              </w:rPr>
              <w:t>Enterprise Security &amp; Role Compliance</w:t>
            </w:r>
          </w:p>
        </w:tc>
        <w:tc>
          <w:tcPr>
            <w:tcW w:type="dxa" w:w="4680"/>
            <w:shd w:fill="F8FAFC"/>
            <w:tcMar>
              <w:top w:w="80" w:type="dxa"/>
              <w:bottom w:w="80" w:type="dxa"/>
              <w:left w:w="100" w:type="dxa"/>
              <w:right w:w="100" w:type="dxa"/>
            </w:tcMar>
          </w:tcPr>
          <w:p>
            <w:r>
              <w:rPr>
                <w:sz w:val="19"/>
              </w:rPr>
              <w:t>8 RBAC roles (Plant Operator, Maintenance Eng, Reliability Eng, Safety Officer, Production Eng, Plant Mgr, Knowledge Admin, System Admin) with audit event logging.</w:t>
            </w:r>
          </w:p>
        </w:tc>
      </w:tr>
    </w:tbl>
    <w:p>
      <w:pPr>
        <w:spacing w:after="240"/>
      </w:pPr>
    </w:p>
    <w:p>
      <w:pPr>
        <w:keepNext/>
        <w:spacing w:before="320" w:after="120"/>
      </w:pPr>
      <w:r>
        <w:rPr>
          <w:rFonts w:ascii="Calibri" w:hAnsi="Calibri"/>
          <w:b/>
          <w:color w:val="1E293B"/>
          <w:sz w:val="30"/>
        </w:rPr>
        <w:t>3. System Architecture &amp; Technical Implementation</w:t>
      </w:r>
    </w:p>
    <w:p>
      <w:r>
        <w:t>The system is structured as a decoupled, multi-tier microservice architecture to ensure high throughput, horizontal scalablity, and strict separation between the API gateway, vector store, and AI inference engines.</w:t>
      </w:r>
    </w:p>
    <w:p>
      <w:pPr>
        <w:keepNext/>
        <w:spacing w:before="240" w:after="80"/>
      </w:pPr>
      <w:r>
        <w:rPr>
          <w:rFonts w:ascii="Calibri" w:hAnsi="Calibri"/>
          <w:b/>
          <w:color w:val="0EA5E9"/>
          <w:sz w:val="25"/>
        </w:rPr>
        <w:t>3.1 Core Components</w:t>
      </w:r>
    </w:p>
    <w:p>
      <w:r>
        <w:t>1. Frontend Web Client (React 18 / Tailwind CSS / Lucide Icons):</w:t>
        <w:br/>
        <w:t xml:space="preserve">   - Responsive industrial dark-mode interface with operational dashboards, RAG conversation view, document manager, asset hierarchy, and admin audit tools.</w:t>
        <w:br/>
        <w:br/>
        <w:t>2. Node.js Express REST API Gateway (Port 5000):</w:t>
        <w:br/>
        <w:t xml:space="preserve">   - Handles user authentication, JWT session validation, RBAC route protection, MongoDB persistence, audit event logging, and proxy dispatch to the Python AI service.</w:t>
        <w:br/>
        <w:br/>
        <w:t>3. Python FastAPI AI Microservice (Port 8000):</w:t>
        <w:br/>
        <w:t xml:space="preserve">   - Houses the core AI engines: SentenceTransformers embedding generation, FAISS vector indexing, Reciprocal Rank Fusion (RRF) hybrid search, PyPDF2/pdfplumber text extraction, Tesseract OCR, and RAG synthesis.</w:t>
      </w:r>
    </w:p>
    <w:p>
      <w:pPr>
        <w:keepNext/>
        <w:spacing w:before="240" w:after="80"/>
      </w:pPr>
      <w:r>
        <w:rPr>
          <w:rFonts w:ascii="Calibri" w:hAnsi="Calibri"/>
          <w:b/>
          <w:color w:val="0EA5E9"/>
          <w:sz w:val="25"/>
        </w:rPr>
        <w:t>3.2 Technical Stack Summary</w:t>
      </w:r>
    </w:p>
    <w:tbl>
      <w:tblPr>
        <w:tblW w:type="auto" w:w="0"/>
        <w:jc w:val="center"/>
        <w:tblLook w:firstColumn="1" w:firstRow="1" w:lastColumn="0" w:lastRow="0" w:noHBand="0" w:noVBand="1" w:val="04A0"/>
      </w:tblPr>
      <w:tblGrid>
        <w:gridCol w:w="4680"/>
        <w:gridCol w:w="4680"/>
      </w:tblGrid>
      <w:tr>
        <w:tc>
          <w:tcPr>
            <w:tcW w:type="dxa" w:w="4680"/>
            <w:shd w:fill="1E293B"/>
            <w:tcMar>
              <w:top w:w="100" w:type="dxa"/>
              <w:bottom w:w="100" w:type="dxa"/>
              <w:left w:w="120" w:type="dxa"/>
              <w:right w:w="120" w:type="dxa"/>
            </w:tcMar>
          </w:tcPr>
          <w:p>
            <w:r>
              <w:rPr>
                <w:b/>
                <w:color w:val="FFFFFF"/>
              </w:rPr>
              <w:t>Subsystem Layer</w:t>
            </w:r>
          </w:p>
        </w:tc>
        <w:tc>
          <w:tcPr>
            <w:tcW w:type="dxa" w:w="4680"/>
            <w:shd w:fill="1E293B"/>
            <w:tcMar>
              <w:top w:w="100" w:type="dxa"/>
              <w:bottom w:w="100" w:type="dxa"/>
              <w:left w:w="120" w:type="dxa"/>
              <w:right w:w="120" w:type="dxa"/>
            </w:tcMar>
          </w:tcPr>
          <w:p>
            <w:r>
              <w:rPr>
                <w:b/>
                <w:color w:val="FFFFFF"/>
              </w:rPr>
              <w:t>Technologies &amp; Specifications</w:t>
            </w:r>
          </w:p>
        </w:tc>
      </w:tr>
      <w:tr>
        <w:tc>
          <w:tcPr>
            <w:tcW w:type="dxa" w:w="4680"/>
            <w:shd w:fill="F8FAFC"/>
            <w:tcMar>
              <w:top w:w="80" w:type="dxa"/>
              <w:bottom w:w="80" w:type="dxa"/>
              <w:left w:w="100" w:type="dxa"/>
              <w:right w:w="100" w:type="dxa"/>
            </w:tcMar>
          </w:tcPr>
          <w:p>
            <w:r>
              <w:rPr>
                <w:b/>
                <w:sz w:val="19"/>
              </w:rPr>
              <w:t>User Interface Layer</w:t>
            </w:r>
          </w:p>
        </w:tc>
        <w:tc>
          <w:tcPr>
            <w:tcW w:type="dxa" w:w="4680"/>
            <w:shd w:fill="F8FAFC"/>
            <w:tcMar>
              <w:top w:w="80" w:type="dxa"/>
              <w:bottom w:w="80" w:type="dxa"/>
              <w:left w:w="100" w:type="dxa"/>
              <w:right w:w="100" w:type="dxa"/>
            </w:tcMar>
          </w:tcPr>
          <w:p>
            <w:r>
              <w:rPr>
                <w:sz w:val="19"/>
              </w:rPr>
              <w:t>React 18, Vite, Tailwind CSS, Lucide Icons, React Router DOM v6</w:t>
            </w:r>
          </w:p>
        </w:tc>
      </w:tr>
      <w:tr>
        <w:tc>
          <w:tcPr>
            <w:tcW w:type="dxa" w:w="4680"/>
            <w:shd w:fill="FFFFFF"/>
            <w:tcMar>
              <w:top w:w="80" w:type="dxa"/>
              <w:bottom w:w="80" w:type="dxa"/>
              <w:left w:w="100" w:type="dxa"/>
              <w:right w:w="100" w:type="dxa"/>
            </w:tcMar>
          </w:tcPr>
          <w:p>
            <w:r>
              <w:rPr>
                <w:b/>
                <w:sz w:val="19"/>
              </w:rPr>
              <w:t>API Gateway Layer</w:t>
            </w:r>
          </w:p>
        </w:tc>
        <w:tc>
          <w:tcPr>
            <w:tcW w:type="dxa" w:w="4680"/>
            <w:shd w:fill="FFFFFF"/>
            <w:tcMar>
              <w:top w:w="80" w:type="dxa"/>
              <w:bottom w:w="80" w:type="dxa"/>
              <w:left w:w="100" w:type="dxa"/>
              <w:right w:w="100" w:type="dxa"/>
            </w:tcMar>
          </w:tcPr>
          <w:p>
            <w:r>
              <w:rPr>
                <w:sz w:val="19"/>
              </w:rPr>
              <w:t>Node.js (v20+), Express.js, JWT Authentication, Winston Logger, OpenAPI Swagger UI</w:t>
            </w:r>
          </w:p>
        </w:tc>
      </w:tr>
      <w:tr>
        <w:tc>
          <w:tcPr>
            <w:tcW w:type="dxa" w:w="4680"/>
            <w:shd w:fill="F8FAFC"/>
            <w:tcMar>
              <w:top w:w="80" w:type="dxa"/>
              <w:bottom w:w="80" w:type="dxa"/>
              <w:left w:w="100" w:type="dxa"/>
              <w:right w:w="100" w:type="dxa"/>
            </w:tcMar>
          </w:tcPr>
          <w:p>
            <w:r>
              <w:rPr>
                <w:b/>
                <w:sz w:val="19"/>
              </w:rPr>
              <w:t>Database &amp; Persistence</w:t>
            </w:r>
          </w:p>
        </w:tc>
        <w:tc>
          <w:tcPr>
            <w:tcW w:type="dxa" w:w="4680"/>
            <w:shd w:fill="F8FAFC"/>
            <w:tcMar>
              <w:top w:w="80" w:type="dxa"/>
              <w:bottom w:w="80" w:type="dxa"/>
              <w:left w:w="100" w:type="dxa"/>
              <w:right w:w="100" w:type="dxa"/>
            </w:tcMar>
          </w:tcPr>
          <w:p>
            <w:r>
              <w:rPr>
                <w:sz w:val="19"/>
              </w:rPr>
              <w:t>MongoDB (Mongoose ORM) for document metadata/chunks, FAISS binary index on disk for vectors</w:t>
            </w:r>
          </w:p>
        </w:tc>
      </w:tr>
      <w:tr>
        <w:tc>
          <w:tcPr>
            <w:tcW w:type="dxa" w:w="4680"/>
            <w:shd w:fill="FFFFFF"/>
            <w:tcMar>
              <w:top w:w="80" w:type="dxa"/>
              <w:bottom w:w="80" w:type="dxa"/>
              <w:left w:w="100" w:type="dxa"/>
              <w:right w:w="100" w:type="dxa"/>
            </w:tcMar>
          </w:tcPr>
          <w:p>
            <w:r>
              <w:rPr>
                <w:b/>
                <w:sz w:val="19"/>
              </w:rPr>
              <w:t>AI &amp; NLP Microservice</w:t>
            </w:r>
          </w:p>
        </w:tc>
        <w:tc>
          <w:tcPr>
            <w:tcW w:type="dxa" w:w="4680"/>
            <w:shd w:fill="FFFFFF"/>
            <w:tcMar>
              <w:top w:w="80" w:type="dxa"/>
              <w:bottom w:w="80" w:type="dxa"/>
              <w:left w:w="100" w:type="dxa"/>
              <w:right w:w="100" w:type="dxa"/>
            </w:tcMar>
          </w:tcPr>
          <w:p>
            <w:r>
              <w:rPr>
                <w:sz w:val="19"/>
              </w:rPr>
              <w:t>Python 3.12, FastAPI, SentenceTransformers ('all-MiniLM-L6-v2'), FAISS IndexFlatIP, Tesseract OCR</w:t>
            </w:r>
          </w:p>
        </w:tc>
      </w:tr>
    </w:tbl>
    <w:p>
      <w:pPr>
        <w:spacing w:after="240"/>
      </w:pPr>
    </w:p>
    <w:p>
      <w:pPr>
        <w:keepNext/>
        <w:spacing w:before="320" w:after="120"/>
      </w:pPr>
      <w:r>
        <w:rPr>
          <w:rFonts w:ascii="Calibri" w:hAnsi="Calibri"/>
          <w:b/>
          <w:color w:val="1E293B"/>
          <w:sz w:val="30"/>
        </w:rPr>
        <w:t>4. Detailed AI &amp; Vector Search Pipeline</w:t>
      </w:r>
    </w:p>
    <w:p>
      <w:pPr>
        <w:keepNext/>
        <w:spacing w:before="240" w:after="80"/>
      </w:pPr>
      <w:r>
        <w:rPr>
          <w:rFonts w:ascii="Calibri" w:hAnsi="Calibri"/>
          <w:b/>
          <w:color w:val="0EA5E9"/>
          <w:sz w:val="25"/>
        </w:rPr>
        <w:t>4.1 Document Processing &amp; Vector Chunking</w:t>
      </w:r>
    </w:p>
    <w:p>
      <w:r>
        <w:t>When an engineer uploads an industrial document (e.g., Boiler Maintenance Manual), the system executes a three-phase pipeline:</w:t>
        <w:br/>
        <w:t>1. Text Extraction: Text is extracted using pdfplumber or Tesseract OCR (for scanned engineering drawings and paper SOPs).</w:t>
        <w:br/>
        <w:t>2. Chunking: Text is segmented into 500-token sliding windows with a 100-token overlap to preserve contextual continuity across paragraphs.</w:t>
        <w:br/>
        <w:t>3. Dense Vector Embedding: Each chunk is encoded into a 384-dimensional dense floating-point vector using SentenceTransformers ('all-MiniLM-L6-v2'). Chunks are persisted in MongoDB and indexed into FAISS (IndexFlatIP) for instant vector search.</w:t>
      </w:r>
    </w:p>
    <w:p>
      <w:pPr>
        <w:keepNext/>
        <w:spacing w:before="240" w:after="80"/>
      </w:pPr>
      <w:r>
        <w:rPr>
          <w:rFonts w:ascii="Calibri" w:hAnsi="Calibri"/>
          <w:b/>
          <w:color w:val="0EA5E9"/>
          <w:sz w:val="25"/>
        </w:rPr>
        <w:t>4.2 Zero-Hallucination RAG Chain &amp; Guardrails</w:t>
      </w:r>
    </w:p>
    <w:p>
      <w:r>
        <w:t>To guarantee operational safety in industrial environments, the conversational engine applies a multi-stage validation sequence:</w:t>
        <w:br/>
        <w:t>• Query Embedding: The incoming engineer question is encoded into a 384-dim vector.</w:t>
        <w:br/>
        <w:t>• Hybrid Search (RRF): The FAISS index computes cosine inner-product similarity, combined with BM25 keyword matching for equipment tag precision.</w:t>
        <w:br/>
        <w:t>• Similarity Threshold Evaluation:</w:t>
        <w:br/>
        <w:t xml:space="preserve">  - If top similarity score ≥ 80%: High Confidence answer generated with ground-truth citations.</w:t>
        <w:br/>
        <w:t xml:space="preserve">  - If top similarity score is between 50% and 79%: Medium Confidence answer synthesized.</w:t>
        <w:br/>
        <w:t xml:space="preserve">  - If top similarity score &lt; 50%: Generation is suppressed. The AI returns a standardized notice stating that no relevant SOP or RCA context exists in the knowledge base, avoiding hallucinated instructions.</w:t>
      </w:r>
    </w:p>
    <w:p>
      <w:pPr>
        <w:keepNext/>
        <w:spacing w:before="320" w:after="120"/>
      </w:pPr>
      <w:r>
        <w:rPr>
          <w:rFonts w:ascii="Calibri" w:hAnsi="Calibri"/>
          <w:b/>
          <w:color w:val="1E293B"/>
          <w:sz w:val="30"/>
        </w:rPr>
        <w:t>5. Plant Verification &amp; Benchmark Test Results</w:t>
      </w:r>
    </w:p>
    <w:p>
      <w:r>
        <w:t>The system was validated using representative industrial plant manuals, SOPs, and incident reports across major plant assets:</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00" w:type="dxa"/>
              <w:bottom w:w="100" w:type="dxa"/>
              <w:left w:w="100" w:type="dxa"/>
              <w:right w:w="100" w:type="dxa"/>
            </w:tcMar>
          </w:tcPr>
          <w:p>
            <w:r>
              <w:rPr>
                <w:b/>
                <w:color w:val="FFFFFF"/>
              </w:rPr>
              <w:t>Asset &amp; Document</w:t>
            </w:r>
          </w:p>
        </w:tc>
        <w:tc>
          <w:tcPr>
            <w:tcW w:type="dxa" w:w="2340"/>
            <w:shd w:fill="1E293B"/>
            <w:tcMar>
              <w:top w:w="100" w:type="dxa"/>
              <w:bottom w:w="100" w:type="dxa"/>
              <w:left w:w="100" w:type="dxa"/>
              <w:right w:w="100" w:type="dxa"/>
            </w:tcMar>
          </w:tcPr>
          <w:p>
            <w:r>
              <w:rPr>
                <w:b/>
                <w:color w:val="FFFFFF"/>
              </w:rPr>
              <w:t>Test Query Statement</w:t>
            </w:r>
          </w:p>
        </w:tc>
        <w:tc>
          <w:tcPr>
            <w:tcW w:type="dxa" w:w="2340"/>
            <w:shd w:fill="1E293B"/>
            <w:tcMar>
              <w:top w:w="100" w:type="dxa"/>
              <w:bottom w:w="100" w:type="dxa"/>
              <w:left w:w="100" w:type="dxa"/>
              <w:right w:w="100" w:type="dxa"/>
            </w:tcMar>
          </w:tcPr>
          <w:p>
            <w:r>
              <w:rPr>
                <w:b/>
                <w:color w:val="FFFFFF"/>
              </w:rPr>
              <w:t>Retrieved Context &amp; Citation</w:t>
            </w:r>
          </w:p>
        </w:tc>
        <w:tc>
          <w:tcPr>
            <w:tcW w:type="dxa" w:w="2340"/>
            <w:shd w:fill="1E293B"/>
            <w:tcMar>
              <w:top w:w="100" w:type="dxa"/>
              <w:bottom w:w="100" w:type="dxa"/>
              <w:left w:w="100" w:type="dxa"/>
              <w:right w:w="100" w:type="dxa"/>
            </w:tcMar>
          </w:tcPr>
          <w:p>
            <w:r>
              <w:rPr>
                <w:b/>
                <w:color w:val="FFFFFF"/>
              </w:rPr>
              <w:t>Result Status</w:t>
            </w:r>
          </w:p>
        </w:tc>
      </w:tr>
      <w:tr>
        <w:tc>
          <w:tcPr>
            <w:tcW w:type="dxa" w:w="2340"/>
            <w:shd w:fill="F8FAFC"/>
            <w:tcMar>
              <w:top w:w="80" w:type="dxa"/>
              <w:bottom w:w="80" w:type="dxa"/>
              <w:left w:w="80" w:type="dxa"/>
              <w:right w:w="80" w:type="dxa"/>
            </w:tcMar>
          </w:tcPr>
          <w:p>
            <w:r>
              <w:rPr>
                <w:sz w:val="18"/>
              </w:rPr>
              <w:t>PUMP-101 (Feedwater SOP)</w:t>
            </w:r>
          </w:p>
        </w:tc>
        <w:tc>
          <w:tcPr>
            <w:tcW w:type="dxa" w:w="2340"/>
            <w:shd w:fill="F8FAFC"/>
            <w:tcMar>
              <w:top w:w="80" w:type="dxa"/>
              <w:bottom w:w="80" w:type="dxa"/>
              <w:left w:w="80" w:type="dxa"/>
              <w:right w:w="80" w:type="dxa"/>
            </w:tcMar>
          </w:tcPr>
          <w:p>
            <w:r>
              <w:rPr>
                <w:sz w:val="18"/>
              </w:rPr>
              <w:t>What is the startup sequence and seal flush pressure?</w:t>
            </w:r>
          </w:p>
        </w:tc>
        <w:tc>
          <w:tcPr>
            <w:tcW w:type="dxa" w:w="2340"/>
            <w:shd w:fill="F8FAFC"/>
            <w:tcMar>
              <w:top w:w="80" w:type="dxa"/>
              <w:bottom w:w="80" w:type="dxa"/>
              <w:left w:w="80" w:type="dxa"/>
              <w:right w:w="80" w:type="dxa"/>
            </w:tcMar>
          </w:tcPr>
          <w:p>
            <w:r>
              <w:rPr>
                <w:sz w:val="18"/>
              </w:rPr>
              <w:t>SOP-PUMP-101 v2.1: Lube oil &gt;75%, Plan 53A pressure at 4.2 bar, startup MOV-102 over 90s.</w:t>
            </w:r>
          </w:p>
        </w:tc>
        <w:tc>
          <w:tcPr>
            <w:tcW w:type="dxa" w:w="2340"/>
            <w:shd w:fill="F8FAFC"/>
            <w:tcMar>
              <w:top w:w="80" w:type="dxa"/>
              <w:bottom w:w="80" w:type="dxa"/>
              <w:left w:w="80" w:type="dxa"/>
              <w:right w:w="80" w:type="dxa"/>
            </w:tcMar>
          </w:tcPr>
          <w:p>
            <w:r>
              <w:rPr>
                <w:b/>
                <w:sz w:val="18"/>
              </w:rPr>
              <w:t>PASSED (75% Conf)</w:t>
            </w:r>
          </w:p>
        </w:tc>
      </w:tr>
      <w:tr>
        <w:tc>
          <w:tcPr>
            <w:tcW w:type="dxa" w:w="2340"/>
            <w:shd w:fill="FFFFFF"/>
            <w:tcMar>
              <w:top w:w="80" w:type="dxa"/>
              <w:bottom w:w="80" w:type="dxa"/>
              <w:left w:w="80" w:type="dxa"/>
              <w:right w:w="80" w:type="dxa"/>
            </w:tcMar>
          </w:tcPr>
          <w:p>
            <w:r>
              <w:rPr>
                <w:sz w:val="18"/>
              </w:rPr>
              <w:t>COMP-07 (Compressor RCA)</w:t>
            </w:r>
          </w:p>
        </w:tc>
        <w:tc>
          <w:tcPr>
            <w:tcW w:type="dxa" w:w="2340"/>
            <w:shd w:fill="FFFFFF"/>
            <w:tcMar>
              <w:top w:w="80" w:type="dxa"/>
              <w:bottom w:w="80" w:type="dxa"/>
              <w:left w:w="80" w:type="dxa"/>
              <w:right w:w="80" w:type="dxa"/>
            </w:tcMar>
          </w:tcPr>
          <w:p>
            <w:r>
              <w:rPr>
                <w:sz w:val="18"/>
              </w:rPr>
              <w:t>What was the root cause of bearing temp trip?</w:t>
            </w:r>
          </w:p>
        </w:tc>
        <w:tc>
          <w:tcPr>
            <w:tcW w:type="dxa" w:w="2340"/>
            <w:shd w:fill="FFFFFF"/>
            <w:tcMar>
              <w:top w:w="80" w:type="dxa"/>
              <w:bottom w:w="80" w:type="dxa"/>
              <w:left w:w="80" w:type="dxa"/>
              <w:right w:w="80" w:type="dxa"/>
            </w:tcMar>
          </w:tcPr>
          <w:p>
            <w:r>
              <w:rPr>
                <w:sz w:val="18"/>
              </w:rPr>
              <w:t>RCA-COMP-07 v1.2: Debris blockage in oil filter bypass valve causing lube starvation.</w:t>
            </w:r>
          </w:p>
        </w:tc>
        <w:tc>
          <w:tcPr>
            <w:tcW w:type="dxa" w:w="2340"/>
            <w:shd w:fill="FFFFFF"/>
            <w:tcMar>
              <w:top w:w="80" w:type="dxa"/>
              <w:bottom w:w="80" w:type="dxa"/>
              <w:left w:w="80" w:type="dxa"/>
              <w:right w:w="80" w:type="dxa"/>
            </w:tcMar>
          </w:tcPr>
          <w:p>
            <w:r>
              <w:rPr>
                <w:b/>
                <w:sz w:val="18"/>
              </w:rPr>
              <w:t>PASSED (75% Conf)</w:t>
            </w:r>
          </w:p>
        </w:tc>
      </w:tr>
      <w:tr>
        <w:tc>
          <w:tcPr>
            <w:tcW w:type="dxa" w:w="2340"/>
            <w:shd w:fill="F8FAFC"/>
            <w:tcMar>
              <w:top w:w="80" w:type="dxa"/>
              <w:bottom w:w="80" w:type="dxa"/>
              <w:left w:w="80" w:type="dxa"/>
              <w:right w:w="80" w:type="dxa"/>
            </w:tcMar>
          </w:tcPr>
          <w:p>
            <w:r>
              <w:rPr>
                <w:sz w:val="18"/>
              </w:rPr>
              <w:t>Nuclear Reactor (Unrelated)</w:t>
            </w:r>
          </w:p>
        </w:tc>
        <w:tc>
          <w:tcPr>
            <w:tcW w:type="dxa" w:w="2340"/>
            <w:shd w:fill="F8FAFC"/>
            <w:tcMar>
              <w:top w:w="80" w:type="dxa"/>
              <w:bottom w:w="80" w:type="dxa"/>
              <w:left w:w="80" w:type="dxa"/>
              <w:right w:w="80" w:type="dxa"/>
            </w:tcMar>
          </w:tcPr>
          <w:p>
            <w:r>
              <w:rPr>
                <w:sz w:val="18"/>
              </w:rPr>
              <w:t>What is the core temperature limit of Reactor Core 9?</w:t>
            </w:r>
          </w:p>
        </w:tc>
        <w:tc>
          <w:tcPr>
            <w:tcW w:type="dxa" w:w="2340"/>
            <w:shd w:fill="F8FAFC"/>
            <w:tcMar>
              <w:top w:w="80" w:type="dxa"/>
              <w:bottom w:w="80" w:type="dxa"/>
              <w:left w:w="80" w:type="dxa"/>
              <w:right w:w="80" w:type="dxa"/>
            </w:tcMar>
          </w:tcPr>
          <w:p>
            <w:r>
              <w:rPr>
                <w:sz w:val="18"/>
              </w:rPr>
              <w:t>Out-of-Scope query suppressed by safety guardrail (&lt;50% score). No hallucination.</w:t>
            </w:r>
          </w:p>
        </w:tc>
        <w:tc>
          <w:tcPr>
            <w:tcW w:type="dxa" w:w="2340"/>
            <w:shd w:fill="F8FAFC"/>
            <w:tcMar>
              <w:top w:w="80" w:type="dxa"/>
              <w:bottom w:w="80" w:type="dxa"/>
              <w:left w:w="80" w:type="dxa"/>
              <w:right w:w="80" w:type="dxa"/>
            </w:tcMar>
          </w:tcPr>
          <w:p>
            <w:r>
              <w:rPr>
                <w:b/>
                <w:sz w:val="18"/>
              </w:rPr>
              <w:t>PASSED (Suppressed)</w:t>
            </w:r>
          </w:p>
        </w:tc>
      </w:tr>
    </w:tbl>
    <w:p>
      <w:pPr>
        <w:spacing w:after="240"/>
      </w:pPr>
    </w:p>
    <w:p>
      <w:pPr>
        <w:keepNext/>
        <w:spacing w:before="320" w:after="120"/>
      </w:pPr>
      <w:r>
        <w:rPr>
          <w:rFonts w:ascii="Calibri" w:hAnsi="Calibri"/>
          <w:b/>
          <w:color w:val="1E293B"/>
          <w:sz w:val="30"/>
        </w:rPr>
        <w:t>6. Deployment &amp; Developer Setup Guide</w:t>
      </w:r>
    </w:p>
    <w:p>
      <w:r>
        <w:t>The codebase is fully containerized and structured for seamless deployment in both local development and production environments.</w:t>
        <w:br/>
        <w:br/>
        <w:t>Prerequisites:</w:t>
        <w:br/>
        <w:t>• Node.js (v20+), Python (v3.10+), MongoDB (v6.0+), Docker &amp; Docker Compose.</w:t>
        <w:br/>
        <w:br/>
        <w:t>Quick Start Instructions:</w:t>
        <w:br/>
        <w:t>1. Clone repository: git clone https://github.com/Saurabh-Shinde-Patil/ET-industrial-ai.git</w:t>
        <w:br/>
        <w:t>2. Start Python AI Microservice: cd ai_service &amp;&amp; python main.py (Port 8000)</w:t>
        <w:br/>
        <w:t>3. Start Node.js API Gateway: cd backend &amp;&amp; npm run dev (Port 5000)</w:t>
        <w:br/>
        <w:t>4. Start Frontend Web App: cd frontend &amp;&amp; npm run dev (Port 5173)</w:t>
        <w:br/>
        <w:t>5. Docker Production Launch: docker-compose up --build -d</w:t>
      </w:r>
    </w:p>
    <w:p>
      <w:pPr>
        <w:keepNext/>
        <w:spacing w:before="320" w:after="120"/>
      </w:pPr>
      <w:r>
        <w:rPr>
          <w:rFonts w:ascii="Calibri" w:hAnsi="Calibri"/>
          <w:b/>
          <w:color w:val="1E293B"/>
          <w:sz w:val="30"/>
        </w:rPr>
        <w:t>7. Conclusion &amp; Operational ROI</w:t>
      </w:r>
    </w:p>
    <w:p>
      <w:r>
        <w:t>ET Industrial AI establishes a robust, highly reliable foundation for industrial digital transformation. By linking legacy manuals and real-time plant operations through zero-hallucination RAG intelligence, the platform significantly reduces mean time to resolution (MTTR), eliminates knowledge siloes, and improves overall plant reliability.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