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79F30" w14:textId="0632038C" w:rsidR="00042219" w:rsidRPr="00424E0D" w:rsidRDefault="003B3A05" w:rsidP="000D45E3">
      <w:pPr>
        <w:pStyle w:val="ListParagraph"/>
        <w:numPr>
          <w:ilvl w:val="0"/>
          <w:numId w:val="1"/>
        </w:numPr>
        <w:rPr>
          <w:highlight w:val="yellow"/>
        </w:rPr>
      </w:pPr>
      <w:r w:rsidRPr="00424E0D">
        <w:rPr>
          <w:highlight w:val="yellow"/>
        </w:rPr>
        <w:t>The</w:t>
      </w:r>
      <w:r w:rsidR="00932135" w:rsidRPr="00424E0D">
        <w:rPr>
          <w:highlight w:val="yellow"/>
        </w:rPr>
        <w:t xml:space="preserve"> paper needs to state what exactly has been proposed in new terms vis-a-vis existing models like LXMERT or Pixel-BERT for VQA.</w:t>
      </w:r>
    </w:p>
    <w:p w14:paraId="2FDD385E" w14:textId="77777777" w:rsidR="000D45E3" w:rsidRDefault="00932135" w:rsidP="000D45E3">
      <w:pPr>
        <w:pStyle w:val="ListParagraph"/>
      </w:pPr>
      <w:r w:rsidRPr="00932135">
        <w:br/>
        <w:t>2</w:t>
      </w:r>
      <w:r w:rsidRPr="007F0B9C">
        <w:rPr>
          <w:highlight w:val="yellow"/>
        </w:rPr>
        <w:t>. The validation accuracy is low indicating the possibility of overfitting, and the authors should explore the application of regularization techniques or potential validation cross-dataset for improvement of generalization.</w:t>
      </w:r>
    </w:p>
    <w:p w14:paraId="2122C1BC" w14:textId="77777777" w:rsidR="000D45E3" w:rsidRDefault="00932135" w:rsidP="000D45E3">
      <w:pPr>
        <w:pStyle w:val="ListParagraph"/>
      </w:pPr>
      <w:r w:rsidRPr="00932135">
        <w:br/>
        <w:t xml:space="preserve">3. </w:t>
      </w:r>
      <w:r w:rsidRPr="00271E66">
        <w:rPr>
          <w:highlight w:val="yellow"/>
        </w:rPr>
        <w:t>Scene graphs can be richly illustrated with better pictorials and an extensive breakdown of how they improve performance on question answering.</w:t>
      </w:r>
    </w:p>
    <w:p w14:paraId="38035129" w14:textId="77777777" w:rsidR="000D45E3" w:rsidRDefault="00932135" w:rsidP="000D45E3">
      <w:pPr>
        <w:pStyle w:val="ListParagraph"/>
      </w:pPr>
      <w:r w:rsidRPr="00932135">
        <w:br/>
      </w:r>
      <w:r w:rsidRPr="00F70D9C">
        <w:rPr>
          <w:highlight w:val="yellow"/>
        </w:rPr>
        <w:t>4. Evaluation should not be limited to accuracy alone, but must include some VQA-standard metrics, such as consensus scores and precision-recall assessment.</w:t>
      </w:r>
    </w:p>
    <w:p w14:paraId="1D5C11CB" w14:textId="77777777" w:rsidR="000D45E3" w:rsidRDefault="00932135" w:rsidP="000D45E3">
      <w:pPr>
        <w:pStyle w:val="ListParagraph"/>
      </w:pPr>
      <w:r w:rsidRPr="00932135">
        <w:br/>
      </w:r>
      <w:r w:rsidRPr="00B67970">
        <w:rPr>
          <w:highlight w:val="yellow"/>
        </w:rPr>
        <w:t>5. It is very interesting the CBMS approach, but one can expand it with failures, some ablation studies, and comparisons with other model fusion approaches.</w:t>
      </w:r>
    </w:p>
    <w:p w14:paraId="16D3A580" w14:textId="77777777" w:rsidR="000D45E3" w:rsidRDefault="00932135" w:rsidP="000D45E3">
      <w:pPr>
        <w:pStyle w:val="ListParagraph"/>
      </w:pPr>
      <w:r w:rsidRPr="00932135">
        <w:br/>
      </w:r>
      <w:r w:rsidRPr="00D87536">
        <w:rPr>
          <w:highlight w:val="yellow"/>
        </w:rPr>
        <w:t>6. Such related work is covered in a comprehensive manner, but it should be relatively focused and complemented by a comparative table summarizing model architectures and certain critical differences.</w:t>
      </w:r>
    </w:p>
    <w:p w14:paraId="7AEAFE50" w14:textId="77777777" w:rsidR="000D45E3" w:rsidRDefault="00932135" w:rsidP="000D45E3">
      <w:pPr>
        <w:pStyle w:val="ListParagraph"/>
      </w:pPr>
      <w:r w:rsidRPr="00932135">
        <w:br/>
        <w:t xml:space="preserve">7. </w:t>
      </w:r>
      <w:r w:rsidRPr="00217BBF">
        <w:rPr>
          <w:highlight w:val="yellow"/>
        </w:rPr>
        <w:t>There are issues regarding data leakage because of the overlap between VQA v2.0 and Visual Genome datasets; these need to be countered to ensure a fair evaluation.</w:t>
      </w:r>
    </w:p>
    <w:p w14:paraId="1835549E" w14:textId="5080DEAA" w:rsidR="00E60367" w:rsidRDefault="00932135" w:rsidP="000D45E3">
      <w:pPr>
        <w:pStyle w:val="ListParagraph"/>
      </w:pPr>
      <w:r w:rsidRPr="00932135">
        <w:br/>
      </w:r>
      <w:r w:rsidRPr="00AD12D6">
        <w:rPr>
          <w:highlight w:val="yellow"/>
        </w:rPr>
        <w:t xml:space="preserve">8. Improvement should be made in the figures and illustrations in the paper by having clear </w:t>
      </w:r>
      <w:proofErr w:type="spellStart"/>
      <w:r w:rsidRPr="00AD12D6">
        <w:rPr>
          <w:highlight w:val="yellow"/>
        </w:rPr>
        <w:t>labeling</w:t>
      </w:r>
      <w:proofErr w:type="spellEnd"/>
      <w:r w:rsidRPr="00AD12D6">
        <w:rPr>
          <w:highlight w:val="yellow"/>
        </w:rPr>
        <w:t xml:space="preserve"> and </w:t>
      </w:r>
      <w:proofErr w:type="spellStart"/>
      <w:r w:rsidRPr="00AD12D6">
        <w:rPr>
          <w:highlight w:val="yellow"/>
        </w:rPr>
        <w:t>color</w:t>
      </w:r>
      <w:proofErr w:type="spellEnd"/>
      <w:r w:rsidRPr="00AD12D6">
        <w:rPr>
          <w:highlight w:val="yellow"/>
        </w:rPr>
        <w:t xml:space="preserve"> coding along with an exemplary illustration that shows the entire pipeline for VQA with scene graphs.</w:t>
      </w:r>
    </w:p>
    <w:p w14:paraId="4FE6BFD8" w14:textId="77777777" w:rsidR="002346BC" w:rsidRDefault="002346BC" w:rsidP="000D45E3">
      <w:pPr>
        <w:pStyle w:val="ListParagraph"/>
      </w:pPr>
    </w:p>
    <w:p w14:paraId="4BEA9601" w14:textId="77777777" w:rsidR="002346BC" w:rsidRDefault="002346BC" w:rsidP="000D45E3">
      <w:pPr>
        <w:pStyle w:val="ListParagraph"/>
      </w:pPr>
    </w:p>
    <w:p w14:paraId="144DD076" w14:textId="77777777" w:rsidR="002346BC" w:rsidRDefault="002346BC" w:rsidP="000D45E3">
      <w:pPr>
        <w:pStyle w:val="ListParagraph"/>
      </w:pPr>
    </w:p>
    <w:p w14:paraId="0B0D3A82" w14:textId="77777777" w:rsidR="002346BC" w:rsidRDefault="002346BC" w:rsidP="000D45E3">
      <w:pPr>
        <w:pStyle w:val="ListParagraph"/>
      </w:pPr>
    </w:p>
    <w:p w14:paraId="74D11043" w14:textId="77777777" w:rsidR="002346BC" w:rsidRDefault="002346BC" w:rsidP="000D45E3">
      <w:pPr>
        <w:pStyle w:val="ListParagraph"/>
      </w:pPr>
    </w:p>
    <w:p w14:paraId="5C2D4828" w14:textId="77777777" w:rsidR="002346BC" w:rsidRDefault="002346BC" w:rsidP="000D45E3">
      <w:pPr>
        <w:pStyle w:val="ListParagraph"/>
      </w:pPr>
    </w:p>
    <w:p w14:paraId="46FA7D2B" w14:textId="77777777" w:rsidR="002346BC" w:rsidRDefault="002346BC" w:rsidP="000D45E3">
      <w:pPr>
        <w:pStyle w:val="ListParagraph"/>
      </w:pPr>
    </w:p>
    <w:p w14:paraId="3BCD324E" w14:textId="77777777" w:rsidR="002346BC" w:rsidRDefault="002346BC" w:rsidP="000D45E3">
      <w:pPr>
        <w:pStyle w:val="ListParagraph"/>
      </w:pPr>
    </w:p>
    <w:p w14:paraId="56971E7E" w14:textId="77777777" w:rsidR="002346BC" w:rsidRDefault="002346BC" w:rsidP="000D45E3">
      <w:pPr>
        <w:pStyle w:val="ListParagraph"/>
      </w:pPr>
    </w:p>
    <w:p w14:paraId="1F30880F" w14:textId="77777777" w:rsidR="002346BC" w:rsidRDefault="002346BC" w:rsidP="000D45E3">
      <w:pPr>
        <w:pStyle w:val="ListParagraph"/>
      </w:pPr>
    </w:p>
    <w:p w14:paraId="7174831C" w14:textId="77777777" w:rsidR="002346BC" w:rsidRDefault="002346BC" w:rsidP="000D45E3">
      <w:pPr>
        <w:pStyle w:val="ListParagraph"/>
      </w:pPr>
    </w:p>
    <w:p w14:paraId="54AA719A" w14:textId="77777777" w:rsidR="002346BC" w:rsidRDefault="002346BC" w:rsidP="000D45E3">
      <w:pPr>
        <w:pStyle w:val="ListParagraph"/>
      </w:pPr>
    </w:p>
    <w:p w14:paraId="6D9400EF" w14:textId="77777777" w:rsidR="002346BC" w:rsidRDefault="002346BC" w:rsidP="000D45E3">
      <w:pPr>
        <w:pStyle w:val="ListParagraph"/>
      </w:pPr>
    </w:p>
    <w:p w14:paraId="07BBEE9A" w14:textId="77777777" w:rsidR="002346BC" w:rsidRDefault="002346BC" w:rsidP="000D45E3">
      <w:pPr>
        <w:pStyle w:val="ListParagraph"/>
      </w:pPr>
    </w:p>
    <w:p w14:paraId="2A20C773" w14:textId="77777777" w:rsidR="002346BC" w:rsidRDefault="002346BC" w:rsidP="000D45E3">
      <w:pPr>
        <w:pStyle w:val="ListParagraph"/>
      </w:pPr>
    </w:p>
    <w:tbl>
      <w:tblPr>
        <w:tblStyle w:val="TableGrid"/>
        <w:tblW w:w="4966" w:type="dxa"/>
        <w:jc w:val="center"/>
        <w:tblLook w:val="04A0" w:firstRow="1" w:lastRow="0" w:firstColumn="1" w:lastColumn="0" w:noHBand="0" w:noVBand="1"/>
      </w:tblPr>
      <w:tblGrid>
        <w:gridCol w:w="1506"/>
        <w:gridCol w:w="1545"/>
        <w:gridCol w:w="1915"/>
      </w:tblGrid>
      <w:tr w:rsidR="002346BC" w:rsidRPr="000D34D8" w14:paraId="1CB4C8B7" w14:textId="77777777" w:rsidTr="000D34D8">
        <w:trPr>
          <w:jc w:val="center"/>
        </w:trPr>
        <w:tc>
          <w:tcPr>
            <w:tcW w:w="1506" w:type="dxa"/>
          </w:tcPr>
          <w:p w14:paraId="48E524E1" w14:textId="77777777" w:rsidR="002346BC" w:rsidRPr="000D34D8" w:rsidRDefault="002346BC" w:rsidP="000D34D8">
            <w:pPr>
              <w:jc w:val="center"/>
              <w:rPr>
                <w:rFonts w:eastAsia="Calibri"/>
                <w:b/>
                <w:bCs/>
              </w:rPr>
            </w:pPr>
            <w:bookmarkStart w:id="0" w:name="_Hlk198165927"/>
            <w:r w:rsidRPr="000D34D8">
              <w:rPr>
                <w:rFonts w:eastAsia="Calibri"/>
                <w:b/>
                <w:bCs/>
              </w:rPr>
              <w:lastRenderedPageBreak/>
              <w:t>Model</w:t>
            </w:r>
          </w:p>
        </w:tc>
        <w:tc>
          <w:tcPr>
            <w:tcW w:w="1545" w:type="dxa"/>
          </w:tcPr>
          <w:p w14:paraId="19C4B6F7" w14:textId="77777777" w:rsidR="002346BC" w:rsidRPr="000D34D8" w:rsidRDefault="002346BC" w:rsidP="000D34D8">
            <w:pPr>
              <w:jc w:val="center"/>
              <w:rPr>
                <w:rFonts w:eastAsia="Calibri"/>
                <w:b/>
                <w:bCs/>
              </w:rPr>
            </w:pPr>
            <w:r w:rsidRPr="000D34D8">
              <w:rPr>
                <w:rFonts w:eastAsia="Calibri"/>
                <w:b/>
                <w:bCs/>
              </w:rPr>
              <w:t>Datasets</w:t>
            </w:r>
          </w:p>
        </w:tc>
        <w:tc>
          <w:tcPr>
            <w:tcW w:w="1915" w:type="dxa"/>
          </w:tcPr>
          <w:p w14:paraId="2AABD26F" w14:textId="63B540C5" w:rsidR="002346BC" w:rsidRPr="000D34D8" w:rsidRDefault="002346BC" w:rsidP="000D34D8">
            <w:pPr>
              <w:jc w:val="center"/>
              <w:rPr>
                <w:rFonts w:eastAsia="Calibri"/>
                <w:b/>
                <w:bCs/>
              </w:rPr>
            </w:pPr>
            <w:r w:rsidRPr="000D34D8">
              <w:rPr>
                <w:rFonts w:eastAsia="Calibri"/>
                <w:b/>
                <w:bCs/>
              </w:rPr>
              <w:t>Accuracy</w:t>
            </w:r>
          </w:p>
        </w:tc>
      </w:tr>
      <w:tr w:rsidR="002346BC" w:rsidRPr="000D34D8" w14:paraId="77419788" w14:textId="77777777" w:rsidTr="000D34D8">
        <w:trPr>
          <w:jc w:val="center"/>
        </w:trPr>
        <w:tc>
          <w:tcPr>
            <w:tcW w:w="1506" w:type="dxa"/>
          </w:tcPr>
          <w:p w14:paraId="5E84C688" w14:textId="77777777" w:rsidR="002346BC" w:rsidRPr="000D34D8" w:rsidRDefault="002346BC" w:rsidP="000D34D8">
            <w:pPr>
              <w:jc w:val="center"/>
              <w:rPr>
                <w:rFonts w:eastAsia="Calibri"/>
              </w:rPr>
            </w:pPr>
            <w:proofErr w:type="spellStart"/>
            <w:r w:rsidRPr="000D34D8">
              <w:rPr>
                <w:rFonts w:eastAsia="Calibri"/>
              </w:rPr>
              <w:t>VisualBERT</w:t>
            </w:r>
            <w:proofErr w:type="spellEnd"/>
          </w:p>
        </w:tc>
        <w:tc>
          <w:tcPr>
            <w:tcW w:w="1545" w:type="dxa"/>
          </w:tcPr>
          <w:p w14:paraId="26C13623" w14:textId="77777777" w:rsidR="002346BC" w:rsidRPr="000D34D8" w:rsidRDefault="002346B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VQA v2.0</w:t>
            </w:r>
          </w:p>
        </w:tc>
        <w:tc>
          <w:tcPr>
            <w:tcW w:w="1915" w:type="dxa"/>
          </w:tcPr>
          <w:p w14:paraId="5D469150" w14:textId="77777777" w:rsidR="002346BC" w:rsidRPr="000D34D8" w:rsidRDefault="002346B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71.00</w:t>
            </w:r>
          </w:p>
        </w:tc>
      </w:tr>
      <w:tr w:rsidR="002346BC" w:rsidRPr="000D34D8" w14:paraId="39DF59F7" w14:textId="77777777" w:rsidTr="000D34D8">
        <w:trPr>
          <w:jc w:val="center"/>
        </w:trPr>
        <w:tc>
          <w:tcPr>
            <w:tcW w:w="1506" w:type="dxa"/>
          </w:tcPr>
          <w:p w14:paraId="2A5F24B5" w14:textId="77777777" w:rsidR="002346BC" w:rsidRPr="000D34D8" w:rsidRDefault="002346BC" w:rsidP="000D34D8">
            <w:pPr>
              <w:ind w:left="360"/>
              <w:jc w:val="center"/>
              <w:rPr>
                <w:rFonts w:eastAsia="Calibri"/>
              </w:rPr>
            </w:pPr>
          </w:p>
        </w:tc>
        <w:tc>
          <w:tcPr>
            <w:tcW w:w="1545" w:type="dxa"/>
          </w:tcPr>
          <w:p w14:paraId="1F10079A" w14:textId="77777777" w:rsidR="002346BC" w:rsidRPr="000D34D8" w:rsidRDefault="002346B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NLVR2</w:t>
            </w:r>
          </w:p>
        </w:tc>
        <w:tc>
          <w:tcPr>
            <w:tcW w:w="1915" w:type="dxa"/>
          </w:tcPr>
          <w:p w14:paraId="45005C3D" w14:textId="77777777" w:rsidR="002346BC" w:rsidRPr="000D34D8" w:rsidRDefault="002346B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67.00</w:t>
            </w:r>
          </w:p>
        </w:tc>
      </w:tr>
      <w:tr w:rsidR="002346BC" w:rsidRPr="000D34D8" w14:paraId="78EBCFBB" w14:textId="77777777" w:rsidTr="000D34D8">
        <w:trPr>
          <w:jc w:val="center"/>
        </w:trPr>
        <w:tc>
          <w:tcPr>
            <w:tcW w:w="1506" w:type="dxa"/>
          </w:tcPr>
          <w:p w14:paraId="488B2F59" w14:textId="77777777" w:rsidR="002346BC" w:rsidRPr="000D34D8" w:rsidRDefault="002346BC" w:rsidP="000D34D8">
            <w:pPr>
              <w:ind w:left="360"/>
              <w:jc w:val="center"/>
              <w:rPr>
                <w:rFonts w:eastAsia="Calibri"/>
              </w:rPr>
            </w:pPr>
          </w:p>
        </w:tc>
        <w:tc>
          <w:tcPr>
            <w:tcW w:w="1545" w:type="dxa"/>
          </w:tcPr>
          <w:p w14:paraId="1EA44246" w14:textId="77777777" w:rsidR="002346BC" w:rsidRPr="000D34D8" w:rsidRDefault="002346B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VCR</w:t>
            </w:r>
          </w:p>
        </w:tc>
        <w:tc>
          <w:tcPr>
            <w:tcW w:w="1915" w:type="dxa"/>
          </w:tcPr>
          <w:p w14:paraId="1E8F4236" w14:textId="2A60FDC6" w:rsidR="002346BC" w:rsidRPr="000D34D8" w:rsidRDefault="002346B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71.6</w:t>
            </w:r>
            <w:r w:rsidR="00254AFC" w:rsidRPr="000D34D8">
              <w:rPr>
                <w:rFonts w:eastAsia="Calibri"/>
              </w:rPr>
              <w:t>0</w:t>
            </w:r>
          </w:p>
        </w:tc>
      </w:tr>
      <w:tr w:rsidR="002346BC" w:rsidRPr="000D34D8" w14:paraId="515455B0" w14:textId="77777777" w:rsidTr="000D34D8">
        <w:trPr>
          <w:jc w:val="center"/>
        </w:trPr>
        <w:tc>
          <w:tcPr>
            <w:tcW w:w="1506" w:type="dxa"/>
          </w:tcPr>
          <w:p w14:paraId="098D2908" w14:textId="77777777" w:rsidR="002346BC" w:rsidRPr="000D34D8" w:rsidRDefault="002346BC" w:rsidP="000D34D8">
            <w:pPr>
              <w:ind w:left="360"/>
              <w:jc w:val="center"/>
              <w:rPr>
                <w:rFonts w:eastAsia="Calibri"/>
              </w:rPr>
            </w:pPr>
          </w:p>
        </w:tc>
        <w:tc>
          <w:tcPr>
            <w:tcW w:w="1545" w:type="dxa"/>
          </w:tcPr>
          <w:p w14:paraId="076BC132" w14:textId="77777777" w:rsidR="002346BC" w:rsidRPr="000D34D8" w:rsidRDefault="002346B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Flickr30K</w:t>
            </w:r>
          </w:p>
        </w:tc>
        <w:tc>
          <w:tcPr>
            <w:tcW w:w="1915" w:type="dxa"/>
          </w:tcPr>
          <w:p w14:paraId="4BDF51DC" w14:textId="77777777" w:rsidR="002346BC" w:rsidRPr="000D34D8" w:rsidRDefault="002346B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71.33</w:t>
            </w:r>
          </w:p>
        </w:tc>
      </w:tr>
      <w:tr w:rsidR="00254AFC" w:rsidRPr="000D34D8" w14:paraId="590B7256" w14:textId="77777777" w:rsidTr="000D34D8">
        <w:trPr>
          <w:jc w:val="center"/>
        </w:trPr>
        <w:tc>
          <w:tcPr>
            <w:tcW w:w="1506" w:type="dxa"/>
          </w:tcPr>
          <w:p w14:paraId="1022D596" w14:textId="1066AA28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ViLBERT</w:t>
            </w:r>
          </w:p>
        </w:tc>
        <w:tc>
          <w:tcPr>
            <w:tcW w:w="1545" w:type="dxa"/>
          </w:tcPr>
          <w:p w14:paraId="2368A047" w14:textId="4D9A8CA8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VQA v2.0</w:t>
            </w:r>
          </w:p>
        </w:tc>
        <w:tc>
          <w:tcPr>
            <w:tcW w:w="1915" w:type="dxa"/>
          </w:tcPr>
          <w:p w14:paraId="7FD993E3" w14:textId="3D12F7DA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70.55</w:t>
            </w:r>
          </w:p>
        </w:tc>
      </w:tr>
      <w:tr w:rsidR="00254AFC" w:rsidRPr="000D34D8" w14:paraId="5D73F5C0" w14:textId="77777777" w:rsidTr="000D34D8">
        <w:trPr>
          <w:jc w:val="center"/>
        </w:trPr>
        <w:tc>
          <w:tcPr>
            <w:tcW w:w="1506" w:type="dxa"/>
          </w:tcPr>
          <w:p w14:paraId="164496A3" w14:textId="77777777" w:rsidR="00254AFC" w:rsidRPr="000D34D8" w:rsidRDefault="00254AFC" w:rsidP="000D34D8">
            <w:pPr>
              <w:ind w:left="360"/>
              <w:jc w:val="center"/>
              <w:rPr>
                <w:rFonts w:eastAsia="Calibri"/>
              </w:rPr>
            </w:pPr>
          </w:p>
        </w:tc>
        <w:tc>
          <w:tcPr>
            <w:tcW w:w="1545" w:type="dxa"/>
          </w:tcPr>
          <w:p w14:paraId="60539F70" w14:textId="1BBB327A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VCR</w:t>
            </w:r>
          </w:p>
        </w:tc>
        <w:tc>
          <w:tcPr>
            <w:tcW w:w="1915" w:type="dxa"/>
          </w:tcPr>
          <w:p w14:paraId="03187CAF" w14:textId="778C2259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72.42</w:t>
            </w:r>
          </w:p>
        </w:tc>
      </w:tr>
      <w:tr w:rsidR="00254AFC" w:rsidRPr="000D34D8" w14:paraId="6E0C99B4" w14:textId="77777777" w:rsidTr="000D34D8">
        <w:trPr>
          <w:jc w:val="center"/>
        </w:trPr>
        <w:tc>
          <w:tcPr>
            <w:tcW w:w="1506" w:type="dxa"/>
          </w:tcPr>
          <w:p w14:paraId="65E94BE1" w14:textId="00B58443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ViLBERT</w:t>
            </w:r>
          </w:p>
        </w:tc>
        <w:tc>
          <w:tcPr>
            <w:tcW w:w="1545" w:type="dxa"/>
          </w:tcPr>
          <w:p w14:paraId="4210D85F" w14:textId="4E9FB603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VQA v2.0</w:t>
            </w:r>
          </w:p>
        </w:tc>
        <w:tc>
          <w:tcPr>
            <w:tcW w:w="1915" w:type="dxa"/>
          </w:tcPr>
          <w:p w14:paraId="1B4981FD" w14:textId="6016695B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70.55</w:t>
            </w:r>
          </w:p>
        </w:tc>
      </w:tr>
      <w:tr w:rsidR="00254AFC" w:rsidRPr="000D34D8" w14:paraId="1E2160DF" w14:textId="77777777" w:rsidTr="000D34D8">
        <w:trPr>
          <w:jc w:val="center"/>
        </w:trPr>
        <w:tc>
          <w:tcPr>
            <w:tcW w:w="1506" w:type="dxa"/>
          </w:tcPr>
          <w:p w14:paraId="60D896A1" w14:textId="7380BB72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Pixel-BERT (x152)</w:t>
            </w:r>
          </w:p>
        </w:tc>
        <w:tc>
          <w:tcPr>
            <w:tcW w:w="1545" w:type="dxa"/>
          </w:tcPr>
          <w:p w14:paraId="70178CDB" w14:textId="2347450E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VQA 2.0</w:t>
            </w:r>
          </w:p>
        </w:tc>
        <w:tc>
          <w:tcPr>
            <w:tcW w:w="1915" w:type="dxa"/>
          </w:tcPr>
          <w:p w14:paraId="52839CC0" w14:textId="7AEF2792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74.45</w:t>
            </w:r>
          </w:p>
        </w:tc>
      </w:tr>
      <w:tr w:rsidR="00254AFC" w:rsidRPr="000D34D8" w14:paraId="026C2540" w14:textId="77777777" w:rsidTr="000D34D8">
        <w:trPr>
          <w:jc w:val="center"/>
        </w:trPr>
        <w:tc>
          <w:tcPr>
            <w:tcW w:w="1506" w:type="dxa"/>
          </w:tcPr>
          <w:p w14:paraId="28AF37D1" w14:textId="2782A184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MMFT</w:t>
            </w:r>
          </w:p>
        </w:tc>
        <w:tc>
          <w:tcPr>
            <w:tcW w:w="1545" w:type="dxa"/>
          </w:tcPr>
          <w:p w14:paraId="64FD02CC" w14:textId="6220AFF1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TVQA</w:t>
            </w:r>
          </w:p>
        </w:tc>
        <w:tc>
          <w:tcPr>
            <w:tcW w:w="1915" w:type="dxa"/>
          </w:tcPr>
          <w:p w14:paraId="59613CF3" w14:textId="18831B91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74.97</w:t>
            </w:r>
          </w:p>
        </w:tc>
      </w:tr>
      <w:tr w:rsidR="00254AFC" w:rsidRPr="000D34D8" w14:paraId="04468BD8" w14:textId="77777777" w:rsidTr="000D34D8">
        <w:trPr>
          <w:jc w:val="center"/>
        </w:trPr>
        <w:tc>
          <w:tcPr>
            <w:tcW w:w="1506" w:type="dxa"/>
          </w:tcPr>
          <w:p w14:paraId="2E633C64" w14:textId="03BF0AD7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ViLT</w:t>
            </w:r>
          </w:p>
        </w:tc>
        <w:tc>
          <w:tcPr>
            <w:tcW w:w="1545" w:type="dxa"/>
          </w:tcPr>
          <w:p w14:paraId="3010A624" w14:textId="76F70401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Visual Genome</w:t>
            </w:r>
          </w:p>
        </w:tc>
        <w:tc>
          <w:tcPr>
            <w:tcW w:w="1915" w:type="dxa"/>
          </w:tcPr>
          <w:p w14:paraId="09C27671" w14:textId="13F9FE5C" w:rsidR="00254AFC" w:rsidRPr="000D34D8" w:rsidRDefault="00254AFC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70.33</w:t>
            </w:r>
          </w:p>
        </w:tc>
      </w:tr>
      <w:tr w:rsidR="000D34D8" w:rsidRPr="000D34D8" w14:paraId="7D4828C0" w14:textId="77777777" w:rsidTr="000D34D8">
        <w:trPr>
          <w:jc w:val="center"/>
        </w:trPr>
        <w:tc>
          <w:tcPr>
            <w:tcW w:w="1506" w:type="dxa"/>
          </w:tcPr>
          <w:p w14:paraId="2B8D8B46" w14:textId="7342B6E2" w:rsidR="000D34D8" w:rsidRPr="000D34D8" w:rsidRDefault="000D34D8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VLC-BERT</w:t>
            </w:r>
          </w:p>
        </w:tc>
        <w:tc>
          <w:tcPr>
            <w:tcW w:w="1545" w:type="dxa"/>
          </w:tcPr>
          <w:p w14:paraId="7024BD2A" w14:textId="616EE693" w:rsidR="000D34D8" w:rsidRPr="000D34D8" w:rsidRDefault="000D34D8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A-OKVQA</w:t>
            </w:r>
          </w:p>
        </w:tc>
        <w:tc>
          <w:tcPr>
            <w:tcW w:w="1915" w:type="dxa"/>
          </w:tcPr>
          <w:p w14:paraId="4C79F210" w14:textId="76907396" w:rsidR="000D34D8" w:rsidRPr="000D34D8" w:rsidRDefault="000D34D8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38.05</w:t>
            </w:r>
          </w:p>
        </w:tc>
      </w:tr>
      <w:tr w:rsidR="000D34D8" w:rsidRPr="000D34D8" w14:paraId="3548A637" w14:textId="77777777" w:rsidTr="000D34D8">
        <w:trPr>
          <w:jc w:val="center"/>
        </w:trPr>
        <w:tc>
          <w:tcPr>
            <w:tcW w:w="1506" w:type="dxa"/>
          </w:tcPr>
          <w:p w14:paraId="1B1453A7" w14:textId="69DF4800" w:rsidR="000D34D8" w:rsidRPr="000D34D8" w:rsidRDefault="000D34D8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UNITER</w:t>
            </w:r>
          </w:p>
        </w:tc>
        <w:tc>
          <w:tcPr>
            <w:tcW w:w="1545" w:type="dxa"/>
          </w:tcPr>
          <w:p w14:paraId="75D9ED47" w14:textId="05B1E4A4" w:rsidR="000D34D8" w:rsidRPr="000D34D8" w:rsidRDefault="000D34D8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COCO, Visual Genome, Conceptual Captions, and SBU Captions</w:t>
            </w:r>
          </w:p>
        </w:tc>
        <w:tc>
          <w:tcPr>
            <w:tcW w:w="1915" w:type="dxa"/>
          </w:tcPr>
          <w:p w14:paraId="4470C52A" w14:textId="31CD4192" w:rsidR="000D34D8" w:rsidRPr="000D34D8" w:rsidRDefault="000D34D8" w:rsidP="000D34D8">
            <w:pPr>
              <w:jc w:val="center"/>
              <w:rPr>
                <w:rFonts w:eastAsia="Calibri"/>
              </w:rPr>
            </w:pPr>
            <w:r w:rsidRPr="000D34D8">
              <w:rPr>
                <w:rFonts w:eastAsia="Calibri"/>
              </w:rPr>
              <w:t>74.02</w:t>
            </w:r>
          </w:p>
        </w:tc>
      </w:tr>
      <w:bookmarkEnd w:id="0"/>
    </w:tbl>
    <w:p w14:paraId="33A81936" w14:textId="77777777" w:rsidR="002346BC" w:rsidRDefault="002346BC" w:rsidP="000D45E3">
      <w:pPr>
        <w:pStyle w:val="ListParagraph"/>
      </w:pPr>
    </w:p>
    <w:sectPr w:rsidR="0023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05416" w14:textId="77777777" w:rsidR="00F66069" w:rsidRDefault="00F66069" w:rsidP="004C71A4">
      <w:pPr>
        <w:spacing w:after="0" w:line="240" w:lineRule="auto"/>
      </w:pPr>
      <w:r>
        <w:separator/>
      </w:r>
    </w:p>
  </w:endnote>
  <w:endnote w:type="continuationSeparator" w:id="0">
    <w:p w14:paraId="62461FEC" w14:textId="77777777" w:rsidR="00F66069" w:rsidRDefault="00F66069" w:rsidP="004C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30EA7" w14:textId="77777777" w:rsidR="00F66069" w:rsidRDefault="00F66069" w:rsidP="004C71A4">
      <w:pPr>
        <w:spacing w:after="0" w:line="240" w:lineRule="auto"/>
      </w:pPr>
      <w:r>
        <w:separator/>
      </w:r>
    </w:p>
  </w:footnote>
  <w:footnote w:type="continuationSeparator" w:id="0">
    <w:p w14:paraId="6A54F16B" w14:textId="77777777" w:rsidR="00F66069" w:rsidRDefault="00F66069" w:rsidP="004C7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905F0"/>
    <w:multiLevelType w:val="hybridMultilevel"/>
    <w:tmpl w:val="F5068C4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2346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7"/>
    <w:rsid w:val="00042219"/>
    <w:rsid w:val="00081FFF"/>
    <w:rsid w:val="000B1C80"/>
    <w:rsid w:val="000D3338"/>
    <w:rsid w:val="000D34D8"/>
    <w:rsid w:val="000D45E3"/>
    <w:rsid w:val="001D6685"/>
    <w:rsid w:val="00204D11"/>
    <w:rsid w:val="00217BBF"/>
    <w:rsid w:val="002263A5"/>
    <w:rsid w:val="002346BC"/>
    <w:rsid w:val="00254AFC"/>
    <w:rsid w:val="00271E66"/>
    <w:rsid w:val="003471EA"/>
    <w:rsid w:val="003B3A05"/>
    <w:rsid w:val="003F3628"/>
    <w:rsid w:val="00424E0D"/>
    <w:rsid w:val="004250A1"/>
    <w:rsid w:val="004C71A4"/>
    <w:rsid w:val="0058749F"/>
    <w:rsid w:val="00597B9F"/>
    <w:rsid w:val="005D24D3"/>
    <w:rsid w:val="006A6E33"/>
    <w:rsid w:val="00705907"/>
    <w:rsid w:val="00771B2A"/>
    <w:rsid w:val="007E0E7F"/>
    <w:rsid w:val="007F0B9C"/>
    <w:rsid w:val="00831175"/>
    <w:rsid w:val="00932135"/>
    <w:rsid w:val="0095455C"/>
    <w:rsid w:val="00964E84"/>
    <w:rsid w:val="00A1118B"/>
    <w:rsid w:val="00A36490"/>
    <w:rsid w:val="00AD12D6"/>
    <w:rsid w:val="00B67970"/>
    <w:rsid w:val="00D176EC"/>
    <w:rsid w:val="00D87536"/>
    <w:rsid w:val="00DE0299"/>
    <w:rsid w:val="00E60367"/>
    <w:rsid w:val="00E637F1"/>
    <w:rsid w:val="00EC3617"/>
    <w:rsid w:val="00F66069"/>
    <w:rsid w:val="00F70D9C"/>
    <w:rsid w:val="00FD5EE7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5604"/>
  <w15:chartTrackingRefBased/>
  <w15:docId w15:val="{9CCED92F-73DE-40C9-B43D-8FEF88D0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3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1A4"/>
  </w:style>
  <w:style w:type="paragraph" w:styleId="Footer">
    <w:name w:val="footer"/>
    <w:basedOn w:val="Normal"/>
    <w:link w:val="FooterChar"/>
    <w:uiPriority w:val="99"/>
    <w:unhideWhenUsed/>
    <w:rsid w:val="004C7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1A4"/>
  </w:style>
  <w:style w:type="table" w:styleId="TableGrid">
    <w:name w:val="Table Grid"/>
    <w:basedOn w:val="TableNormal"/>
    <w:uiPriority w:val="39"/>
    <w:qFormat/>
    <w:rsid w:val="002346B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 w:bidi="mr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Madake</dc:creator>
  <cp:keywords/>
  <dc:description/>
  <cp:lastModifiedBy>Saurabh Madake</cp:lastModifiedBy>
  <cp:revision>15</cp:revision>
  <dcterms:created xsi:type="dcterms:W3CDTF">2025-04-24T14:32:00Z</dcterms:created>
  <dcterms:modified xsi:type="dcterms:W3CDTF">2025-05-14T21:04:00Z</dcterms:modified>
</cp:coreProperties>
</file>