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Time Weighted Linear Regression Model Performance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Tested on 2014 - 2023 Races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Metrics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Variance Explained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 Data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Kendall Tau (𝜏)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𝜏-LOESS Blended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Partial 𝜏&lt;sub&gt;Constructor&lt;/sub&gt;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Partial 𝜏&lt;sub&gt;Driver&lt;/sub&gt;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Partial Constructor/Driver 𝜏&lt;sup&gt;2&lt;/sup&gt; Ratio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Implied Constructor Influence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 DNFs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0.624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2.041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67.1%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DNF Assigned to Constructor/Driver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1.728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63.3%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DNFs Included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0.526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3.900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79.6%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Qualification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0.298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1.016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'Roboto Mono'" w:hAnsi="'Roboto Mono'"/>
                <w:sz w:val="20"/>
              </w:rPr>
              <w:t xml:space="default">50.4%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2024-07-19T20:19:50Z</dcterms:created>
  <dcterms:modified xsi:type="dcterms:W3CDTF">2024-07-19T20:19:50Z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