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5B"/>
          <w:sz w:val="48"/>
        </w:rPr>
        <w:t>Generic Messaging Event Processing Platform</w:t>
        <w:br/>
      </w:r>
      <w:r>
        <w:rPr>
          <w:b/>
          <w:color w:val="1F4E79"/>
          <w:sz w:val="36"/>
        </w:rPr>
        <w:t>Solution Architecture Design Document</w:t>
      </w:r>
    </w:p>
    <w:p/>
    <w:p>
      <w:pPr>
        <w:jc w:val="center"/>
      </w:pPr>
      <w:r>
        <w:rPr>
          <w:b/>
        </w:rPr>
        <w:t>Scope: Messaging-platform agnostic architecture for Kafka, Solace, and future queues</w:t>
        <w:br/>
      </w:r>
      <w:r>
        <w:t>Producer: Outbox + Scheduler, Outbox + CDC</w:t>
        <w:br/>
      </w:r>
      <w:r>
        <w:t>Consumer: Direct Processor, Inbox Pattern, Trigger Dispatcher Pattern</w:t>
        <w:br/>
      </w:r>
      <w:r>
        <w:t>Date: 2026-07-09</w:t>
        <w:br/>
      </w:r>
      <w:r>
        <w:t>Prepared for: Architecture Review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original design was Kafka-specific. The revised design is messaging-platform agnostic so that the same architecture can support Kafka, Solace PubSub+, and future messaging platforms without renaming tables or services. The design separates business processing from messaging technology details through generic service names, generic table names, and a messaging adapter layer.</w:t>
      </w:r>
    </w:p>
    <w:p>
      <w:r>
        <w:t>Kafka and Solace have different consumption models. Kafka consumers actively poll messages from partitions, while Solace supports broker-driven publish/subscribe delivery to subscribers. The application architecture should hide this difference behind a common ingestion and publishing abstraction.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Revised Generic Name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Producer service</w:t>
            </w:r>
          </w:p>
        </w:tc>
        <w:tc>
          <w:tcPr>
            <w:tcW w:type="dxa" w:w="3600"/>
            <w:vAlign w:val="top"/>
          </w:tcPr>
          <w:p>
            <w:r>
              <w:t>Event Publisher Service</w:t>
            </w:r>
          </w:p>
        </w:tc>
        <w:tc>
          <w:tcPr>
            <w:tcW w:type="dxa" w:w="4752"/>
            <w:vAlign w:val="top"/>
          </w:tcPr>
          <w:p>
            <w:r>
              <w:t>Publishes application events from Outbox to Kafka/Solace/other broker.</w:t>
            </w:r>
          </w:p>
        </w:tc>
      </w:tr>
      <w:tr>
        <w:tc>
          <w:tcPr>
            <w:tcW w:type="dxa" w:w="2448"/>
            <w:vAlign w:val="top"/>
          </w:tcPr>
          <w:p>
            <w:r>
              <w:t>Consumer service</w:t>
            </w:r>
          </w:p>
        </w:tc>
        <w:tc>
          <w:tcPr>
            <w:tcW w:type="dxa" w:w="3600"/>
            <w:vAlign w:val="top"/>
          </w:tcPr>
          <w:p>
            <w:r>
              <w:t>Message Ingestion Service</w:t>
            </w:r>
          </w:p>
        </w:tc>
        <w:tc>
          <w:tcPr>
            <w:tcW w:type="dxa" w:w="4752"/>
            <w:vAlign w:val="top"/>
          </w:tcPr>
          <w:p>
            <w:r>
              <w:t>Receives messages from Kafka/Solace and stores them into Inbox.</w:t>
            </w:r>
          </w:p>
        </w:tc>
      </w:tr>
      <w:tr>
        <w:tc>
          <w:tcPr>
            <w:tcW w:type="dxa" w:w="2448"/>
            <w:vAlign w:val="top"/>
          </w:tcPr>
          <w:p>
            <w:r>
              <w:t>Metadata processor</w:t>
            </w:r>
          </w:p>
        </w:tc>
        <w:tc>
          <w:tcPr>
            <w:tcW w:type="dxa" w:w="3600"/>
            <w:vAlign w:val="top"/>
          </w:tcPr>
          <w:p>
            <w:r>
              <w:t>Metadata Processing Service</w:t>
            </w:r>
          </w:p>
        </w:tc>
        <w:tc>
          <w:tcPr>
            <w:tcW w:type="dxa" w:w="4752"/>
            <w:vAlign w:val="top"/>
          </w:tcPr>
          <w:p>
            <w:r>
              <w:t>Processes Inbox records and updates metadata.</w:t>
            </w:r>
          </w:p>
        </w:tc>
      </w:tr>
      <w:tr>
        <w:tc>
          <w:tcPr>
            <w:tcW w:type="dxa" w:w="2448"/>
            <w:vAlign w:val="top"/>
          </w:tcPr>
          <w:p>
            <w:r>
              <w:t>Optional bridge</w:t>
            </w:r>
          </w:p>
        </w:tc>
        <w:tc>
          <w:tcPr>
            <w:tcW w:type="dxa" w:w="3600"/>
            <w:vAlign w:val="top"/>
          </w:tcPr>
          <w:p>
            <w:r>
              <w:t>Event Dispatch Service</w:t>
            </w:r>
          </w:p>
        </w:tc>
        <w:tc>
          <w:tcPr>
            <w:tcW w:type="dxa" w:w="4752"/>
            <w:vAlign w:val="top"/>
          </w:tcPr>
          <w:p>
            <w:r>
              <w:t>Optional trigger layer between Inbox and Metadata Processing Service.</w:t>
            </w:r>
          </w:p>
        </w:tc>
      </w:tr>
      <w:tr>
        <w:tc>
          <w:tcPr>
            <w:tcW w:type="dxa" w:w="2448"/>
            <w:vAlign w:val="top"/>
          </w:tcPr>
          <w:p>
            <w:r>
              <w:t>Outbox table</w:t>
            </w:r>
          </w:p>
        </w:tc>
        <w:tc>
          <w:tcPr>
            <w:tcW w:type="dxa" w:w="3600"/>
            <w:vAlign w:val="top"/>
          </w:tcPr>
          <w:p>
            <w:r>
              <w:t>MESSAGE_OUTBOX_EVENT</w:t>
            </w:r>
          </w:p>
        </w:tc>
        <w:tc>
          <w:tcPr>
            <w:tcW w:type="dxa" w:w="4752"/>
            <w:vAlign w:val="top"/>
          </w:tcPr>
          <w:p>
            <w:r>
              <w:t>Generic source table for events to be published.</w:t>
            </w:r>
          </w:p>
        </w:tc>
      </w:tr>
      <w:tr>
        <w:tc>
          <w:tcPr>
            <w:tcW w:type="dxa" w:w="2448"/>
            <w:vAlign w:val="top"/>
          </w:tcPr>
          <w:p>
            <w:r>
              <w:t>Inbox table</w:t>
            </w:r>
          </w:p>
        </w:tc>
        <w:tc>
          <w:tcPr>
            <w:tcW w:type="dxa" w:w="3600"/>
            <w:vAlign w:val="top"/>
          </w:tcPr>
          <w:p>
            <w:r>
              <w:t>MESSAGE_INBOX_EVENT</w:t>
            </w:r>
          </w:p>
        </w:tc>
        <w:tc>
          <w:tcPr>
            <w:tcW w:type="dxa" w:w="4752"/>
            <w:vAlign w:val="top"/>
          </w:tcPr>
          <w:p>
            <w:r>
              <w:t>Generic store for received events before processing.</w:t>
            </w:r>
          </w:p>
        </w:tc>
      </w:tr>
    </w:tbl>
    <w:p/>
    <w:p>
      <w:pPr>
        <w:pStyle w:val="Heading1"/>
      </w:pPr>
      <w:r>
        <w:t>2. Design Principles</w:t>
      </w:r>
    </w:p>
    <w:p>
      <w:pPr>
        <w:pStyle w:val="ListBullet"/>
      </w:pPr>
      <w:r>
        <w:t>Avoid technology-specific names such as Kafka in service names and table names.</w:t>
      </w:r>
    </w:p>
    <w:p>
      <w:pPr>
        <w:pStyle w:val="ListBullet"/>
      </w:pPr>
      <w:r>
        <w:t>Use a messaging adapter layer to support Kafka, Solace, and future brokers.</w:t>
      </w:r>
    </w:p>
    <w:p>
      <w:pPr>
        <w:pStyle w:val="ListBullet"/>
      </w:pPr>
      <w:r>
        <w:t>Keep business event identity separate from broker-specific metadata.</w:t>
      </w:r>
    </w:p>
    <w:p>
      <w:pPr>
        <w:pStyle w:val="ListBullet"/>
      </w:pPr>
      <w:r>
        <w:t>Use Outbox pattern for reliable publishing.</w:t>
      </w:r>
    </w:p>
    <w:p>
      <w:pPr>
        <w:pStyle w:val="ListBullet"/>
      </w:pPr>
      <w:r>
        <w:t>Use Inbox pattern where WDS/application-owned retry, replay, and audit are required.</w:t>
      </w:r>
    </w:p>
    <w:p>
      <w:pPr>
        <w:pStyle w:val="ListBullet"/>
      </w:pPr>
      <w:r>
        <w:t>Design for at-least-once delivery and idempotent processing.</w:t>
      </w:r>
    </w:p>
    <w:p>
      <w:pPr>
        <w:pStyle w:val="ListBullet"/>
      </w:pPr>
      <w:r>
        <w:t>Use retry count plus next retry time for controlled backoff.</w:t>
      </w:r>
    </w:p>
    <w:p>
      <w:pPr>
        <w:pStyle w:val="ListBullet"/>
      </w:pPr>
      <w:r>
        <w:t>Use lock expiry rather than only runtime pod/task name for recovery.</w:t>
      </w:r>
    </w:p>
    <w:p>
      <w:pPr>
        <w:pStyle w:val="Heading1"/>
      </w:pPr>
      <w:r>
        <w:t>3. Messaging Platform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Kafka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Solace PubSub+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Design Impact</w:t>
            </w:r>
          </w:p>
        </w:tc>
      </w:tr>
      <w:tr>
        <w:tc>
          <w:tcPr>
            <w:tcW w:type="dxa" w:w="2160"/>
            <w:vAlign w:val="top"/>
          </w:tcPr>
          <w:p>
            <w:r>
              <w:t>Consumption model</w:t>
            </w:r>
          </w:p>
        </w:tc>
        <w:tc>
          <w:tcPr>
            <w:tcW w:type="dxa" w:w="2880"/>
            <w:vAlign w:val="top"/>
          </w:tcPr>
          <w:p>
            <w:r>
              <w:t>Pull/poll based consumer model. Consumer calls poll internally.</w:t>
            </w:r>
          </w:p>
        </w:tc>
        <w:tc>
          <w:tcPr>
            <w:tcW w:type="dxa" w:w="2880"/>
            <w:vAlign w:val="top"/>
          </w:tcPr>
          <w:p>
            <w:r>
              <w:t>Publish-subscribe delivery. Broker pushes messages to subscribers via client API.</w:t>
            </w:r>
          </w:p>
        </w:tc>
        <w:tc>
          <w:tcPr>
            <w:tcW w:type="dxa" w:w="3888"/>
            <w:vAlign w:val="top"/>
          </w:tcPr>
          <w:p>
            <w:r>
              <w:t>Message Ingestion Service should hide these differences behind adapter implementation.</w:t>
            </w:r>
          </w:p>
        </w:tc>
      </w:tr>
      <w:tr>
        <w:tc>
          <w:tcPr>
            <w:tcW w:type="dxa" w:w="2160"/>
            <w:vAlign w:val="top"/>
          </w:tcPr>
          <w:p>
            <w:r>
              <w:t>Ordering</w:t>
            </w:r>
          </w:p>
        </w:tc>
        <w:tc>
          <w:tcPr>
            <w:tcW w:type="dxa" w:w="2880"/>
            <w:vAlign w:val="top"/>
          </w:tcPr>
          <w:p>
            <w:r>
              <w:t>Ordering within topic partition.</w:t>
            </w:r>
          </w:p>
        </w:tc>
        <w:tc>
          <w:tcPr>
            <w:tcW w:type="dxa" w:w="2880"/>
            <w:vAlign w:val="top"/>
          </w:tcPr>
          <w:p>
            <w:r>
              <w:t>Ordering depends on queue/topic endpoint and delivery mode.</w:t>
            </w:r>
          </w:p>
        </w:tc>
        <w:tc>
          <w:tcPr>
            <w:tcW w:type="dxa" w:w="3888"/>
            <w:vAlign w:val="top"/>
          </w:tcPr>
          <w:p>
            <w:r>
              <w:t>Use documentId/business key where ordering is required.</w:t>
            </w:r>
          </w:p>
        </w:tc>
      </w:tr>
      <w:tr>
        <w:tc>
          <w:tcPr>
            <w:tcW w:type="dxa" w:w="2160"/>
            <w:vAlign w:val="top"/>
          </w:tcPr>
          <w:p>
            <w:r>
              <w:t>Offset/ack</w:t>
            </w:r>
          </w:p>
        </w:tc>
        <w:tc>
          <w:tcPr>
            <w:tcW w:type="dxa" w:w="2880"/>
            <w:vAlign w:val="top"/>
          </w:tcPr>
          <w:p>
            <w:r>
              <w:t>Consumer offset commit.</w:t>
            </w:r>
          </w:p>
        </w:tc>
        <w:tc>
          <w:tcPr>
            <w:tcW w:type="dxa" w:w="2880"/>
            <w:vAlign w:val="top"/>
          </w:tcPr>
          <w:p>
            <w:r>
              <w:t>Message acknowledgement/settlement.</w:t>
            </w:r>
          </w:p>
        </w:tc>
        <w:tc>
          <w:tcPr>
            <w:tcW w:type="dxa" w:w="3888"/>
            <w:vAlign w:val="top"/>
          </w:tcPr>
          <w:p>
            <w:r>
              <w:t>Use generic fields for broker ack state; do not model only Kafka offsets.</w:t>
            </w:r>
          </w:p>
        </w:tc>
      </w:tr>
      <w:tr>
        <w:tc>
          <w:tcPr>
            <w:tcW w:type="dxa" w:w="2160"/>
            <w:vAlign w:val="top"/>
          </w:tcPr>
          <w:p>
            <w:r>
              <w:t>Replay</w:t>
            </w:r>
          </w:p>
        </w:tc>
        <w:tc>
          <w:tcPr>
            <w:tcW w:type="dxa" w:w="2880"/>
            <w:vAlign w:val="top"/>
          </w:tcPr>
          <w:p>
            <w:r>
              <w:t>Kafka retention enables replay by offset/time.</w:t>
            </w:r>
          </w:p>
        </w:tc>
        <w:tc>
          <w:tcPr>
            <w:tcW w:type="dxa" w:w="2880"/>
            <w:vAlign w:val="top"/>
          </w:tcPr>
          <w:p>
            <w:r>
              <w:t>Replay depends on queue/topic endpoint configuration and retention/replay settings.</w:t>
            </w:r>
          </w:p>
        </w:tc>
        <w:tc>
          <w:tcPr>
            <w:tcW w:type="dxa" w:w="3888"/>
            <w:vAlign w:val="top"/>
          </w:tcPr>
          <w:p>
            <w:r>
              <w:t>Inbox table provides application-level replay independent of broker.</w:t>
            </w:r>
          </w:p>
        </w:tc>
      </w:tr>
      <w:tr>
        <w:tc>
          <w:tcPr>
            <w:tcW w:type="dxa" w:w="2160"/>
            <w:vAlign w:val="top"/>
          </w:tcPr>
          <w:p>
            <w:r>
              <w:t>DLQ</w:t>
            </w:r>
          </w:p>
        </w:tc>
        <w:tc>
          <w:tcPr>
            <w:tcW w:type="dxa" w:w="2880"/>
            <w:vAlign w:val="top"/>
          </w:tcPr>
          <w:p>
            <w:r>
              <w:t>Topic-based DLQ or error handler DLQ.</w:t>
            </w:r>
          </w:p>
        </w:tc>
        <w:tc>
          <w:tcPr>
            <w:tcW w:type="dxa" w:w="2880"/>
            <w:vAlign w:val="top"/>
          </w:tcPr>
          <w:p>
            <w:r>
              <w:t>Dead Message Queue (DMQ) / error queue.</w:t>
            </w:r>
          </w:p>
        </w:tc>
        <w:tc>
          <w:tcPr>
            <w:tcW w:type="dxa" w:w="3888"/>
            <w:vAlign w:val="top"/>
          </w:tcPr>
          <w:p>
            <w:r>
              <w:t>Use generic DLQ status and optional broker-specific DLQ/DMQ.</w:t>
            </w:r>
          </w:p>
        </w:tc>
      </w:tr>
      <w:tr>
        <w:tc>
          <w:tcPr>
            <w:tcW w:type="dxa" w:w="2160"/>
            <w:vAlign w:val="top"/>
          </w:tcPr>
          <w:p>
            <w:r>
              <w:t>Metadata</w:t>
            </w:r>
          </w:p>
        </w:tc>
        <w:tc>
          <w:tcPr>
            <w:tcW w:type="dxa" w:w="2880"/>
            <w:vAlign w:val="top"/>
          </w:tcPr>
          <w:p>
            <w:r>
              <w:t>Topic, partition, offset, key.</w:t>
            </w:r>
          </w:p>
        </w:tc>
        <w:tc>
          <w:tcPr>
            <w:tcW w:type="dxa" w:w="2880"/>
            <w:vAlign w:val="top"/>
          </w:tcPr>
          <w:p>
            <w:r>
              <w:t>Destination, queue/topic name, message id, correlation id, delivery count.</w:t>
            </w:r>
          </w:p>
        </w:tc>
        <w:tc>
          <w:tcPr>
            <w:tcW w:type="dxa" w:w="3888"/>
            <w:vAlign w:val="top"/>
          </w:tcPr>
          <w:p>
            <w:r>
              <w:t>Use generic broker metadata columns plus optional extension JSON.</w:t>
            </w:r>
          </w:p>
        </w:tc>
      </w:tr>
    </w:tbl>
    <w:p/>
    <w:p>
      <w:pPr>
        <w:pStyle w:val="Heading1"/>
      </w:pPr>
      <w:r>
        <w:t>4. Generic Event Contract</w:t>
      </w:r>
    </w:p>
    <w:p>
      <w:pPr>
        <w:ind w:left="288"/>
      </w:pPr>
      <w:r>
        <w:rPr>
          <w:rFonts w:ascii="Courier New" w:hAnsi="Courier New" w:eastAsia="Courier New"/>
          <w:sz w:val="17"/>
        </w:rPr>
        <w:t>{</w:t>
        <w:br/>
        <w:t xml:space="preserve">  "eventId": "UUID",</w:t>
        <w:br/>
        <w:t xml:space="preserve">  "correlationId": "UUID",</w:t>
        <w:br/>
        <w:t xml:space="preserve">  "eventType": "DOCUMENT_UPLOADED",</w:t>
        <w:br/>
        <w:t xml:space="preserve">  "sourceSystem": "DOCHUB",</w:t>
        <w:br/>
        <w:t xml:space="preserve">  "documentId": "DOC12345",</w:t>
        <w:br/>
        <w:t xml:space="preserve">  "eventTimestamp": "2026-07-04T10:15:30Z",</w:t>
        <w:br/>
        <w:t xml:space="preserve">  "payload": {</w:t>
        <w:br/>
        <w:t xml:space="preserve">    "fileName": "sample.pdf",</w:t>
        <w:br/>
        <w:t xml:space="preserve">    "documentType": "PASSPORT",</w:t>
        <w:br/>
        <w:t xml:space="preserve">    "repositoryId": "DH12345"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</w:rPr>
              <w:t>Important Naming Decision</w:t>
              <w:br/>
            </w:r>
          </w:p>
          <w:p>
            <w:r>
              <w:t>EVENT_ID is a business event id. Broker-specific identifiers such as Kafka offset or Solace message id should be stored separately for traceability, not used as the only event identity.</w:t>
            </w:r>
          </w:p>
        </w:tc>
      </w:tr>
    </w:tbl>
    <w:p/>
    <w:p>
      <w:pPr>
        <w:pStyle w:val="Heading1"/>
      </w:pPr>
      <w:r>
        <w:t>5. Recommended Generic Service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Previous Kafka/WDS-specific Name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Recommended Generic Name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12"/>
            <w:vAlign w:val="top"/>
          </w:tcPr>
          <w:p>
            <w:r>
              <w:t>wds-publisher-service</w:t>
            </w:r>
          </w:p>
        </w:tc>
        <w:tc>
          <w:tcPr>
            <w:tcW w:type="dxa" w:w="3312"/>
            <w:vAlign w:val="top"/>
          </w:tcPr>
          <w:p>
            <w:r>
              <w:t>event-publisher-service</w:t>
            </w:r>
          </w:p>
        </w:tc>
        <w:tc>
          <w:tcPr>
            <w:tcW w:type="dxa" w:w="4320"/>
            <w:vAlign w:val="top"/>
          </w:tcPr>
          <w:p>
            <w:r>
              <w:t>Generic producer service for Kafka, Solace, or future messaging platform.</w:t>
            </w:r>
          </w:p>
        </w:tc>
      </w:tr>
      <w:tr>
        <w:tc>
          <w:tcPr>
            <w:tcW w:type="dxa" w:w="3312"/>
            <w:vAlign w:val="top"/>
          </w:tcPr>
          <w:p>
            <w:r>
              <w:t>wds-Kafka-consumer-service</w:t>
            </w:r>
          </w:p>
        </w:tc>
        <w:tc>
          <w:tcPr>
            <w:tcW w:type="dxa" w:w="3312"/>
            <w:vAlign w:val="top"/>
          </w:tcPr>
          <w:p>
            <w:r>
              <w:t>message-ingestion-service</w:t>
            </w:r>
          </w:p>
        </w:tc>
        <w:tc>
          <w:tcPr>
            <w:tcW w:type="dxa" w:w="4320"/>
            <w:vAlign w:val="top"/>
          </w:tcPr>
          <w:p>
            <w:r>
              <w:t>Receives/ingests messages regardless of broker technology.</w:t>
            </w:r>
          </w:p>
        </w:tc>
      </w:tr>
      <w:tr>
        <w:tc>
          <w:tcPr>
            <w:tcW w:type="dxa" w:w="3312"/>
            <w:vAlign w:val="top"/>
          </w:tcPr>
          <w:p>
            <w:r>
              <w:t>wds-metadata-update-service</w:t>
            </w:r>
          </w:p>
        </w:tc>
        <w:tc>
          <w:tcPr>
            <w:tcW w:type="dxa" w:w="3312"/>
            <w:vAlign w:val="top"/>
          </w:tcPr>
          <w:p>
            <w:r>
              <w:t>metadata-processing-service</w:t>
            </w:r>
          </w:p>
        </w:tc>
        <w:tc>
          <w:tcPr>
            <w:tcW w:type="dxa" w:w="4320"/>
            <w:vAlign w:val="top"/>
          </w:tcPr>
          <w:p>
            <w:r>
              <w:t>Business-focused name; not tied to messaging platform.</w:t>
            </w:r>
          </w:p>
        </w:tc>
      </w:tr>
      <w:tr>
        <w:tc>
          <w:tcPr>
            <w:tcW w:type="dxa" w:w="3312"/>
            <w:vAlign w:val="top"/>
          </w:tcPr>
          <w:p>
            <w:r>
              <w:t>wds-kafka-trigger-event-service</w:t>
            </w:r>
          </w:p>
        </w:tc>
        <w:tc>
          <w:tcPr>
            <w:tcW w:type="dxa" w:w="3312"/>
            <w:vAlign w:val="top"/>
          </w:tcPr>
          <w:p>
            <w:r>
              <w:t>event-dispatch-service</w:t>
            </w:r>
          </w:p>
        </w:tc>
        <w:tc>
          <w:tcPr>
            <w:tcW w:type="dxa" w:w="4320"/>
            <w:vAlign w:val="top"/>
          </w:tcPr>
          <w:p>
            <w:r>
              <w:t>Generic optional dispatcher/trigger layer.</w:t>
            </w:r>
          </w:p>
        </w:tc>
      </w:tr>
      <w:tr>
        <w:tc>
          <w:tcPr>
            <w:tcW w:type="dxa" w:w="3312"/>
            <w:vAlign w:val="top"/>
          </w:tcPr>
          <w:p>
            <w:r>
              <w:t>Kafka_Outbox_Event</w:t>
            </w:r>
          </w:p>
        </w:tc>
        <w:tc>
          <w:tcPr>
            <w:tcW w:type="dxa" w:w="3312"/>
            <w:vAlign w:val="top"/>
          </w:tcPr>
          <w:p>
            <w:r>
              <w:t>MESSAGE_OUTBOX_EVENT</w:t>
            </w:r>
          </w:p>
        </w:tc>
        <w:tc>
          <w:tcPr>
            <w:tcW w:type="dxa" w:w="4320"/>
            <w:vAlign w:val="top"/>
          </w:tcPr>
          <w:p>
            <w:r>
              <w:t>Technology-neutral Outbox table.</w:t>
            </w:r>
          </w:p>
        </w:tc>
      </w:tr>
      <w:tr>
        <w:tc>
          <w:tcPr>
            <w:tcW w:type="dxa" w:w="3312"/>
            <w:vAlign w:val="top"/>
          </w:tcPr>
          <w:p>
            <w:r>
              <w:t>Kafka_Inbox_Event</w:t>
            </w:r>
          </w:p>
        </w:tc>
        <w:tc>
          <w:tcPr>
            <w:tcW w:type="dxa" w:w="3312"/>
            <w:vAlign w:val="top"/>
          </w:tcPr>
          <w:p>
            <w:r>
              <w:t>MESSAGE_INBOX_EVENT</w:t>
            </w:r>
          </w:p>
        </w:tc>
        <w:tc>
          <w:tcPr>
            <w:tcW w:type="dxa" w:w="4320"/>
            <w:vAlign w:val="top"/>
          </w:tcPr>
          <w:p>
            <w:r>
              <w:t>Technology-neutral Inbox table.</w:t>
            </w:r>
          </w:p>
        </w:tc>
      </w:tr>
    </w:tbl>
    <w:p/>
    <w:p>
      <w:pPr>
        <w:pStyle w:val="Heading1"/>
      </w:pPr>
      <w:r>
        <w:t>6. Producer Architecture</w:t>
      </w:r>
    </w:p>
    <w:p>
      <w:r>
        <w:t>Producer architecture publishes application-originated events to a messaging platform. The design supports Kafka, Solace, and future brokers through a MessagingPublisher abstraction.</w:t>
      </w:r>
    </w:p>
    <w:p>
      <w:pPr>
        <w:pStyle w:val="Heading2"/>
      </w:pPr>
      <w:r>
        <w:t>6.1 Producer Approach 1: Outbox Pattern with Fixed Scheduler</w:t>
      </w:r>
    </w:p>
    <w:p>
      <w:pPr>
        <w:ind w:left="288"/>
      </w:pPr>
      <w:r>
        <w:rPr>
          <w:rFonts w:ascii="Courier New" w:hAnsi="Courier New" w:eastAsia="Courier New"/>
          <w:sz w:val="17"/>
        </w:rPr>
        <w:t>Application Service</w:t>
        <w:br/>
        <w:t xml:space="preserve">   ↓</w:t>
        <w:br/>
        <w:t>Business Tables + MESSAGE_OUTBOX_EVENT</w:t>
        <w:br/>
        <w:t xml:space="preserve">   ↓</w:t>
        <w:br/>
        <w:t>event-publisher-service (@Scheduled)</w:t>
        <w:br/>
        <w:t xml:space="preserve">   ↓</w:t>
        <w:br/>
        <w:t>MessagingPublisher Adapter</w:t>
        <w:br/>
        <w:t xml:space="preserve">   ├── KafkaPublisherAdapter</w:t>
        <w:br/>
        <w:t xml:space="preserve">   └── SolacePublisherAdapter</w:t>
        <w:br/>
        <w:t xml:space="preserve">   ↓</w:t>
        <w:br/>
        <w:t>Kafka Topic / Solace Topic / Future Queue</w:t>
      </w:r>
    </w:p>
    <w:p>
      <w:pPr>
        <w:pStyle w:val="Heading3"/>
      </w:pPr>
      <w:r>
        <w:t>Processing Flow</w:t>
      </w:r>
    </w:p>
    <w:p>
      <w:pPr>
        <w:pStyle w:val="ListNumber"/>
      </w:pPr>
      <w:r>
        <w:t>Application service writes business data and MESSAGE_OUTBOX_EVENT in the same database transaction.</w:t>
      </w:r>
    </w:p>
    <w:p>
      <w:pPr>
        <w:pStyle w:val="ListNumber"/>
      </w:pPr>
      <w:r>
        <w:t>event-publisher-service runs a scheduled job at a configurable interval.</w:t>
      </w:r>
    </w:p>
    <w:p>
      <w:pPr>
        <w:pStyle w:val="ListNumber"/>
      </w:pPr>
      <w:r>
        <w:t>Service picks eligible PENDING/RETRY records using FOR UPDATE SKIP LOCKED.</w:t>
      </w:r>
    </w:p>
    <w:p>
      <w:pPr>
        <w:pStyle w:val="ListNumber"/>
      </w:pPr>
      <w:r>
        <w:t>Service marks records PROCESSING and sets lock fields.</w:t>
      </w:r>
    </w:p>
    <w:p>
      <w:pPr>
        <w:pStyle w:val="ListNumber"/>
      </w:pPr>
      <w:r>
        <w:t>MessagingPublisher adapter publishes to the configured broker.</w:t>
      </w:r>
    </w:p>
    <w:p>
      <w:pPr>
        <w:pStyle w:val="ListNumber"/>
      </w:pPr>
      <w:r>
        <w:t>On success, record is marked SUCCESS.</w:t>
      </w:r>
    </w:p>
    <w:p>
      <w:pPr>
        <w:pStyle w:val="ListNumber"/>
      </w:pPr>
      <w:r>
        <w:t>On failure, RETRY_COUNT is incremented and NEXT_RETRY_TIME is calculated.</w:t>
      </w:r>
    </w:p>
    <w:p>
      <w:pPr>
        <w:pStyle w:val="ListNumber"/>
      </w:pPr>
      <w:r>
        <w:t>After max retry, record is marked DLQ and alert is raised.</w:t>
      </w:r>
    </w:p>
    <w:p>
      <w:pPr>
        <w:pStyle w:val="Heading3"/>
      </w:pPr>
      <w:r>
        <w:t>Messaging Adapter</w:t>
      </w:r>
    </w:p>
    <w:p>
      <w:pPr>
        <w:ind w:left="288"/>
      </w:pPr>
      <w:r>
        <w:rPr>
          <w:rFonts w:ascii="Courier New" w:hAnsi="Courier New" w:eastAsia="Courier New"/>
          <w:sz w:val="17"/>
        </w:rPr>
        <w:t>interface MessagingPublisher {</w:t>
        <w:br/>
        <w:t xml:space="preserve">    PublishResult publish(OutboundMessage message);</w:t>
        <w:br/>
        <w:t>}</w:t>
        <w:br/>
        <w:br/>
        <w:t>class KafkaPublisherAdapter implements MessagingPublisher { ... }</w:t>
        <w:br/>
        <w:t>class SolacePublisherAdapter implements MessagingPublisher { ... }</w:t>
        <w:br/>
        <w:t>class FutureQueuePublisherAdapter implements MessagingPublisher { ... }</w:t>
      </w:r>
    </w:p>
    <w:p>
      <w:pPr>
        <w:pStyle w:val="Heading3"/>
      </w:pPr>
      <w:r>
        <w:t>Recommended Table: MESSAGE_OUTBOX_EVENT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73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OUTBOX_ID</w:t>
            </w:r>
          </w:p>
        </w:tc>
        <w:tc>
          <w:tcPr>
            <w:tcW w:type="dxa" w:w="7344"/>
            <w:vAlign w:val="top"/>
          </w:tcPr>
          <w:p>
            <w:r>
              <w:t>Application generated primary key.</w:t>
            </w:r>
          </w:p>
        </w:tc>
      </w:tr>
      <w:tr>
        <w:tc>
          <w:tcPr>
            <w:tcW w:type="dxa" w:w="3456"/>
            <w:vAlign w:val="top"/>
          </w:tcPr>
          <w:p>
            <w:r>
              <w:t>EVENT_ID</w:t>
            </w:r>
          </w:p>
        </w:tc>
        <w:tc>
          <w:tcPr>
            <w:tcW w:type="dxa" w:w="7344"/>
            <w:vAlign w:val="top"/>
          </w:tcPr>
          <w:p>
            <w:r>
              <w:t>Business event identifier.</w:t>
            </w:r>
          </w:p>
        </w:tc>
      </w:tr>
      <w:tr>
        <w:tc>
          <w:tcPr>
            <w:tcW w:type="dxa" w:w="3456"/>
            <w:vAlign w:val="top"/>
          </w:tcPr>
          <w:p>
            <w:r>
              <w:t>CORRELATION_ID</w:t>
            </w:r>
          </w:p>
        </w:tc>
        <w:tc>
          <w:tcPr>
            <w:tcW w:type="dxa" w:w="7344"/>
            <w:vAlign w:val="top"/>
          </w:tcPr>
          <w:p>
            <w:r>
              <w:t>Trace id across systems.</w:t>
            </w:r>
          </w:p>
        </w:tc>
      </w:tr>
      <w:tr>
        <w:tc>
          <w:tcPr>
            <w:tcW w:type="dxa" w:w="3456"/>
            <w:vAlign w:val="top"/>
          </w:tcPr>
          <w:p>
            <w:r>
              <w:t>EVENT_TYPE</w:t>
            </w:r>
          </w:p>
        </w:tc>
        <w:tc>
          <w:tcPr>
            <w:tcW w:type="dxa" w:w="7344"/>
            <w:vAlign w:val="top"/>
          </w:tcPr>
          <w:p>
            <w:r>
              <w:t>Document/business event type.</w:t>
            </w:r>
          </w:p>
        </w:tc>
      </w:tr>
      <w:tr>
        <w:tc>
          <w:tcPr>
            <w:tcW w:type="dxa" w:w="3456"/>
            <w:vAlign w:val="top"/>
          </w:tcPr>
          <w:p>
            <w:r>
              <w:t>TARGET_BROKER</w:t>
            </w:r>
          </w:p>
        </w:tc>
        <w:tc>
          <w:tcPr>
            <w:tcW w:type="dxa" w:w="7344"/>
            <w:vAlign w:val="top"/>
          </w:tcPr>
          <w:p>
            <w:r>
              <w:t>KAFKA, SOLACE, or future broker.</w:t>
            </w:r>
          </w:p>
        </w:tc>
      </w:tr>
      <w:tr>
        <w:tc>
          <w:tcPr>
            <w:tcW w:type="dxa" w:w="3456"/>
            <w:vAlign w:val="top"/>
          </w:tcPr>
          <w:p>
            <w:r>
              <w:t>DESTINATION_NAME</w:t>
            </w:r>
          </w:p>
        </w:tc>
        <w:tc>
          <w:tcPr>
            <w:tcW w:type="dxa" w:w="7344"/>
            <w:vAlign w:val="top"/>
          </w:tcPr>
          <w:p>
            <w:r>
              <w:t>Kafka topic, Solace topic/queue, or destination name.</w:t>
            </w:r>
          </w:p>
        </w:tc>
      </w:tr>
      <w:tr>
        <w:tc>
          <w:tcPr>
            <w:tcW w:type="dxa" w:w="3456"/>
            <w:vAlign w:val="top"/>
          </w:tcPr>
          <w:p>
            <w:r>
              <w:t>MESSAGE_KEY</w:t>
            </w:r>
          </w:p>
        </w:tc>
        <w:tc>
          <w:tcPr>
            <w:tcW w:type="dxa" w:w="7344"/>
            <w:vAlign w:val="top"/>
          </w:tcPr>
          <w:p>
            <w:r>
              <w:t>Ordering/partitioning/routing key, usually documentId.</w:t>
            </w:r>
          </w:p>
        </w:tc>
      </w:tr>
      <w:tr>
        <w:tc>
          <w:tcPr>
            <w:tcW w:type="dxa" w:w="3456"/>
            <w:vAlign w:val="top"/>
          </w:tcPr>
          <w:p>
            <w:r>
              <w:t>PAYLOAD</w:t>
            </w:r>
          </w:p>
        </w:tc>
        <w:tc>
          <w:tcPr>
            <w:tcW w:type="dxa" w:w="7344"/>
            <w:vAlign w:val="top"/>
          </w:tcPr>
          <w:p>
            <w:r>
              <w:t>Original message payload as JSON.</w:t>
            </w:r>
          </w:p>
        </w:tc>
      </w:tr>
      <w:tr>
        <w:tc>
          <w:tcPr>
            <w:tcW w:type="dxa" w:w="3456"/>
            <w:vAlign w:val="top"/>
          </w:tcPr>
          <w:p>
            <w:r>
              <w:t>HEADERS_JSON</w:t>
            </w:r>
          </w:p>
        </w:tc>
        <w:tc>
          <w:tcPr>
            <w:tcW w:type="dxa" w:w="7344"/>
            <w:vAlign w:val="top"/>
          </w:tcPr>
          <w:p>
            <w:r>
              <w:t>Generic message headers.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BROKER_METADATA_JSON</w:t>
            </w:r>
          </w:p>
        </w:tc>
        <w:tc>
          <w:tcPr>
            <w:tcW w:type="dxa" w:w="7344"/>
            <w:vAlign w:val="top"/>
          </w:tcPr>
          <w:p>
            <w:r>
              <w:t>Broker-specific metadata after publish, if needed.</w:t>
            </w:r>
          </w:p>
        </w:tc>
      </w:tr>
      <w:tr>
        <w:tc>
          <w:tcPr>
            <w:tcW w:type="dxa" w:w="3456"/>
            <w:vAlign w:val="top"/>
          </w:tcPr>
          <w:p>
            <w:r>
              <w:t>STATUS</w:t>
            </w:r>
          </w:p>
        </w:tc>
        <w:tc>
          <w:tcPr>
            <w:tcW w:type="dxa" w:w="7344"/>
            <w:vAlign w:val="top"/>
          </w:tcPr>
          <w:p>
            <w:r>
              <w:t>PENDING, PROCESSING, SUCCESS, RETRY, DLQ.</w:t>
            </w:r>
          </w:p>
        </w:tc>
      </w:tr>
      <w:tr>
        <w:tc>
          <w:tcPr>
            <w:tcW w:type="dxa" w:w="3456"/>
            <w:vAlign w:val="top"/>
          </w:tcPr>
          <w:p>
            <w:r>
              <w:t>RETRY_COUNT / MAX_RETRY</w:t>
            </w:r>
          </w:p>
        </w:tc>
        <w:tc>
          <w:tcPr>
            <w:tcW w:type="dxa" w:w="7344"/>
            <w:vAlign w:val="top"/>
          </w:tcPr>
          <w:p>
            <w:r>
              <w:t>Retry control.</w:t>
            </w:r>
          </w:p>
        </w:tc>
      </w:tr>
      <w:tr>
        <w:tc>
          <w:tcPr>
            <w:tcW w:type="dxa" w:w="3456"/>
            <w:vAlign w:val="top"/>
          </w:tcPr>
          <w:p>
            <w:r>
              <w:t>NEXT_RETRY_TIME</w:t>
            </w:r>
          </w:p>
        </w:tc>
        <w:tc>
          <w:tcPr>
            <w:tcW w:type="dxa" w:w="7344"/>
            <w:vAlign w:val="top"/>
          </w:tcPr>
          <w:p>
            <w:r>
              <w:t>Next eligible retry timestamp.</w:t>
            </w:r>
          </w:p>
        </w:tc>
      </w:tr>
      <w:tr>
        <w:tc>
          <w:tcPr>
            <w:tcW w:type="dxa" w:w="3456"/>
            <w:vAlign w:val="top"/>
          </w:tcPr>
          <w:p>
            <w:r>
              <w:t>PROCESSING_NODE</w:t>
            </w:r>
          </w:p>
        </w:tc>
        <w:tc>
          <w:tcPr>
            <w:tcW w:type="dxa" w:w="7344"/>
            <w:vAlign w:val="top"/>
          </w:tcPr>
          <w:p>
            <w:r>
              <w:t>Current ECS task id.</w:t>
            </w:r>
          </w:p>
        </w:tc>
      </w:tr>
      <w:tr>
        <w:tc>
          <w:tcPr>
            <w:tcW w:type="dxa" w:w="3456"/>
            <w:vAlign w:val="top"/>
          </w:tcPr>
          <w:p>
            <w:r>
              <w:t>LOCKED_AT / LOCK_EXPIRES_AT</w:t>
            </w:r>
          </w:p>
        </w:tc>
        <w:tc>
          <w:tcPr>
            <w:tcW w:type="dxa" w:w="7344"/>
            <w:vAlign w:val="top"/>
          </w:tcPr>
          <w:p>
            <w:r>
              <w:t>Safe locking and stale lock recovery.</w:t>
            </w:r>
          </w:p>
        </w:tc>
      </w:tr>
      <w:tr>
        <w:tc>
          <w:tcPr>
            <w:tcW w:type="dxa" w:w="3456"/>
            <w:vAlign w:val="top"/>
          </w:tcPr>
          <w:p>
            <w:r>
              <w:t>ERROR_MESSAGE</w:t>
            </w:r>
          </w:p>
        </w:tc>
        <w:tc>
          <w:tcPr>
            <w:tcW w:type="dxa" w:w="7344"/>
            <w:vAlign w:val="top"/>
          </w:tcPr>
          <w:p>
            <w:r>
              <w:t>Last failure reason.</w:t>
            </w:r>
          </w:p>
        </w:tc>
      </w:tr>
      <w:tr>
        <w:tc>
          <w:tcPr>
            <w:tcW w:type="dxa" w:w="3456"/>
            <w:vAlign w:val="top"/>
          </w:tcPr>
          <w:p>
            <w:r>
              <w:t>CREATED_DATE / UPDATED_DATE / PUBLISHED_DATE</w:t>
            </w:r>
          </w:p>
        </w:tc>
        <w:tc>
          <w:tcPr>
            <w:tcW w:type="dxa" w:w="7344"/>
            <w:vAlign w:val="top"/>
          </w:tcPr>
          <w:p>
            <w:r>
              <w:t>Audit timestamps.</w:t>
            </w:r>
          </w:p>
        </w:tc>
      </w:tr>
    </w:tbl>
    <w:p/>
    <w:p>
      <w:pPr>
        <w:pStyle w:val="Heading3"/>
      </w:pPr>
      <w:r>
        <w:t>Processing Query</w:t>
      </w:r>
    </w:p>
    <w:p>
      <w:pPr>
        <w:ind w:left="288"/>
      </w:pPr>
      <w:r>
        <w:rPr>
          <w:rFonts w:ascii="Courier New" w:hAnsi="Courier New" w:eastAsia="Courier New"/>
          <w:sz w:val="17"/>
        </w:rPr>
        <w:t>SELECT *</w:t>
        <w:br/>
        <w:t>FROM MESSAGE_OUTBOX_EVENT</w:t>
        <w:br/>
        <w:t>WHERE</w:t>
        <w:br/>
        <w:t>(</w:t>
        <w:br/>
        <w:t xml:space="preserve">   STATUS IN ('PENDING', 'RETRY')</w:t>
        <w:br/>
        <w:t xml:space="preserve">   AND RETRY_COUNT &lt; MAX_RETRY</w:t>
        <w:br/>
        <w:t xml:space="preserve">   AND (NEXT_RETRY_TIME IS NULL OR NEXT_RETRY_TIME &lt;= CURRENT_TIMESTAMP)</w:t>
        <w:br/>
        <w:t>)</w:t>
        <w:br/>
        <w:t>OR</w:t>
        <w:br/>
        <w:t>(</w:t>
        <w:br/>
        <w:t xml:space="preserve">   STATUS = 'PROCESSING'</w:t>
        <w:br/>
        <w:t xml:space="preserve">   AND LOCK_EXPIRES_AT &lt; CURRENT_TIMESTAMP</w:t>
        <w:br/>
        <w:t xml:space="preserve">   AND RETRY_COUNT &lt; MAX_RETRY</w:t>
        <w:br/>
        <w:t>)</w:t>
        <w:br/>
        <w:t>FETCH FIRST 100 ROWS ONLY</w:t>
        <w:br/>
        <w:t>FOR UPDATE SKIP LOCKED;</w:t>
      </w:r>
    </w:p>
    <w:p>
      <w:pPr>
        <w:pStyle w:val="Heading3"/>
      </w:pPr>
      <w:r>
        <w:t>Pros</w:t>
      </w:r>
    </w:p>
    <w:p>
      <w:pPr>
        <w:pStyle w:val="ListBullet"/>
      </w:pPr>
      <w:r>
        <w:t>Technology-neutral naming.</w:t>
      </w:r>
    </w:p>
    <w:p>
      <w:pPr>
        <w:pStyle w:val="ListBullet"/>
      </w:pPr>
      <w:r>
        <w:t>Full application control of retry/DLQ.</w:t>
      </w:r>
    </w:p>
    <w:p>
      <w:pPr>
        <w:pStyle w:val="ListBullet"/>
      </w:pPr>
      <w:r>
        <w:t>Works for Kafka and Solace through adapter.</w:t>
      </w:r>
    </w:p>
    <w:p>
      <w:pPr>
        <w:pStyle w:val="ListBullet"/>
      </w:pPr>
      <w:r>
        <w:t>Simple Phase 1 implementation.</w:t>
      </w:r>
    </w:p>
    <w:p>
      <w:pPr>
        <w:pStyle w:val="ListBullet"/>
      </w:pPr>
      <w:r>
        <w:t>Good supportability and operational visibility.</w:t>
      </w:r>
    </w:p>
    <w:p>
      <w:pPr>
        <w:pStyle w:val="Heading3"/>
      </w:pPr>
      <w:r>
        <w:t>Cons</w:t>
      </w:r>
    </w:p>
    <w:p>
      <w:pPr>
        <w:pStyle w:val="ListBullet"/>
      </w:pPr>
      <w:r>
        <w:t>Database polling.</w:t>
      </w:r>
    </w:p>
    <w:p>
      <w:pPr>
        <w:pStyle w:val="ListBullet"/>
      </w:pPr>
      <w:r>
        <w:t>Small latency based on scheduler interval.</w:t>
      </w:r>
    </w:p>
    <w:p>
      <w:pPr>
        <w:pStyle w:val="ListBullet"/>
      </w:pPr>
      <w:r>
        <w:t>Application owns publishing retry implementation.</w:t>
      </w:r>
    </w:p>
    <w:p>
      <w:pPr>
        <w:pStyle w:val="ListBullet"/>
      </w:pPr>
      <w:r>
        <w:t>Needs cleanup/archive strategy.</w:t>
      </w:r>
    </w:p>
    <w:p>
      <w:pPr>
        <w:pStyle w:val="Heading2"/>
      </w:pPr>
      <w:r>
        <w:t>6.2 Producer Approach 2: Outbox Pattern with CDC</w:t>
      </w:r>
    </w:p>
    <w:p>
      <w:pPr>
        <w:ind w:left="288"/>
      </w:pPr>
      <w:r>
        <w:rPr>
          <w:rFonts w:ascii="Courier New" w:hAnsi="Courier New" w:eastAsia="Courier New"/>
          <w:sz w:val="17"/>
        </w:rPr>
        <w:t>Application Service</w:t>
        <w:br/>
        <w:t xml:space="preserve">   ↓</w:t>
        <w:br/>
        <w:t>Business Tables + MESSAGE_OUTBOX_EVENT</w:t>
        <w:br/>
        <w:t xml:space="preserve">   ↓</w:t>
        <w:br/>
        <w:t>Database Transaction Log</w:t>
        <w:br/>
        <w:t xml:space="preserve">   ↓</w:t>
        <w:br/>
        <w:t>CDC Platform (Debezium/Kafka Connect or platform equivalent)</w:t>
        <w:br/>
        <w:t xml:space="preserve">   ↓</w:t>
        <w:br/>
        <w:t>Kafka Topic / Solace Connector / Future Destination</w:t>
      </w:r>
    </w:p>
    <w:p>
      <w:pPr>
        <w:pStyle w:val="ListNumber"/>
      </w:pPr>
      <w:r>
        <w:t>Application writes business data and MESSAGE_OUTBOX_EVENT in one database transaction.</w:t>
      </w:r>
    </w:p>
    <w:p>
      <w:pPr>
        <w:pStyle w:val="ListNumber"/>
      </w:pPr>
      <w:r>
        <w:t>Database records the change in transaction log.</w:t>
      </w:r>
    </w:p>
    <w:p>
      <w:pPr>
        <w:pStyle w:val="ListNumber"/>
      </w:pPr>
      <w:r>
        <w:t>CDC connector reads transaction log and converts Outbox row to an event.</w:t>
      </w:r>
    </w:p>
    <w:p>
      <w:pPr>
        <w:pStyle w:val="ListNumber"/>
      </w:pPr>
      <w:r>
        <w:t>Connector publishes to messaging platform.</w:t>
      </w:r>
    </w:p>
    <w:p>
      <w:pPr>
        <w:pStyle w:val="ListNumber"/>
      </w:pPr>
      <w:r>
        <w:t>Connector/platform handles retry and DLQ/DMQ configuration.</w:t>
      </w:r>
    </w:p>
    <w:p>
      <w:pPr>
        <w:pStyle w:val="Heading3"/>
      </w:pPr>
      <w:r>
        <w:t>Pros</w:t>
      </w:r>
    </w:p>
    <w:p>
      <w:pPr>
        <w:pStyle w:val="ListBullet"/>
      </w:pPr>
      <w:r>
        <w:t>Near real-time.</w:t>
      </w:r>
    </w:p>
    <w:p>
      <w:pPr>
        <w:pStyle w:val="ListBullet"/>
      </w:pPr>
      <w:r>
        <w:t>No custom scheduler/poller service.</w:t>
      </w:r>
    </w:p>
    <w:p>
      <w:pPr>
        <w:pStyle w:val="ListBullet"/>
      </w:pPr>
      <w:r>
        <w:t>High-throughput potential.</w:t>
      </w:r>
    </w:p>
    <w:p>
      <w:pPr>
        <w:pStyle w:val="ListBullet"/>
      </w:pPr>
      <w:r>
        <w:t>Useful when CDC platform is already mature.</w:t>
      </w:r>
    </w:p>
    <w:p>
      <w:pPr>
        <w:pStyle w:val="Heading3"/>
      </w:pPr>
      <w:r>
        <w:t>Cons</w:t>
      </w:r>
    </w:p>
    <w:p>
      <w:pPr>
        <w:pStyle w:val="ListBullet"/>
      </w:pPr>
      <w:r>
        <w:t>More infrastructure complexity.</w:t>
      </w:r>
    </w:p>
    <w:p>
      <w:pPr>
        <w:pStyle w:val="ListBullet"/>
      </w:pPr>
      <w:r>
        <w:t>DB log access required.</w:t>
      </w:r>
    </w:p>
    <w:p>
      <w:pPr>
        <w:pStyle w:val="ListBullet"/>
      </w:pPr>
      <w:r>
        <w:t>Connector monitoring and operations required.</w:t>
      </w:r>
    </w:p>
    <w:p>
      <w:pPr>
        <w:pStyle w:val="ListBullet"/>
      </w:pPr>
      <w:r>
        <w:t>Long outage can cause log retention risk.</w:t>
      </w:r>
    </w:p>
    <w:p>
      <w:pPr>
        <w:pStyle w:val="ListBullet"/>
      </w:pPr>
      <w:r>
        <w:t>Solace CDC connector support may require additional platform design.</w:t>
      </w:r>
    </w:p>
    <w:p>
      <w:pPr>
        <w:pStyle w:val="Heading1"/>
      </w:pPr>
      <w:r>
        <w:t>7. Consumer Architecture</w:t>
      </w:r>
    </w:p>
    <w:p>
      <w:r>
        <w:t>Consumer architecture receives events from Kafka, Solace, or other brokers and updates metadata. The design supports broker differences through a MessageReceiver abstraction and generic Inbox table.</w:t>
      </w:r>
    </w:p>
    <w:p>
      <w:pPr>
        <w:pStyle w:val="Heading2"/>
      </w:pPr>
      <w:r>
        <w:t>7.1 Consumer Approach 1: Direct Metadata Processor</w:t>
      </w:r>
    </w:p>
    <w:p>
      <w:pPr>
        <w:ind w:left="288"/>
      </w:pPr>
      <w:r>
        <w:rPr>
          <w:rFonts w:ascii="Courier New" w:hAnsi="Courier New" w:eastAsia="Courier New"/>
          <w:sz w:val="17"/>
        </w:rPr>
        <w:t>Kafka / Solace / Future Broker</w:t>
        <w:br/>
        <w:t xml:space="preserve">   ↓</w:t>
        <w:br/>
        <w:t>metadata-event-processor-service</w:t>
        <w:br/>
        <w:t xml:space="preserve">   ↓</w:t>
        <w:br/>
        <w:t>Validate + Process + Update Metadata</w:t>
        <w:br/>
        <w:t xml:space="preserve">   ↓</w:t>
        <w:br/>
        <w:t>Broker DLQ/DMQ or application DLQ</w:t>
      </w:r>
    </w:p>
    <w:p>
      <w:pPr>
        <w:pStyle w:val="Heading3"/>
      </w:pPr>
      <w:r>
        <w:t>Technology</w:t>
      </w:r>
    </w:p>
    <w:p>
      <w:pPr>
        <w:pStyle w:val="ListBullet"/>
      </w:pPr>
      <w:r>
        <w:t>Spring Boot</w:t>
      </w:r>
    </w:p>
    <w:p>
      <w:pPr>
        <w:pStyle w:val="ListBullet"/>
      </w:pPr>
      <w:r>
        <w:t>Spring Kafka for Kafka</w:t>
      </w:r>
    </w:p>
    <w:p>
      <w:pPr>
        <w:pStyle w:val="ListBullet"/>
      </w:pPr>
      <w:r>
        <w:t>Solace Java API / Spring Cloud Stream Solace binder for Solace</w:t>
      </w:r>
    </w:p>
    <w:p>
      <w:pPr>
        <w:pStyle w:val="ListBullet"/>
      </w:pPr>
      <w:r>
        <w:t>JPA/JDBC</w:t>
      </w:r>
    </w:p>
    <w:p>
      <w:pPr>
        <w:pStyle w:val="ListBullet"/>
      </w:pPr>
      <w:r>
        <w:t>Resilience4j</w:t>
      </w:r>
    </w:p>
    <w:p>
      <w:pPr>
        <w:pStyle w:val="Heading3"/>
      </w:pPr>
      <w:r>
        <w:t>Pros</w:t>
      </w:r>
    </w:p>
    <w:p>
      <w:pPr>
        <w:pStyle w:val="ListBullet"/>
      </w:pPr>
      <w:r>
        <w:t>Simple architecture.</w:t>
      </w:r>
    </w:p>
    <w:p>
      <w:pPr>
        <w:pStyle w:val="ListBullet"/>
      </w:pPr>
      <w:r>
        <w:t>Low latency.</w:t>
      </w:r>
    </w:p>
    <w:p>
      <w:pPr>
        <w:pStyle w:val="ListBullet"/>
      </w:pPr>
      <w:r>
        <w:t>Few components.</w:t>
      </w:r>
    </w:p>
    <w:p>
      <w:pPr>
        <w:pStyle w:val="Heading3"/>
      </w:pPr>
      <w:r>
        <w:t>Cons</w:t>
      </w:r>
    </w:p>
    <w:p>
      <w:pPr>
        <w:pStyle w:val="ListBullet"/>
      </w:pPr>
      <w:r>
        <w:t>Consumption and processing tightly coupled.</w:t>
      </w:r>
    </w:p>
    <w:p>
      <w:pPr>
        <w:pStyle w:val="ListBullet"/>
      </w:pPr>
      <w:r>
        <w:t>Harder replay and audit.</w:t>
      </w:r>
    </w:p>
    <w:p>
      <w:pPr>
        <w:pStyle w:val="ListBullet"/>
      </w:pPr>
      <w:r>
        <w:t>Slow metadata processing can slow message reception.</w:t>
      </w:r>
    </w:p>
    <w:p>
      <w:pPr>
        <w:pStyle w:val="ListBullet"/>
      </w:pPr>
      <w:r>
        <w:t>Broker-specific retry behavior may differ.</w:t>
      </w:r>
    </w:p>
    <w:p>
      <w:pPr>
        <w:pStyle w:val="Heading2"/>
      </w:pPr>
      <w:r>
        <w:t>7.2 Consumer Approach 2: Message Ingestion + Metadata Processing Service (Inbox Pattern)</w:t>
      </w:r>
    </w:p>
    <w:p>
      <w:pPr>
        <w:ind w:left="288"/>
      </w:pPr>
      <w:r>
        <w:rPr>
          <w:rFonts w:ascii="Courier New" w:hAnsi="Courier New" w:eastAsia="Courier New"/>
          <w:sz w:val="17"/>
        </w:rPr>
        <w:t>Kafka / Solace / Future Broker</w:t>
        <w:br/>
        <w:t xml:space="preserve">   ↓</w:t>
        <w:br/>
        <w:t>message-ingestion-service</w:t>
        <w:br/>
        <w:t xml:space="preserve">   ↓</w:t>
        <w:br/>
        <w:t>MESSAGE_INBOX_EVENT</w:t>
        <w:br/>
        <w:t xml:space="preserve">   ↓</w:t>
        <w:br/>
        <w:t>metadata-processing-service (@Scheduled)</w:t>
        <w:br/>
        <w:t xml:space="preserve">   ↓</w:t>
        <w:br/>
        <w:t>Metadata Database</w:t>
      </w:r>
    </w:p>
    <w:p>
      <w:pPr>
        <w:pStyle w:val="Heading3"/>
      </w:pPr>
      <w:r>
        <w:t>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456"/>
            <w:vAlign w:val="top"/>
          </w:tcPr>
          <w:p>
            <w:r>
              <w:t>message-ingestion-service</w:t>
            </w:r>
          </w:p>
        </w:tc>
        <w:tc>
          <w:tcPr>
            <w:tcW w:type="dxa" w:w="7488"/>
            <w:vAlign w:val="top"/>
          </w:tcPr>
          <w:p>
            <w:r>
              <w:t>Receives messages from Kafka/Solace, stores original payload and broker metadata into MESSAGE_INBOX_EVENT, acknowledges/commits broker message after successful Inbox insert.</w:t>
            </w:r>
          </w:p>
        </w:tc>
      </w:tr>
      <w:tr>
        <w:tc>
          <w:tcPr>
            <w:tcW w:type="dxa" w:w="3456"/>
            <w:vAlign w:val="top"/>
          </w:tcPr>
          <w:p>
            <w:r>
              <w:t>MESSAGE_INBOX_EVENT</w:t>
            </w:r>
          </w:p>
        </w:tc>
        <w:tc>
          <w:tcPr>
            <w:tcW w:type="dxa" w:w="7488"/>
            <w:vAlign w:val="top"/>
          </w:tcPr>
          <w:p>
            <w:r>
              <w:t>System-of-record for received messages; supports audit, retry, replay, and DLQ.</w:t>
            </w:r>
          </w:p>
        </w:tc>
      </w:tr>
      <w:tr>
        <w:tc>
          <w:tcPr>
            <w:tcW w:type="dxa" w:w="3456"/>
            <w:vAlign w:val="top"/>
          </w:tcPr>
          <w:p>
            <w:r>
              <w:t>metadata-processing-service</w:t>
            </w:r>
          </w:p>
        </w:tc>
        <w:tc>
          <w:tcPr>
            <w:tcW w:type="dxa" w:w="7488"/>
            <w:vAlign w:val="top"/>
          </w:tcPr>
          <w:p>
            <w:r>
              <w:t>Polls Inbox table, locks eligible rows, processes metadata, applies retry/backoff, marks SUCCESS/RETRY/DLQ.</w:t>
            </w:r>
          </w:p>
        </w:tc>
      </w:tr>
    </w:tbl>
    <w:p/>
    <w:p>
      <w:pPr>
        <w:pStyle w:val="Heading3"/>
      </w:pPr>
      <w:r>
        <w:t>Recommended Table: MESSAGE_INBOX_EVENT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73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INBOX_ID</w:t>
            </w:r>
          </w:p>
        </w:tc>
        <w:tc>
          <w:tcPr>
            <w:tcW w:type="dxa" w:w="7344"/>
            <w:vAlign w:val="top"/>
          </w:tcPr>
          <w:p>
            <w:r>
              <w:t>Application generated primary key.</w:t>
            </w:r>
          </w:p>
        </w:tc>
      </w:tr>
      <w:tr>
        <w:tc>
          <w:tcPr>
            <w:tcW w:type="dxa" w:w="3456"/>
            <w:vAlign w:val="top"/>
          </w:tcPr>
          <w:p>
            <w:r>
              <w:t>EVENT_ID</w:t>
            </w:r>
          </w:p>
        </w:tc>
        <w:tc>
          <w:tcPr>
            <w:tcW w:type="dxa" w:w="7344"/>
            <w:vAlign w:val="top"/>
          </w:tcPr>
          <w:p>
            <w:r>
              <w:t>Business event id from payload.</w:t>
            </w:r>
          </w:p>
        </w:tc>
      </w:tr>
      <w:tr>
        <w:tc>
          <w:tcPr>
            <w:tcW w:type="dxa" w:w="3456"/>
            <w:vAlign w:val="top"/>
          </w:tcPr>
          <w:p>
            <w:r>
              <w:t>CORRELATION_ID</w:t>
            </w:r>
          </w:p>
        </w:tc>
        <w:tc>
          <w:tcPr>
            <w:tcW w:type="dxa" w:w="7344"/>
            <w:vAlign w:val="top"/>
          </w:tcPr>
          <w:p>
            <w:r>
              <w:t>Trace id.</w:t>
            </w:r>
          </w:p>
        </w:tc>
      </w:tr>
      <w:tr>
        <w:tc>
          <w:tcPr>
            <w:tcW w:type="dxa" w:w="3456"/>
            <w:vAlign w:val="top"/>
          </w:tcPr>
          <w:p>
            <w:r>
              <w:t>SOURCE_SYSTEM</w:t>
            </w:r>
          </w:p>
        </w:tc>
        <w:tc>
          <w:tcPr>
            <w:tcW w:type="dxa" w:w="7344"/>
            <w:vAlign w:val="top"/>
          </w:tcPr>
          <w:p>
            <w:r>
              <w:t>DOCHUB, FILENET, DMS, etc.</w:t>
            </w:r>
          </w:p>
        </w:tc>
      </w:tr>
      <w:tr>
        <w:tc>
          <w:tcPr>
            <w:tcW w:type="dxa" w:w="3456"/>
            <w:vAlign w:val="top"/>
          </w:tcPr>
          <w:p>
            <w:r>
              <w:t>EVENT_TYPE</w:t>
            </w:r>
          </w:p>
        </w:tc>
        <w:tc>
          <w:tcPr>
            <w:tcW w:type="dxa" w:w="7344"/>
            <w:vAlign w:val="top"/>
          </w:tcPr>
          <w:p>
            <w:r>
              <w:t>Parsed from payload.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BROKER_TYPE</w:t>
            </w:r>
          </w:p>
        </w:tc>
        <w:tc>
          <w:tcPr>
            <w:tcW w:type="dxa" w:w="7344"/>
            <w:vAlign w:val="top"/>
          </w:tcPr>
          <w:p>
            <w:r>
              <w:t>KAFKA, SOLACE, or future broker.</w:t>
            </w:r>
          </w:p>
        </w:tc>
      </w:tr>
      <w:tr>
        <w:tc>
          <w:tcPr>
            <w:tcW w:type="dxa" w:w="3456"/>
            <w:vAlign w:val="top"/>
          </w:tcPr>
          <w:p>
            <w:r>
              <w:t>SOURCE_DESTINATION</w:t>
            </w:r>
          </w:p>
        </w:tc>
        <w:tc>
          <w:tcPr>
            <w:tcW w:type="dxa" w:w="7344"/>
            <w:vAlign w:val="top"/>
          </w:tcPr>
          <w:p>
            <w:r>
              <w:t>Kafka topic, Solace topic/queue, etc.</w:t>
            </w:r>
          </w:p>
        </w:tc>
      </w:tr>
      <w:tr>
        <w:tc>
          <w:tcPr>
            <w:tcW w:type="dxa" w:w="3456"/>
            <w:vAlign w:val="top"/>
          </w:tcPr>
          <w:p>
            <w:r>
              <w:t>MESSAGE_KEY</w:t>
            </w:r>
          </w:p>
        </w:tc>
        <w:tc>
          <w:tcPr>
            <w:tcW w:type="dxa" w:w="7344"/>
            <w:vAlign w:val="top"/>
          </w:tcPr>
          <w:p>
            <w:r>
              <w:t>Kafka key / Solace correlation or routing key / generic key.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BROKER_MESSAGE_ID</w:t>
            </w:r>
          </w:p>
        </w:tc>
        <w:tc>
          <w:tcPr>
            <w:tcW w:type="dxa" w:w="7344"/>
            <w:vAlign w:val="top"/>
          </w:tcPr>
          <w:p>
            <w:r>
              <w:t>Solace message id or equivalent if available.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BROKER_PARTITION</w:t>
            </w:r>
          </w:p>
        </w:tc>
        <w:tc>
          <w:tcPr>
            <w:tcW w:type="dxa" w:w="7344"/>
            <w:vAlign w:val="top"/>
          </w:tcPr>
          <w:p>
            <w:r>
              <w:t>Kafka partition; null for Solace if not applicable.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BROKER_OFFSET</w:t>
            </w:r>
          </w:p>
        </w:tc>
        <w:tc>
          <w:tcPr>
            <w:tcW w:type="dxa" w:w="7344"/>
            <w:vAlign w:val="top"/>
          </w:tcPr>
          <w:p>
            <w:r>
              <w:t>Kafka offset; null for Solace if not applicable.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BROKER_METADATA_JSON</w:t>
            </w:r>
          </w:p>
        </w:tc>
        <w:tc>
          <w:tcPr>
            <w:tcW w:type="dxa" w:w="7344"/>
            <w:vAlign w:val="top"/>
          </w:tcPr>
          <w:p>
            <w:r>
              <w:t>Broker-specific metadata as JSON.</w:t>
            </w:r>
          </w:p>
        </w:tc>
      </w:tr>
      <w:tr>
        <w:tc>
          <w:tcPr>
            <w:tcW w:type="dxa" w:w="3456"/>
            <w:vAlign w:val="top"/>
          </w:tcPr>
          <w:p>
            <w:r>
              <w:t>DOCUMENT_ID</w:t>
            </w:r>
          </w:p>
        </w:tc>
        <w:tc>
          <w:tcPr>
            <w:tcW w:type="dxa" w:w="7344"/>
            <w:vAlign w:val="top"/>
          </w:tcPr>
          <w:p>
            <w:r>
              <w:t>Parsed from payload.</w:t>
            </w:r>
          </w:p>
        </w:tc>
      </w:tr>
      <w:tr>
        <w:tc>
          <w:tcPr>
            <w:tcW w:type="dxa" w:w="3456"/>
            <w:vAlign w:val="top"/>
          </w:tcPr>
          <w:p>
            <w:r>
              <w:t>PAYLOAD</w:t>
            </w:r>
          </w:p>
        </w:tc>
        <w:tc>
          <w:tcPr>
            <w:tcW w:type="dxa" w:w="7344"/>
            <w:vAlign w:val="top"/>
          </w:tcPr>
          <w:p>
            <w:r>
              <w:t>Original received payload.</w:t>
            </w:r>
          </w:p>
        </w:tc>
      </w:tr>
      <w:tr>
        <w:tc>
          <w:tcPr>
            <w:tcW w:type="dxa" w:w="3456"/>
            <w:vAlign w:val="top"/>
          </w:tcPr>
          <w:p>
            <w:r>
              <w:t>STATUS</w:t>
            </w:r>
          </w:p>
        </w:tc>
        <w:tc>
          <w:tcPr>
            <w:tcW w:type="dxa" w:w="7344"/>
            <w:vAlign w:val="top"/>
          </w:tcPr>
          <w:p>
            <w:r>
              <w:t>RECEIVED, PROCESSING, SUCCESS, RETRY, DLQ.</w:t>
            </w:r>
          </w:p>
        </w:tc>
      </w:tr>
      <w:tr>
        <w:tc>
          <w:tcPr>
            <w:tcW w:type="dxa" w:w="3456"/>
            <w:vAlign w:val="top"/>
          </w:tcPr>
          <w:p>
            <w:r>
              <w:t>RETRY_COUNT / MAX_RETRY</w:t>
            </w:r>
          </w:p>
        </w:tc>
        <w:tc>
          <w:tcPr>
            <w:tcW w:type="dxa" w:w="7344"/>
            <w:vAlign w:val="top"/>
          </w:tcPr>
          <w:p>
            <w:r>
              <w:t>Retry control.</w:t>
            </w:r>
          </w:p>
        </w:tc>
      </w:tr>
      <w:tr>
        <w:tc>
          <w:tcPr>
            <w:tcW w:type="dxa" w:w="3456"/>
            <w:vAlign w:val="top"/>
          </w:tcPr>
          <w:p>
            <w:r>
              <w:t>NEXT_RETRY_TIME</w:t>
            </w:r>
          </w:p>
        </w:tc>
        <w:tc>
          <w:tcPr>
            <w:tcW w:type="dxa" w:w="7344"/>
            <w:vAlign w:val="top"/>
          </w:tcPr>
          <w:p>
            <w:r>
              <w:t>Next eligible retry timestamp.</w:t>
            </w:r>
          </w:p>
        </w:tc>
      </w:tr>
      <w:tr>
        <w:tc>
          <w:tcPr>
            <w:tcW w:type="dxa" w:w="3456"/>
            <w:vAlign w:val="top"/>
          </w:tcPr>
          <w:p>
            <w:r>
              <w:t>PROCESSING_NODE</w:t>
            </w:r>
          </w:p>
        </w:tc>
        <w:tc>
          <w:tcPr>
            <w:tcW w:type="dxa" w:w="7344"/>
            <w:vAlign w:val="top"/>
          </w:tcPr>
          <w:p>
            <w:r>
              <w:t>ECS task id.</w:t>
            </w:r>
          </w:p>
        </w:tc>
      </w:tr>
      <w:tr>
        <w:tc>
          <w:tcPr>
            <w:tcW w:type="dxa" w:w="3456"/>
            <w:vAlign w:val="top"/>
          </w:tcPr>
          <w:p>
            <w:r>
              <w:t>LOCKED_AT / LOCK_EXPIRES_AT</w:t>
            </w:r>
          </w:p>
        </w:tc>
        <w:tc>
          <w:tcPr>
            <w:tcW w:type="dxa" w:w="7344"/>
            <w:vAlign w:val="top"/>
          </w:tcPr>
          <w:p>
            <w:r>
              <w:t>Safe retry after task failure.</w:t>
            </w:r>
          </w:p>
        </w:tc>
      </w:tr>
      <w:tr>
        <w:tc>
          <w:tcPr>
            <w:tcW w:type="dxa" w:w="3456"/>
            <w:vAlign w:val="top"/>
          </w:tcPr>
          <w:p>
            <w:r>
              <w:t>ERROR_MESSAGE</w:t>
            </w:r>
          </w:p>
        </w:tc>
        <w:tc>
          <w:tcPr>
            <w:tcW w:type="dxa" w:w="7344"/>
            <w:vAlign w:val="top"/>
          </w:tcPr>
          <w:p>
            <w:r>
              <w:t>Last processing error.</w:t>
            </w:r>
          </w:p>
        </w:tc>
      </w:tr>
      <w:tr>
        <w:tc>
          <w:tcPr>
            <w:tcW w:type="dxa" w:w="3456"/>
            <w:vAlign w:val="top"/>
          </w:tcPr>
          <w:p>
            <w:r>
              <w:t>RECEIVED_DATE / PROCESSED_DATE / CREATED_DATE / UPDATED_DATE</w:t>
            </w:r>
          </w:p>
        </w:tc>
        <w:tc>
          <w:tcPr>
            <w:tcW w:type="dxa" w:w="7344"/>
            <w:vAlign w:val="top"/>
          </w:tcPr>
          <w:p>
            <w:r>
              <w:t>Audit timestamps.</w:t>
            </w:r>
          </w:p>
        </w:tc>
      </w:tr>
    </w:tbl>
    <w:p/>
    <w:p>
      <w:pPr>
        <w:pStyle w:val="Heading3"/>
      </w:pPr>
      <w:r>
        <w:t>Processing Query</w:t>
      </w:r>
    </w:p>
    <w:p>
      <w:pPr>
        <w:ind w:left="288"/>
      </w:pPr>
      <w:r>
        <w:rPr>
          <w:rFonts w:ascii="Courier New" w:hAnsi="Courier New" w:eastAsia="Courier New"/>
          <w:sz w:val="17"/>
        </w:rPr>
        <w:t>SELECT *</w:t>
        <w:br/>
        <w:t>FROM MESSAGE_INBOX_EVENT</w:t>
        <w:br/>
        <w:t>WHERE</w:t>
        <w:br/>
        <w:t>(</w:t>
        <w:br/>
        <w:t xml:space="preserve">   STATUS IN ('RECEIVED', 'RETRY')</w:t>
        <w:br/>
        <w:t xml:space="preserve">   AND RETRY_COUNT &lt; MAX_RETRY</w:t>
        <w:br/>
        <w:t xml:space="preserve">   AND (NEXT_RETRY_TIME IS NULL OR NEXT_RETRY_TIME &lt;= CURRENT_TIMESTAMP)</w:t>
        <w:br/>
        <w:t>)</w:t>
        <w:br/>
        <w:t>OR</w:t>
        <w:br/>
        <w:t>(</w:t>
        <w:br/>
        <w:t xml:space="preserve">   STATUS = 'PROCESSING'</w:t>
        <w:br/>
        <w:t xml:space="preserve">   AND LOCK_EXPIRES_AT &lt; CURRENT_TIMESTAMP</w:t>
        <w:br/>
        <w:t xml:space="preserve">   AND RETRY_COUNT &lt; MAX_RETRY</w:t>
        <w:br/>
        <w:t>)</w:t>
        <w:br/>
        <w:t>FETCH FIRST 100 ROWS ONLY</w:t>
        <w:br/>
        <w:t>FOR UPDATE SKIP LOCKED;</w:t>
      </w:r>
    </w:p>
    <w:p>
      <w:pPr>
        <w:pStyle w:val="Heading3"/>
      </w:pPr>
      <w:r>
        <w:t>Pros</w:t>
      </w:r>
    </w:p>
    <w:p>
      <w:pPr>
        <w:pStyle w:val="ListBullet"/>
      </w:pPr>
      <w:r>
        <w:t>Recommended enterprise Phase 1 design.</w:t>
      </w:r>
    </w:p>
    <w:p>
      <w:pPr>
        <w:pStyle w:val="ListBullet"/>
      </w:pPr>
      <w:r>
        <w:t>Broker-independent retry/replay/audit.</w:t>
      </w:r>
    </w:p>
    <w:p>
      <w:pPr>
        <w:pStyle w:val="ListBullet"/>
      </w:pPr>
      <w:r>
        <w:t>Consumption is decoupled from metadata processing.</w:t>
      </w:r>
    </w:p>
    <w:p>
      <w:pPr>
        <w:pStyle w:val="ListBullet"/>
      </w:pPr>
      <w:r>
        <w:t>Works consistently for Kafka pull and Solace pub/sub delivery.</w:t>
      </w:r>
    </w:p>
    <w:p>
      <w:pPr>
        <w:pStyle w:val="ListBullet"/>
      </w:pPr>
      <w:r>
        <w:t>Metadata processing can be scaled and tuned independently.</w:t>
      </w:r>
    </w:p>
    <w:p>
      <w:pPr>
        <w:pStyle w:val="Heading3"/>
      </w:pPr>
      <w:r>
        <w:t>Cons</w:t>
      </w:r>
    </w:p>
    <w:p>
      <w:pPr>
        <w:pStyle w:val="ListBullet"/>
      </w:pPr>
      <w:r>
        <w:t>More components than direct processing.</w:t>
      </w:r>
    </w:p>
    <w:p>
      <w:pPr>
        <w:pStyle w:val="ListBullet"/>
      </w:pPr>
      <w:r>
        <w:t>Uses database polling.</w:t>
      </w:r>
    </w:p>
    <w:p>
      <w:pPr>
        <w:pStyle w:val="ListBullet"/>
      </w:pPr>
      <w:r>
        <w:t>Requires lock/expiry and cleanup strategy.</w:t>
      </w:r>
    </w:p>
    <w:p>
      <w:pPr>
        <w:pStyle w:val="Heading2"/>
      </w:pPr>
      <w:r>
        <w:t>7.3 Consumer Approach 3: Message Ingestion + Event Dispatch + Metadata Processing</w:t>
      </w:r>
    </w:p>
    <w:p>
      <w:pPr>
        <w:ind w:left="288"/>
      </w:pPr>
      <w:r>
        <w:rPr>
          <w:rFonts w:ascii="Courier New" w:hAnsi="Courier New" w:eastAsia="Courier New"/>
          <w:sz w:val="17"/>
        </w:rPr>
        <w:t>Kafka / Solace / Future Broker</w:t>
        <w:br/>
        <w:t xml:space="preserve">   ↓</w:t>
        <w:br/>
        <w:t>message-ingestion-service</w:t>
        <w:br/>
        <w:t xml:space="preserve">   ↓</w:t>
        <w:br/>
        <w:t>MESSAGE_INBOX_EVENT</w:t>
        <w:br/>
        <w:t xml:space="preserve">   ↓</w:t>
        <w:br/>
        <w:t>event-dispatch-service</w:t>
        <w:br/>
        <w:t xml:space="preserve">   ↓</w:t>
        <w:br/>
        <w:t>metadata-processing-service</w:t>
        <w:br/>
        <w:t xml:space="preserve">   ↓</w:t>
        <w:br/>
        <w:t>Metadata Database</w:t>
      </w:r>
    </w:p>
    <w:p>
      <w:r>
        <w:t>This adds an event dispatch layer that monitors Inbox and invokes the metadata-processing-service through asynchronous event, REST call, gRPC, or broker message. It can reduce polling inside the metadata processor but adds another component and failure path.</w:t>
      </w:r>
    </w:p>
    <w:p>
      <w:pPr>
        <w:pStyle w:val="Heading3"/>
      </w:pPr>
      <w:r>
        <w:t>Pros</w:t>
      </w:r>
    </w:p>
    <w:p>
      <w:pPr>
        <w:pStyle w:val="ListBullet"/>
      </w:pPr>
      <w:r>
        <w:t>Can be near real-time.</w:t>
      </w:r>
    </w:p>
    <w:p>
      <w:pPr>
        <w:pStyle w:val="ListBullet"/>
      </w:pPr>
      <w:r>
        <w:t>More decoupled.</w:t>
      </w:r>
    </w:p>
    <w:p>
      <w:pPr>
        <w:pStyle w:val="ListBullet"/>
      </w:pPr>
      <w:r>
        <w:t>Good future option for high volume/low latency.</w:t>
      </w:r>
    </w:p>
    <w:p>
      <w:pPr>
        <w:pStyle w:val="Heading3"/>
      </w:pPr>
      <w:r>
        <w:t>Cons</w:t>
      </w:r>
    </w:p>
    <w:p>
      <w:pPr>
        <w:pStyle w:val="ListBullet"/>
      </w:pPr>
      <w:r>
        <w:t>Most complex option.</w:t>
      </w:r>
    </w:p>
    <w:p>
      <w:pPr>
        <w:pStyle w:val="ListBullet"/>
      </w:pPr>
      <w:r>
        <w:t>Additional service and monitoring.</w:t>
      </w:r>
    </w:p>
    <w:p>
      <w:pPr>
        <w:pStyle w:val="ListBullet"/>
      </w:pPr>
      <w:r>
        <w:t>Retry ownership can become confusing.</w:t>
      </w:r>
    </w:p>
    <w:p>
      <w:pPr>
        <w:pStyle w:val="ListBullet"/>
      </w:pPr>
      <w:r>
        <w:t>Still requires Inbox locking or dispatch idempotency.</w:t>
      </w:r>
    </w:p>
    <w:p>
      <w:pPr>
        <w:pStyle w:val="Heading1"/>
      </w:pPr>
      <w:r>
        <w:t>8. Recommended Phase 1 End-to-End Architecture</w:t>
      </w:r>
    </w:p>
    <w:p>
      <w:pPr>
        <w:ind w:left="288"/>
      </w:pPr>
      <w:r>
        <w:rPr>
          <w:rFonts w:ascii="Courier New" w:hAnsi="Courier New" w:eastAsia="Courier New"/>
          <w:sz w:val="17"/>
        </w:rPr>
        <w:t>Producer Side:</w:t>
        <w:br/>
        <w:t>Application Service</w:t>
        <w:br/>
        <w:t xml:space="preserve">   ↓</w:t>
        <w:br/>
        <w:t>MESSAGE_OUTBOX_EVENT</w:t>
        <w:br/>
        <w:t xml:space="preserve">   ↓</w:t>
        <w:br/>
        <w:t>event-publisher-service</w:t>
        <w:br/>
        <w:t xml:space="preserve">   ↓</w:t>
        <w:br/>
        <w:t>MessagingPublisher Adapter</w:t>
        <w:br/>
        <w:t xml:space="preserve">   ↓</w:t>
        <w:br/>
        <w:t>Kafka / Solace / Future Broker</w:t>
        <w:br/>
        <w:br/>
        <w:t>Consumer Side:</w:t>
        <w:br/>
        <w:t>Kafka / Solace / Future Broker</w:t>
        <w:br/>
        <w:t xml:space="preserve">   ↓</w:t>
        <w:br/>
        <w:t>message-ingestion-service</w:t>
        <w:br/>
        <w:t xml:space="preserve">   ↓</w:t>
        <w:br/>
        <w:t>MESSAGE_INBOX_EVENT</w:t>
        <w:br/>
        <w:t xml:space="preserve">   ↓</w:t>
        <w:br/>
        <w:t>metadata-processing-service</w:t>
        <w:br/>
        <w:t xml:space="preserve">   ↓</w:t>
        <w:br/>
        <w:t>Metadata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Selected Option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3024"/>
            <w:vAlign w:val="top"/>
          </w:tcPr>
          <w:p>
            <w:r>
              <w:t>Service/table names</w:t>
            </w:r>
          </w:p>
        </w:tc>
        <w:tc>
          <w:tcPr>
            <w:tcW w:type="dxa" w:w="3456"/>
            <w:vAlign w:val="top"/>
          </w:tcPr>
          <w:p>
            <w:r>
              <w:t>Generic, no Kafka/Solace/vendor name</w:t>
            </w:r>
          </w:p>
        </w:tc>
        <w:tc>
          <w:tcPr>
            <w:tcW w:type="dxa" w:w="4320"/>
            <w:vAlign w:val="top"/>
          </w:tcPr>
          <w:p>
            <w:r>
              <w:t>Supports multiple messaging platforms and future expansion.</w:t>
            </w:r>
          </w:p>
        </w:tc>
      </w:tr>
      <w:tr>
        <w:tc>
          <w:tcPr>
            <w:tcW w:type="dxa" w:w="3024"/>
            <w:vAlign w:val="top"/>
          </w:tcPr>
          <w:p>
            <w:r>
              <w:t>Producer</w:t>
            </w:r>
          </w:p>
        </w:tc>
        <w:tc>
          <w:tcPr>
            <w:tcW w:type="dxa" w:w="3456"/>
            <w:vAlign w:val="top"/>
          </w:tcPr>
          <w:p>
            <w:r>
              <w:t>Outbox + Scheduler for Phase 1</w:t>
            </w:r>
          </w:p>
        </w:tc>
        <w:tc>
          <w:tcPr>
            <w:tcW w:type="dxa" w:w="4320"/>
            <w:vAlign w:val="top"/>
          </w:tcPr>
          <w:p>
            <w:r>
              <w:t>Simple, reliable, full retry control.</w:t>
            </w:r>
          </w:p>
        </w:tc>
      </w:tr>
      <w:tr>
        <w:tc>
          <w:tcPr>
            <w:tcW w:type="dxa" w:w="3024"/>
            <w:vAlign w:val="top"/>
          </w:tcPr>
          <w:p>
            <w:r>
              <w:t>Consumer</w:t>
            </w:r>
          </w:p>
        </w:tc>
        <w:tc>
          <w:tcPr>
            <w:tcW w:type="dxa" w:w="3456"/>
            <w:vAlign w:val="top"/>
          </w:tcPr>
          <w:p>
            <w:r>
              <w:t>Inbox Pattern for Phase 1</w:t>
            </w:r>
          </w:p>
        </w:tc>
        <w:tc>
          <w:tcPr>
            <w:tcW w:type="dxa" w:w="4320"/>
            <w:vAlign w:val="top"/>
          </w:tcPr>
          <w:p>
            <w:r>
              <w:t>Reliable, replayable, audit-friendly, broker-independent.</w:t>
            </w:r>
          </w:p>
        </w:tc>
      </w:tr>
      <w:tr>
        <w:tc>
          <w:tcPr>
            <w:tcW w:type="dxa" w:w="3024"/>
            <w:vAlign w:val="top"/>
          </w:tcPr>
          <w:p>
            <w:r>
              <w:t>Messaging abstraction</w:t>
            </w:r>
          </w:p>
        </w:tc>
        <w:tc>
          <w:tcPr>
            <w:tcW w:type="dxa" w:w="3456"/>
            <w:vAlign w:val="top"/>
          </w:tcPr>
          <w:p>
            <w:r>
              <w:t>Adapter layer</w:t>
            </w:r>
          </w:p>
        </w:tc>
        <w:tc>
          <w:tcPr>
            <w:tcW w:type="dxa" w:w="4320"/>
            <w:vAlign w:val="top"/>
          </w:tcPr>
          <w:p>
            <w:r>
              <w:t>Hide Kafka pull vs Solace pub/sub differences.</w:t>
            </w:r>
          </w:p>
        </w:tc>
      </w:tr>
      <w:tr>
        <w:tc>
          <w:tcPr>
            <w:tcW w:type="dxa" w:w="3024"/>
            <w:vAlign w:val="top"/>
          </w:tcPr>
          <w:p>
            <w:r>
              <w:t>Retry</w:t>
            </w:r>
          </w:p>
        </w:tc>
        <w:tc>
          <w:tcPr>
            <w:tcW w:type="dxa" w:w="3456"/>
            <w:vAlign w:val="top"/>
          </w:tcPr>
          <w:p>
            <w:r>
              <w:t>RETRY_COUNT + NEXT_RETRY_TIME</w:t>
            </w:r>
          </w:p>
        </w:tc>
        <w:tc>
          <w:tcPr>
            <w:tcW w:type="dxa" w:w="4320"/>
            <w:vAlign w:val="top"/>
          </w:tcPr>
          <w:p>
            <w:r>
              <w:t>Prevents aggressive retries and supports backoff.</w:t>
            </w:r>
          </w:p>
        </w:tc>
      </w:tr>
      <w:tr>
        <w:tc>
          <w:tcPr>
            <w:tcW w:type="dxa" w:w="3024"/>
            <w:vAlign w:val="top"/>
          </w:tcPr>
          <w:p>
            <w:r>
              <w:t>Recovery</w:t>
            </w:r>
          </w:p>
        </w:tc>
        <w:tc>
          <w:tcPr>
            <w:tcW w:type="dxa" w:w="3456"/>
            <w:vAlign w:val="top"/>
          </w:tcPr>
          <w:p>
            <w:r>
              <w:t>LOCK_EXPIRES_AT</w:t>
            </w:r>
          </w:p>
        </w:tc>
        <w:tc>
          <w:tcPr>
            <w:tcW w:type="dxa" w:w="4320"/>
            <w:vAlign w:val="top"/>
          </w:tcPr>
          <w:p>
            <w:r>
              <w:t>Allows another ECS task to recover stuck PROCESSING rows.</w:t>
            </w:r>
          </w:p>
        </w:tc>
      </w:tr>
    </w:tbl>
    <w:p/>
    <w:p>
      <w:pPr>
        <w:pStyle w:val="Heading1"/>
      </w:pPr>
      <w:r>
        <w:t>9. Technology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Kafka Implementation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Solace Implementation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Generic Interface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Producer adapter</w:t>
            </w:r>
          </w:p>
        </w:tc>
        <w:tc>
          <w:tcPr>
            <w:tcW w:type="dxa" w:w="3024"/>
            <w:vAlign w:val="top"/>
          </w:tcPr>
          <w:p>
            <w:r>
              <w:t>Spring Kafka KafkaTemplate</w:t>
            </w:r>
          </w:p>
        </w:tc>
        <w:tc>
          <w:tcPr>
            <w:tcW w:type="dxa" w:w="3024"/>
            <w:vAlign w:val="top"/>
          </w:tcPr>
          <w:p>
            <w:r>
              <w:t>Solace Java API / JCSMP / Spring Cloud Stream Solace binder</w:t>
            </w:r>
          </w:p>
        </w:tc>
        <w:tc>
          <w:tcPr>
            <w:tcW w:type="dxa" w:w="3024"/>
            <w:vAlign w:val="top"/>
          </w:tcPr>
          <w:p>
            <w:r>
              <w:t>MessagingPublisher</w:t>
            </w:r>
          </w:p>
        </w:tc>
      </w:tr>
      <w:tr>
        <w:tc>
          <w:tcPr>
            <w:tcW w:type="dxa" w:w="2448"/>
            <w:vAlign w:val="top"/>
          </w:tcPr>
          <w:p>
            <w:r>
              <w:t>Consumer adapter</w:t>
            </w:r>
          </w:p>
        </w:tc>
        <w:tc>
          <w:tcPr>
            <w:tcW w:type="dxa" w:w="3024"/>
            <w:vAlign w:val="top"/>
          </w:tcPr>
          <w:p>
            <w:r>
              <w:t>Spring Kafka @KafkaListener</w:t>
            </w:r>
          </w:p>
        </w:tc>
        <w:tc>
          <w:tcPr>
            <w:tcW w:type="dxa" w:w="3024"/>
            <w:vAlign w:val="top"/>
          </w:tcPr>
          <w:p>
            <w:r>
              <w:t>Solace subscriber/queue listener / Spring Cloud Stream binder</w:t>
            </w:r>
          </w:p>
        </w:tc>
        <w:tc>
          <w:tcPr>
            <w:tcW w:type="dxa" w:w="3024"/>
            <w:vAlign w:val="top"/>
          </w:tcPr>
          <w:p>
            <w:r>
              <w:t>MessageReceiver</w:t>
            </w:r>
          </w:p>
        </w:tc>
      </w:tr>
      <w:tr>
        <w:tc>
          <w:tcPr>
            <w:tcW w:type="dxa" w:w="2448"/>
            <w:vAlign w:val="top"/>
          </w:tcPr>
          <w:p>
            <w:r>
              <w:t>DLQ</w:t>
            </w:r>
          </w:p>
        </w:tc>
        <w:tc>
          <w:tcPr>
            <w:tcW w:type="dxa" w:w="3024"/>
            <w:vAlign w:val="top"/>
          </w:tcPr>
          <w:p>
            <w:r>
              <w:t>Kafka DLQ topic</w:t>
            </w:r>
          </w:p>
        </w:tc>
        <w:tc>
          <w:tcPr>
            <w:tcW w:type="dxa" w:w="3024"/>
            <w:vAlign w:val="top"/>
          </w:tcPr>
          <w:p>
            <w:r>
              <w:t>Solace DMQ/error queue</w:t>
            </w:r>
          </w:p>
        </w:tc>
        <w:tc>
          <w:tcPr>
            <w:tcW w:type="dxa" w:w="3024"/>
            <w:vAlign w:val="top"/>
          </w:tcPr>
          <w:p>
            <w:r>
              <w:t>Generic DLQ status + broker-specific destination</w:t>
            </w:r>
          </w:p>
        </w:tc>
      </w:tr>
      <w:tr>
        <w:tc>
          <w:tcPr>
            <w:tcW w:type="dxa" w:w="2448"/>
            <w:vAlign w:val="top"/>
          </w:tcPr>
          <w:p>
            <w:r>
              <w:t>Ack/commit</w:t>
            </w:r>
          </w:p>
        </w:tc>
        <w:tc>
          <w:tcPr>
            <w:tcW w:type="dxa" w:w="3024"/>
            <w:vAlign w:val="top"/>
          </w:tcPr>
          <w:p>
            <w:r>
              <w:t>Kafka offset commit</w:t>
            </w:r>
          </w:p>
        </w:tc>
        <w:tc>
          <w:tcPr>
            <w:tcW w:type="dxa" w:w="3024"/>
            <w:vAlign w:val="top"/>
          </w:tcPr>
          <w:p>
            <w:r>
              <w:t>Solace ack/settlement</w:t>
            </w:r>
          </w:p>
        </w:tc>
        <w:tc>
          <w:tcPr>
            <w:tcW w:type="dxa" w:w="3024"/>
            <w:vAlign w:val="top"/>
          </w:tcPr>
          <w:p>
            <w:r>
              <w:t>Acknowledge after Inbox insert</w:t>
            </w:r>
          </w:p>
        </w:tc>
      </w:tr>
      <w:tr>
        <w:tc>
          <w:tcPr>
            <w:tcW w:type="dxa" w:w="2448"/>
            <w:vAlign w:val="top"/>
          </w:tcPr>
          <w:p>
            <w:r>
              <w:t>Observability</w:t>
            </w:r>
          </w:p>
        </w:tc>
        <w:tc>
          <w:tcPr>
            <w:tcW w:type="dxa" w:w="3024"/>
            <w:vAlign w:val="top"/>
          </w:tcPr>
          <w:p>
            <w:r>
              <w:t>Consumer lag, offset, partition</w:t>
            </w:r>
          </w:p>
        </w:tc>
        <w:tc>
          <w:tcPr>
            <w:tcW w:type="dxa" w:w="3024"/>
            <w:vAlign w:val="top"/>
          </w:tcPr>
          <w:p>
            <w:r>
              <w:t>Queue depth, delivery count, DMQ count</w:t>
            </w:r>
          </w:p>
        </w:tc>
        <w:tc>
          <w:tcPr>
            <w:tcW w:type="dxa" w:w="3024"/>
            <w:vAlign w:val="top"/>
          </w:tcPr>
          <w:p>
            <w:r>
              <w:t>Pending, retry, DLQ, processing latency</w:t>
            </w:r>
          </w:p>
        </w:tc>
      </w:tr>
    </w:tbl>
    <w:p/>
    <w:p>
      <w:pPr>
        <w:pStyle w:val="Heading1"/>
      </w:pPr>
      <w:r>
        <w:t>10. Final Recommendation</w:t>
      </w:r>
    </w:p>
    <w:p>
      <w:r>
        <w:t>Adopt a messaging-platform agnostic architecture with generic service and table names. Use adapters to support Kafka, Solace, and future brokers. For Phase 1, use Outbox + Scheduler on the producer side and Inbox Pattern on the consumer side. This gives the best balance of reliability, clarity, operational control, and future extensibility.</w:t>
      </w:r>
    </w:p>
    <w:p>
      <w:r>
        <w:t>Recommended Phase 1 services:</w:t>
      </w:r>
    </w:p>
    <w:p>
      <w:pPr>
        <w:pStyle w:val="ListBullet"/>
      </w:pPr>
      <w:r>
        <w:t>event-publisher-service</w:t>
      </w:r>
    </w:p>
    <w:p>
      <w:pPr>
        <w:pStyle w:val="ListBullet"/>
      </w:pPr>
      <w:r>
        <w:t>message-ingestion-service</w:t>
      </w:r>
    </w:p>
    <w:p>
      <w:pPr>
        <w:pStyle w:val="ListBullet"/>
      </w:pPr>
      <w:r>
        <w:t>metadata-processing-service</w:t>
      </w:r>
    </w:p>
    <w:p>
      <w:r>
        <w:t>Recommended Phase 1 tables:</w:t>
      </w:r>
    </w:p>
    <w:p>
      <w:pPr>
        <w:pStyle w:val="ListBullet"/>
      </w:pPr>
      <w:r>
        <w:t>MESSAGE_OUTBOX_EVENT</w:t>
      </w:r>
    </w:p>
    <w:p>
      <w:pPr>
        <w:pStyle w:val="ListBullet"/>
      </w:pPr>
      <w:r>
        <w:t>MESSAGE_INBOX_EVENT</w:t>
      </w:r>
    </w:p>
    <w:p>
      <w:pPr>
        <w:jc w:val="center"/>
      </w:pPr>
      <w:r>
        <w:t>End of Document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