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2B3993" w14:textId="77777777" w:rsidR="00AC7FC4" w:rsidRPr="00AC7FC4" w:rsidRDefault="00AC7FC4" w:rsidP="00AC7FC4">
      <w:r w:rsidRPr="00AC7FC4">
        <w:t>Wage Comparison in Recent Years (2015 to 2022):</w:t>
      </w:r>
    </w:p>
    <w:p w14:paraId="0B4CB304" w14:textId="77777777" w:rsidR="00AC7FC4" w:rsidRPr="00AC7FC4" w:rsidRDefault="00AC7FC4" w:rsidP="00AC7FC4">
      <w:r w:rsidRPr="00AC7FC4">
        <w:t>Black Workers:</w:t>
      </w:r>
    </w:p>
    <w:p w14:paraId="187C689D" w14:textId="77777777" w:rsidR="00AC7FC4" w:rsidRPr="00AC7FC4" w:rsidRDefault="00AC7FC4" w:rsidP="00AC7FC4">
      <w:r w:rsidRPr="00AC7FC4">
        <w:t>Black Median Wage:</w:t>
      </w:r>
    </w:p>
    <w:p w14:paraId="77C5FF70" w14:textId="77777777" w:rsidR="00AC7FC4" w:rsidRPr="00AC7FC4" w:rsidRDefault="00AC7FC4" w:rsidP="00AC7FC4">
      <w:r w:rsidRPr="00AC7FC4">
        <w:rPr>
          <w:b/>
          <w:bCs/>
        </w:rPr>
        <w:t>Observation:</w:t>
      </w:r>
      <w:r w:rsidRPr="00AC7FC4">
        <w:t> The black median wage fluctuates between 17.5 to 20.0 across the years from 2015 to 2022.</w:t>
      </w:r>
      <w:r w:rsidRPr="00AC7FC4">
        <w:br/>
      </w:r>
      <w:r w:rsidRPr="00AC7FC4">
        <w:rPr>
          <w:b/>
          <w:bCs/>
        </w:rPr>
        <w:t>Trend:</w:t>
      </w:r>
      <w:r w:rsidRPr="00AC7FC4">
        <w:t> There is variability, and the median wage for black workers does not follow a consistent upward or downward trend.</w:t>
      </w:r>
    </w:p>
    <w:p w14:paraId="01E55291" w14:textId="77777777" w:rsidR="00AC7FC4" w:rsidRPr="00AC7FC4" w:rsidRDefault="00AC7FC4" w:rsidP="00AC7FC4">
      <w:r w:rsidRPr="00AC7FC4">
        <w:t>Black Average Wage:</w:t>
      </w:r>
    </w:p>
    <w:p w14:paraId="559D4749" w14:textId="77777777" w:rsidR="00AC7FC4" w:rsidRPr="00AC7FC4" w:rsidRDefault="00AC7FC4" w:rsidP="00AC7FC4">
      <w:r w:rsidRPr="00AC7FC4">
        <w:rPr>
          <w:b/>
          <w:bCs/>
        </w:rPr>
        <w:t>Observation:</w:t>
      </w:r>
      <w:r w:rsidRPr="00AC7FC4">
        <w:t> The black average wage changes between 22.5 to 25.5 during the same period.</w:t>
      </w:r>
      <w:r w:rsidRPr="00AC7FC4">
        <w:br/>
      </w:r>
      <w:r w:rsidRPr="00AC7FC4">
        <w:rPr>
          <w:b/>
          <w:bCs/>
        </w:rPr>
        <w:t>Trend:</w:t>
      </w:r>
      <w:r w:rsidRPr="00AC7FC4">
        <w:t> Similar to the median wage, the average wage for black workers shows fluctuations without a clear upward or downward trend.</w:t>
      </w:r>
    </w:p>
    <w:p w14:paraId="0DC4A7B9" w14:textId="77777777" w:rsidR="00AC7FC4" w:rsidRPr="00AC7FC4" w:rsidRDefault="00AC7FC4" w:rsidP="00AC7FC4">
      <w:r w:rsidRPr="00AC7FC4">
        <w:t>White Workers:</w:t>
      </w:r>
    </w:p>
    <w:p w14:paraId="4C631369" w14:textId="77777777" w:rsidR="00AC7FC4" w:rsidRPr="00AC7FC4" w:rsidRDefault="00AC7FC4" w:rsidP="00AC7FC4">
      <w:r w:rsidRPr="00AC7FC4">
        <w:t>White Median Wage:</w:t>
      </w:r>
    </w:p>
    <w:p w14:paraId="0FEC8D9F" w14:textId="77777777" w:rsidR="00AC7FC4" w:rsidRPr="00AC7FC4" w:rsidRDefault="00AC7FC4" w:rsidP="00AC7FC4">
      <w:r w:rsidRPr="00AC7FC4">
        <w:rPr>
          <w:b/>
          <w:bCs/>
        </w:rPr>
        <w:t>Observation:</w:t>
      </w:r>
      <w:r w:rsidRPr="00AC7FC4">
        <w:t> The white median wage varies between 23.0 to 26.0 from 2015 to 2022.</w:t>
      </w:r>
      <w:r w:rsidRPr="00AC7FC4">
        <w:br/>
      </w:r>
      <w:r w:rsidRPr="00AC7FC4">
        <w:rPr>
          <w:b/>
          <w:bCs/>
        </w:rPr>
        <w:t>Trend:</w:t>
      </w:r>
      <w:r w:rsidRPr="00AC7FC4">
        <w:t> There is variability, and the median wage for white workers does not follow a consistent upward or downward trend.</w:t>
      </w:r>
    </w:p>
    <w:p w14:paraId="0101C483" w14:textId="77777777" w:rsidR="00AC7FC4" w:rsidRPr="00AC7FC4" w:rsidRDefault="00AC7FC4" w:rsidP="00AC7FC4">
      <w:r w:rsidRPr="00AC7FC4">
        <w:t>White Average Wage:</w:t>
      </w:r>
    </w:p>
    <w:p w14:paraId="3BDC8E76" w14:textId="77777777" w:rsidR="00AC7FC4" w:rsidRPr="00AC7FC4" w:rsidRDefault="00AC7FC4" w:rsidP="00AC7FC4">
      <w:r w:rsidRPr="00AC7FC4">
        <w:rPr>
          <w:b/>
          <w:bCs/>
        </w:rPr>
        <w:t>Observation:</w:t>
      </w:r>
      <w:r w:rsidRPr="00AC7FC4">
        <w:t> The white average wage ranges between 31.0 to 35.0 during the same period.</w:t>
      </w:r>
      <w:r w:rsidRPr="00AC7FC4">
        <w:br/>
      </w:r>
      <w:r w:rsidRPr="00AC7FC4">
        <w:rPr>
          <w:b/>
          <w:bCs/>
        </w:rPr>
        <w:t>Trend:</w:t>
      </w:r>
      <w:r w:rsidRPr="00AC7FC4">
        <w:t> Similar to the median wage, the average wage for white workers shows fluctuations without a clear upward or downward trend.</w:t>
      </w:r>
    </w:p>
    <w:p w14:paraId="1752198A" w14:textId="77777777" w:rsidR="00AC7FC4" w:rsidRPr="00AC7FC4" w:rsidRDefault="00AC7FC4" w:rsidP="00AC7FC4">
      <w:r w:rsidRPr="00AC7FC4">
        <w:t>Recommendations and Conclusions -</w:t>
      </w:r>
    </w:p>
    <w:p w14:paraId="43AA8BD0" w14:textId="77777777" w:rsidR="00AC7FC4" w:rsidRPr="00AC7FC4" w:rsidRDefault="00AC7FC4" w:rsidP="00AC7FC4">
      <w:r w:rsidRPr="00AC7FC4">
        <w:t>Recommendations:</w:t>
      </w:r>
    </w:p>
    <w:p w14:paraId="00C28BC0" w14:textId="77777777" w:rsidR="00AC7FC4" w:rsidRPr="00AC7FC4" w:rsidRDefault="00AC7FC4" w:rsidP="00AC7FC4">
      <w:pPr>
        <w:numPr>
          <w:ilvl w:val="0"/>
          <w:numId w:val="1"/>
        </w:numPr>
      </w:pPr>
      <w:r w:rsidRPr="00AC7FC4">
        <w:rPr>
          <w:b/>
          <w:bCs/>
        </w:rPr>
        <w:t>Policy Advocacy:</w:t>
      </w:r>
      <w:r w:rsidRPr="00AC7FC4">
        <w:br/>
        <w:t xml:space="preserve">Advocate for policies that address the observed fluctuations in the wage gap. Consider supporting initiatives that focus on equal pay, anti-discrimination measures, and fair </w:t>
      </w:r>
      <w:proofErr w:type="spellStart"/>
      <w:r w:rsidRPr="00AC7FC4">
        <w:t>labor</w:t>
      </w:r>
      <w:proofErr w:type="spellEnd"/>
      <w:r w:rsidRPr="00AC7FC4">
        <w:t xml:space="preserve"> practices.</w:t>
      </w:r>
    </w:p>
    <w:p w14:paraId="4277E86B" w14:textId="77777777" w:rsidR="00AC7FC4" w:rsidRPr="00AC7FC4" w:rsidRDefault="00AC7FC4" w:rsidP="00AC7FC4">
      <w:pPr>
        <w:numPr>
          <w:ilvl w:val="0"/>
          <w:numId w:val="1"/>
        </w:numPr>
      </w:pPr>
      <w:r w:rsidRPr="00AC7FC4">
        <w:rPr>
          <w:b/>
          <w:bCs/>
        </w:rPr>
        <w:t>Industry-Specific Analysis:</w:t>
      </w:r>
      <w:r w:rsidRPr="00AC7FC4">
        <w:br/>
        <w:t>Conduct a more detailed analysis of wage trends in specific industries. Identify sectors where wage disparities are more pronounced and work towards implementing targeted interventions or policies within those industries.</w:t>
      </w:r>
    </w:p>
    <w:p w14:paraId="0D1C1609" w14:textId="77777777" w:rsidR="00AC7FC4" w:rsidRPr="00AC7FC4" w:rsidRDefault="00AC7FC4" w:rsidP="00AC7FC4">
      <w:pPr>
        <w:numPr>
          <w:ilvl w:val="0"/>
          <w:numId w:val="1"/>
        </w:numPr>
      </w:pPr>
      <w:r w:rsidRPr="00AC7FC4">
        <w:rPr>
          <w:b/>
          <w:bCs/>
        </w:rPr>
        <w:t>Intersectional Analysis:</w:t>
      </w:r>
      <w:r w:rsidRPr="00AC7FC4">
        <w:br/>
        <w:t>Explore the intersectionality of race and gender in wage disparities. Investigate how the wage gap differs for individuals who belong to both marginalized groups and tailor interventions accordingly.</w:t>
      </w:r>
    </w:p>
    <w:p w14:paraId="098608F3" w14:textId="77777777" w:rsidR="00AC7FC4" w:rsidRPr="00AC7FC4" w:rsidRDefault="00AC7FC4" w:rsidP="00AC7FC4">
      <w:pPr>
        <w:numPr>
          <w:ilvl w:val="0"/>
          <w:numId w:val="1"/>
        </w:numPr>
      </w:pPr>
      <w:r w:rsidRPr="00AC7FC4">
        <w:rPr>
          <w:b/>
          <w:bCs/>
        </w:rPr>
        <w:t>Educational Initiatives:</w:t>
      </w:r>
      <w:r w:rsidRPr="00AC7FC4">
        <w:br/>
        <w:t>Collaborate with educational institutions and organizations to address disparities in educational attainment. Promote programs that enhance access to education and skills training, particularly for communities facing wage gaps.</w:t>
      </w:r>
    </w:p>
    <w:p w14:paraId="76121629" w14:textId="77777777" w:rsidR="00AC7FC4" w:rsidRPr="00AC7FC4" w:rsidRDefault="00AC7FC4" w:rsidP="00AC7FC4">
      <w:pPr>
        <w:numPr>
          <w:ilvl w:val="0"/>
          <w:numId w:val="1"/>
        </w:numPr>
      </w:pPr>
      <w:r w:rsidRPr="00AC7FC4">
        <w:rPr>
          <w:b/>
          <w:bCs/>
        </w:rPr>
        <w:lastRenderedPageBreak/>
        <w:t>Continuous Monitoring:</w:t>
      </w:r>
      <w:r w:rsidRPr="00AC7FC4">
        <w:br/>
        <w:t>Implement a system for continuous monitoring of wage disparities. Regularly update and assess the effectiveness of policies and interventions to ensure ongoing progress.</w:t>
      </w:r>
    </w:p>
    <w:p w14:paraId="2EE91277" w14:textId="77777777" w:rsidR="00AC7FC4" w:rsidRPr="00AC7FC4" w:rsidRDefault="00AC7FC4" w:rsidP="00AC7FC4">
      <w:pPr>
        <w:numPr>
          <w:ilvl w:val="0"/>
          <w:numId w:val="1"/>
        </w:numPr>
      </w:pPr>
      <w:r w:rsidRPr="00AC7FC4">
        <w:rPr>
          <w:b/>
          <w:bCs/>
        </w:rPr>
        <w:t>Economic Conditions:</w:t>
      </w:r>
      <w:r w:rsidRPr="00AC7FC4">
        <w:br/>
        <w:t>Stay vigilant about economic conditions and their impact on wages. Advocate for measures that promote economic stability and growth, as these factors can influence overall wage levels.</w:t>
      </w:r>
    </w:p>
    <w:p w14:paraId="3E76248A" w14:textId="77777777" w:rsidR="00AC7FC4" w:rsidRPr="00AC7FC4" w:rsidRDefault="00AC7FC4" w:rsidP="00AC7FC4">
      <w:r w:rsidRPr="00AC7FC4">
        <w:t>Conclusions:</w:t>
      </w:r>
    </w:p>
    <w:p w14:paraId="55649CA5" w14:textId="77777777" w:rsidR="00AC7FC4" w:rsidRPr="00AC7FC4" w:rsidRDefault="00AC7FC4" w:rsidP="00AC7FC4">
      <w:pPr>
        <w:numPr>
          <w:ilvl w:val="0"/>
          <w:numId w:val="2"/>
        </w:numPr>
      </w:pPr>
      <w:r w:rsidRPr="00AC7FC4">
        <w:rPr>
          <w:b/>
          <w:bCs/>
        </w:rPr>
        <w:t>Dynamic Wage Landscape:</w:t>
      </w:r>
      <w:r w:rsidRPr="00AC7FC4">
        <w:br/>
        <w:t>The analysis reveals a dynamic landscape of wage disparities between white and black workers. Fluctuations over the years highlight the sensitivity of wages to external factors.</w:t>
      </w:r>
    </w:p>
    <w:p w14:paraId="0FDA4FF8" w14:textId="77777777" w:rsidR="00AC7FC4" w:rsidRPr="00AC7FC4" w:rsidRDefault="00AC7FC4" w:rsidP="00AC7FC4">
      <w:pPr>
        <w:numPr>
          <w:ilvl w:val="0"/>
          <w:numId w:val="2"/>
        </w:numPr>
      </w:pPr>
      <w:r w:rsidRPr="00AC7FC4">
        <w:rPr>
          <w:b/>
          <w:bCs/>
        </w:rPr>
        <w:t>Persistent Wage Gaps:</w:t>
      </w:r>
      <w:r w:rsidRPr="00AC7FC4">
        <w:br/>
        <w:t>While there have been improvements in median and average wages for both white and black workers, persistent wage gaps remain. These gaps vary across demographic groups and genders.</w:t>
      </w:r>
    </w:p>
    <w:p w14:paraId="453A9165" w14:textId="77777777" w:rsidR="00AC7FC4" w:rsidRPr="00AC7FC4" w:rsidRDefault="00AC7FC4" w:rsidP="00AC7FC4">
      <w:pPr>
        <w:numPr>
          <w:ilvl w:val="0"/>
          <w:numId w:val="2"/>
        </w:numPr>
      </w:pPr>
      <w:r w:rsidRPr="00AC7FC4">
        <w:rPr>
          <w:b/>
          <w:bCs/>
        </w:rPr>
        <w:t>Importance of Intersectionality:</w:t>
      </w:r>
      <w:r w:rsidRPr="00AC7FC4">
        <w:br/>
        <w:t>The intersectional analysis emphasizes the importance of considering multiple dimensions, such as race and gender, in understanding wage disparities. Intersectionality provides a more nuanced view of the challenges faced by individuals.</w:t>
      </w:r>
    </w:p>
    <w:p w14:paraId="72E8A149" w14:textId="77777777" w:rsidR="00AC7FC4" w:rsidRPr="00AC7FC4" w:rsidRDefault="00AC7FC4" w:rsidP="00AC7FC4">
      <w:pPr>
        <w:numPr>
          <w:ilvl w:val="0"/>
          <w:numId w:val="2"/>
        </w:numPr>
      </w:pPr>
      <w:r w:rsidRPr="00AC7FC4">
        <w:rPr>
          <w:b/>
          <w:bCs/>
        </w:rPr>
        <w:t>Need for Targeted Interventions:</w:t>
      </w:r>
      <w:r w:rsidRPr="00AC7FC4">
        <w:br/>
        <w:t>Targeted interventions are crucial to addressing specific areas of concern. Policy changes, educational initiatives, and industry-specific strategies are recommended to effectively narrow wage gaps.</w:t>
      </w:r>
    </w:p>
    <w:p w14:paraId="6180664D" w14:textId="77777777" w:rsidR="00AC7FC4" w:rsidRPr="00AC7FC4" w:rsidRDefault="00AC7FC4" w:rsidP="00AC7FC4">
      <w:pPr>
        <w:numPr>
          <w:ilvl w:val="0"/>
          <w:numId w:val="2"/>
        </w:numPr>
      </w:pPr>
      <w:r w:rsidRPr="00AC7FC4">
        <w:rPr>
          <w:b/>
          <w:bCs/>
        </w:rPr>
        <w:t>Ongoing Monitoring and Evaluation:</w:t>
      </w:r>
      <w:r w:rsidRPr="00AC7FC4">
        <w:br/>
        <w:t>Continuous monitoring and evaluation of wage disparities are essential. Regular assessments will facilitate the identification of evolving trends and the effectiveness of implemented measures.</w:t>
      </w:r>
    </w:p>
    <w:p w14:paraId="15E190AF" w14:textId="77777777" w:rsidR="00AC7FC4" w:rsidRPr="00AC7FC4" w:rsidRDefault="00AC7FC4" w:rsidP="00AC7FC4">
      <w:pPr>
        <w:numPr>
          <w:ilvl w:val="0"/>
          <w:numId w:val="2"/>
        </w:numPr>
      </w:pPr>
      <w:r w:rsidRPr="00AC7FC4">
        <w:rPr>
          <w:b/>
          <w:bCs/>
        </w:rPr>
        <w:t>Collaborative Efforts:</w:t>
      </w:r>
      <w:r w:rsidRPr="00AC7FC4">
        <w:br/>
        <w:t>Addressing wage disparities requires collaborative efforts from policymakers, businesses, educational institutions, and advocacy groups. A multifaceted approach is necessary to achieve meaningful and sustainable change.</w:t>
      </w:r>
    </w:p>
    <w:p w14:paraId="097854F5" w14:textId="77777777" w:rsidR="00AC7FC4" w:rsidRPr="00AC7FC4" w:rsidRDefault="00AC7FC4" w:rsidP="00AC7FC4">
      <w:pPr>
        <w:numPr>
          <w:ilvl w:val="0"/>
          <w:numId w:val="2"/>
        </w:numPr>
      </w:pPr>
      <w:r w:rsidRPr="00AC7FC4">
        <w:rPr>
          <w:b/>
          <w:bCs/>
        </w:rPr>
        <w:t>Consideration of Historical Context:</w:t>
      </w:r>
      <w:r w:rsidRPr="00AC7FC4">
        <w:br/>
        <w:t xml:space="preserve">Historical context, as indicated by the low wage gap in 1979, should be considered when </w:t>
      </w:r>
      <w:proofErr w:type="spellStart"/>
      <w:r w:rsidRPr="00AC7FC4">
        <w:t>analyzing</w:t>
      </w:r>
      <w:proofErr w:type="spellEnd"/>
      <w:r w:rsidRPr="00AC7FC4">
        <w:t xml:space="preserve"> current disparities. Understanding historical patterns can provide insights into long-term systemic challenges. Remember to adapt these recommendations and conclusions based on the specific nuances of your dataset and the context in which the analysis is presented. Adding concrete examples and case studies related to successful interventions can further strengthen your recommendations.</w:t>
      </w:r>
    </w:p>
    <w:p w14:paraId="685FE423" w14:textId="77777777" w:rsidR="00AC7FC4" w:rsidRPr="00AC7FC4" w:rsidRDefault="00AC7FC4" w:rsidP="00AC7FC4">
      <w:r w:rsidRPr="00AC7FC4">
        <w:t>Practice Questions -</w:t>
      </w:r>
    </w:p>
    <w:p w14:paraId="41C00834" w14:textId="77777777" w:rsidR="00AC7FC4" w:rsidRPr="00AC7FC4" w:rsidRDefault="00AC7FC4" w:rsidP="00AC7FC4">
      <w:pPr>
        <w:numPr>
          <w:ilvl w:val="0"/>
          <w:numId w:val="3"/>
        </w:numPr>
      </w:pPr>
      <w:r w:rsidRPr="00AC7FC4">
        <w:t>Explore long-term trends by looking at data over several decades. Have there been persistent patterns or shifts in the wage gap over this extended period?</w:t>
      </w:r>
    </w:p>
    <w:p w14:paraId="7F078588" w14:textId="77777777" w:rsidR="00AC7FC4" w:rsidRPr="00AC7FC4" w:rsidRDefault="00AC7FC4" w:rsidP="00AC7FC4">
      <w:pPr>
        <w:numPr>
          <w:ilvl w:val="0"/>
          <w:numId w:val="3"/>
        </w:numPr>
      </w:pPr>
      <w:r w:rsidRPr="00AC7FC4">
        <w:lastRenderedPageBreak/>
        <w:t>Investigate whether changes in the minimum wage have had a discernible impact on the wage gap between white and black workers.</w:t>
      </w:r>
    </w:p>
    <w:p w14:paraId="6A3261A6" w14:textId="77777777" w:rsidR="00C767B7" w:rsidRDefault="00C767B7"/>
    <w:sectPr w:rsidR="00C767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530866"/>
    <w:multiLevelType w:val="multilevel"/>
    <w:tmpl w:val="DF880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D3723E5"/>
    <w:multiLevelType w:val="multilevel"/>
    <w:tmpl w:val="64C2C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2B3C68"/>
    <w:multiLevelType w:val="multilevel"/>
    <w:tmpl w:val="65387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7883340">
    <w:abstractNumId w:val="2"/>
  </w:num>
  <w:num w:numId="2" w16cid:durableId="616639544">
    <w:abstractNumId w:val="0"/>
  </w:num>
  <w:num w:numId="3" w16cid:durableId="19043699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992"/>
    <w:rsid w:val="00AC7FC4"/>
    <w:rsid w:val="00B71711"/>
    <w:rsid w:val="00C767B7"/>
    <w:rsid w:val="00D80992"/>
    <w:rsid w:val="00E062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3A40DA-84E8-4848-AF59-FCDD530F9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099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8099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8099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8099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8099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809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09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09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09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99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809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8099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8099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8099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809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09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09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0992"/>
    <w:rPr>
      <w:rFonts w:eastAsiaTheme="majorEastAsia" w:cstheme="majorBidi"/>
      <w:color w:val="272727" w:themeColor="text1" w:themeTint="D8"/>
    </w:rPr>
  </w:style>
  <w:style w:type="paragraph" w:styleId="Title">
    <w:name w:val="Title"/>
    <w:basedOn w:val="Normal"/>
    <w:next w:val="Normal"/>
    <w:link w:val="TitleChar"/>
    <w:uiPriority w:val="10"/>
    <w:qFormat/>
    <w:rsid w:val="00D809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9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09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09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0992"/>
    <w:pPr>
      <w:spacing w:before="160"/>
      <w:jc w:val="center"/>
    </w:pPr>
    <w:rPr>
      <w:i/>
      <w:iCs/>
      <w:color w:val="404040" w:themeColor="text1" w:themeTint="BF"/>
    </w:rPr>
  </w:style>
  <w:style w:type="character" w:customStyle="1" w:styleId="QuoteChar">
    <w:name w:val="Quote Char"/>
    <w:basedOn w:val="DefaultParagraphFont"/>
    <w:link w:val="Quote"/>
    <w:uiPriority w:val="29"/>
    <w:rsid w:val="00D80992"/>
    <w:rPr>
      <w:i/>
      <w:iCs/>
      <w:color w:val="404040" w:themeColor="text1" w:themeTint="BF"/>
    </w:rPr>
  </w:style>
  <w:style w:type="paragraph" w:styleId="ListParagraph">
    <w:name w:val="List Paragraph"/>
    <w:basedOn w:val="Normal"/>
    <w:uiPriority w:val="34"/>
    <w:qFormat/>
    <w:rsid w:val="00D80992"/>
    <w:pPr>
      <w:ind w:left="720"/>
      <w:contextualSpacing/>
    </w:pPr>
  </w:style>
  <w:style w:type="character" w:styleId="IntenseEmphasis">
    <w:name w:val="Intense Emphasis"/>
    <w:basedOn w:val="DefaultParagraphFont"/>
    <w:uiPriority w:val="21"/>
    <w:qFormat/>
    <w:rsid w:val="00D80992"/>
    <w:rPr>
      <w:i/>
      <w:iCs/>
      <w:color w:val="2F5496" w:themeColor="accent1" w:themeShade="BF"/>
    </w:rPr>
  </w:style>
  <w:style w:type="paragraph" w:styleId="IntenseQuote">
    <w:name w:val="Intense Quote"/>
    <w:basedOn w:val="Normal"/>
    <w:next w:val="Normal"/>
    <w:link w:val="IntenseQuoteChar"/>
    <w:uiPriority w:val="30"/>
    <w:qFormat/>
    <w:rsid w:val="00D8099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80992"/>
    <w:rPr>
      <w:i/>
      <w:iCs/>
      <w:color w:val="2F5496" w:themeColor="accent1" w:themeShade="BF"/>
    </w:rPr>
  </w:style>
  <w:style w:type="character" w:styleId="IntenseReference">
    <w:name w:val="Intense Reference"/>
    <w:basedOn w:val="DefaultParagraphFont"/>
    <w:uiPriority w:val="32"/>
    <w:qFormat/>
    <w:rsid w:val="00D8099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640272">
      <w:bodyDiv w:val="1"/>
      <w:marLeft w:val="0"/>
      <w:marRight w:val="0"/>
      <w:marTop w:val="0"/>
      <w:marBottom w:val="0"/>
      <w:divBdr>
        <w:top w:val="none" w:sz="0" w:space="0" w:color="auto"/>
        <w:left w:val="none" w:sz="0" w:space="0" w:color="auto"/>
        <w:bottom w:val="none" w:sz="0" w:space="0" w:color="auto"/>
        <w:right w:val="none" w:sz="0" w:space="0" w:color="auto"/>
      </w:divBdr>
      <w:divsChild>
        <w:div w:id="828137897">
          <w:marLeft w:val="0"/>
          <w:marRight w:val="0"/>
          <w:marTop w:val="0"/>
          <w:marBottom w:val="0"/>
          <w:divBdr>
            <w:top w:val="none" w:sz="0" w:space="0" w:color="auto"/>
            <w:left w:val="none" w:sz="0" w:space="0" w:color="auto"/>
            <w:bottom w:val="none" w:sz="0" w:space="0" w:color="auto"/>
            <w:right w:val="none" w:sz="0" w:space="0" w:color="auto"/>
          </w:divBdr>
          <w:divsChild>
            <w:div w:id="102307699">
              <w:marLeft w:val="0"/>
              <w:marRight w:val="0"/>
              <w:marTop w:val="0"/>
              <w:marBottom w:val="0"/>
              <w:divBdr>
                <w:top w:val="none" w:sz="0" w:space="0" w:color="auto"/>
                <w:left w:val="none" w:sz="0" w:space="0" w:color="auto"/>
                <w:bottom w:val="none" w:sz="0" w:space="0" w:color="auto"/>
                <w:right w:val="none" w:sz="0" w:space="0" w:color="auto"/>
              </w:divBdr>
              <w:divsChild>
                <w:div w:id="1018118649">
                  <w:marLeft w:val="0"/>
                  <w:marRight w:val="0"/>
                  <w:marTop w:val="0"/>
                  <w:marBottom w:val="0"/>
                  <w:divBdr>
                    <w:top w:val="none" w:sz="0" w:space="0" w:color="auto"/>
                    <w:left w:val="none" w:sz="0" w:space="0" w:color="auto"/>
                    <w:bottom w:val="none" w:sz="0" w:space="0" w:color="auto"/>
                    <w:right w:val="none" w:sz="0" w:space="0" w:color="auto"/>
                  </w:divBdr>
                  <w:divsChild>
                    <w:div w:id="54521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371527">
          <w:marLeft w:val="0"/>
          <w:marRight w:val="0"/>
          <w:marTop w:val="0"/>
          <w:marBottom w:val="0"/>
          <w:divBdr>
            <w:top w:val="none" w:sz="0" w:space="0" w:color="auto"/>
            <w:left w:val="none" w:sz="0" w:space="0" w:color="auto"/>
            <w:bottom w:val="none" w:sz="0" w:space="0" w:color="auto"/>
            <w:right w:val="none" w:sz="0" w:space="0" w:color="auto"/>
          </w:divBdr>
          <w:divsChild>
            <w:div w:id="495801868">
              <w:marLeft w:val="0"/>
              <w:marRight w:val="0"/>
              <w:marTop w:val="0"/>
              <w:marBottom w:val="0"/>
              <w:divBdr>
                <w:top w:val="none" w:sz="0" w:space="0" w:color="auto"/>
                <w:left w:val="none" w:sz="0" w:space="0" w:color="auto"/>
                <w:bottom w:val="none" w:sz="0" w:space="0" w:color="auto"/>
                <w:right w:val="none" w:sz="0" w:space="0" w:color="auto"/>
              </w:divBdr>
              <w:divsChild>
                <w:div w:id="261763129">
                  <w:marLeft w:val="0"/>
                  <w:marRight w:val="0"/>
                  <w:marTop w:val="0"/>
                  <w:marBottom w:val="0"/>
                  <w:divBdr>
                    <w:top w:val="none" w:sz="0" w:space="0" w:color="auto"/>
                    <w:left w:val="none" w:sz="0" w:space="0" w:color="auto"/>
                    <w:bottom w:val="none" w:sz="0" w:space="0" w:color="auto"/>
                    <w:right w:val="none" w:sz="0" w:space="0" w:color="auto"/>
                  </w:divBdr>
                  <w:divsChild>
                    <w:div w:id="111726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229403">
          <w:marLeft w:val="0"/>
          <w:marRight w:val="0"/>
          <w:marTop w:val="0"/>
          <w:marBottom w:val="0"/>
          <w:divBdr>
            <w:top w:val="none" w:sz="0" w:space="0" w:color="auto"/>
            <w:left w:val="none" w:sz="0" w:space="0" w:color="auto"/>
            <w:bottom w:val="none" w:sz="0" w:space="0" w:color="auto"/>
            <w:right w:val="none" w:sz="0" w:space="0" w:color="auto"/>
          </w:divBdr>
          <w:divsChild>
            <w:div w:id="2001424644">
              <w:marLeft w:val="0"/>
              <w:marRight w:val="0"/>
              <w:marTop w:val="0"/>
              <w:marBottom w:val="0"/>
              <w:divBdr>
                <w:top w:val="none" w:sz="0" w:space="0" w:color="auto"/>
                <w:left w:val="none" w:sz="0" w:space="0" w:color="auto"/>
                <w:bottom w:val="none" w:sz="0" w:space="0" w:color="auto"/>
                <w:right w:val="none" w:sz="0" w:space="0" w:color="auto"/>
              </w:divBdr>
              <w:divsChild>
                <w:div w:id="1279138761">
                  <w:marLeft w:val="0"/>
                  <w:marRight w:val="0"/>
                  <w:marTop w:val="0"/>
                  <w:marBottom w:val="0"/>
                  <w:divBdr>
                    <w:top w:val="none" w:sz="0" w:space="0" w:color="auto"/>
                    <w:left w:val="none" w:sz="0" w:space="0" w:color="auto"/>
                    <w:bottom w:val="none" w:sz="0" w:space="0" w:color="auto"/>
                    <w:right w:val="none" w:sz="0" w:space="0" w:color="auto"/>
                  </w:divBdr>
                  <w:divsChild>
                    <w:div w:id="212372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184010">
      <w:bodyDiv w:val="1"/>
      <w:marLeft w:val="0"/>
      <w:marRight w:val="0"/>
      <w:marTop w:val="0"/>
      <w:marBottom w:val="0"/>
      <w:divBdr>
        <w:top w:val="none" w:sz="0" w:space="0" w:color="auto"/>
        <w:left w:val="none" w:sz="0" w:space="0" w:color="auto"/>
        <w:bottom w:val="none" w:sz="0" w:space="0" w:color="auto"/>
        <w:right w:val="none" w:sz="0" w:space="0" w:color="auto"/>
      </w:divBdr>
      <w:divsChild>
        <w:div w:id="1880387198">
          <w:marLeft w:val="0"/>
          <w:marRight w:val="0"/>
          <w:marTop w:val="0"/>
          <w:marBottom w:val="0"/>
          <w:divBdr>
            <w:top w:val="none" w:sz="0" w:space="0" w:color="auto"/>
            <w:left w:val="none" w:sz="0" w:space="0" w:color="auto"/>
            <w:bottom w:val="none" w:sz="0" w:space="0" w:color="auto"/>
            <w:right w:val="none" w:sz="0" w:space="0" w:color="auto"/>
          </w:divBdr>
          <w:divsChild>
            <w:div w:id="1337221103">
              <w:marLeft w:val="0"/>
              <w:marRight w:val="0"/>
              <w:marTop w:val="0"/>
              <w:marBottom w:val="0"/>
              <w:divBdr>
                <w:top w:val="none" w:sz="0" w:space="0" w:color="auto"/>
                <w:left w:val="none" w:sz="0" w:space="0" w:color="auto"/>
                <w:bottom w:val="none" w:sz="0" w:space="0" w:color="auto"/>
                <w:right w:val="none" w:sz="0" w:space="0" w:color="auto"/>
              </w:divBdr>
              <w:divsChild>
                <w:div w:id="1478184367">
                  <w:marLeft w:val="0"/>
                  <w:marRight w:val="0"/>
                  <w:marTop w:val="0"/>
                  <w:marBottom w:val="0"/>
                  <w:divBdr>
                    <w:top w:val="none" w:sz="0" w:space="0" w:color="auto"/>
                    <w:left w:val="none" w:sz="0" w:space="0" w:color="auto"/>
                    <w:bottom w:val="none" w:sz="0" w:space="0" w:color="auto"/>
                    <w:right w:val="none" w:sz="0" w:space="0" w:color="auto"/>
                  </w:divBdr>
                  <w:divsChild>
                    <w:div w:id="167865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007302">
          <w:marLeft w:val="0"/>
          <w:marRight w:val="0"/>
          <w:marTop w:val="0"/>
          <w:marBottom w:val="0"/>
          <w:divBdr>
            <w:top w:val="none" w:sz="0" w:space="0" w:color="auto"/>
            <w:left w:val="none" w:sz="0" w:space="0" w:color="auto"/>
            <w:bottom w:val="none" w:sz="0" w:space="0" w:color="auto"/>
            <w:right w:val="none" w:sz="0" w:space="0" w:color="auto"/>
          </w:divBdr>
          <w:divsChild>
            <w:div w:id="783571333">
              <w:marLeft w:val="0"/>
              <w:marRight w:val="0"/>
              <w:marTop w:val="0"/>
              <w:marBottom w:val="0"/>
              <w:divBdr>
                <w:top w:val="none" w:sz="0" w:space="0" w:color="auto"/>
                <w:left w:val="none" w:sz="0" w:space="0" w:color="auto"/>
                <w:bottom w:val="none" w:sz="0" w:space="0" w:color="auto"/>
                <w:right w:val="none" w:sz="0" w:space="0" w:color="auto"/>
              </w:divBdr>
              <w:divsChild>
                <w:div w:id="466244031">
                  <w:marLeft w:val="0"/>
                  <w:marRight w:val="0"/>
                  <w:marTop w:val="0"/>
                  <w:marBottom w:val="0"/>
                  <w:divBdr>
                    <w:top w:val="none" w:sz="0" w:space="0" w:color="auto"/>
                    <w:left w:val="none" w:sz="0" w:space="0" w:color="auto"/>
                    <w:bottom w:val="none" w:sz="0" w:space="0" w:color="auto"/>
                    <w:right w:val="none" w:sz="0" w:space="0" w:color="auto"/>
                  </w:divBdr>
                  <w:divsChild>
                    <w:div w:id="21177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392698">
          <w:marLeft w:val="0"/>
          <w:marRight w:val="0"/>
          <w:marTop w:val="0"/>
          <w:marBottom w:val="0"/>
          <w:divBdr>
            <w:top w:val="none" w:sz="0" w:space="0" w:color="auto"/>
            <w:left w:val="none" w:sz="0" w:space="0" w:color="auto"/>
            <w:bottom w:val="none" w:sz="0" w:space="0" w:color="auto"/>
            <w:right w:val="none" w:sz="0" w:space="0" w:color="auto"/>
          </w:divBdr>
          <w:divsChild>
            <w:div w:id="636956108">
              <w:marLeft w:val="0"/>
              <w:marRight w:val="0"/>
              <w:marTop w:val="0"/>
              <w:marBottom w:val="0"/>
              <w:divBdr>
                <w:top w:val="none" w:sz="0" w:space="0" w:color="auto"/>
                <w:left w:val="none" w:sz="0" w:space="0" w:color="auto"/>
                <w:bottom w:val="none" w:sz="0" w:space="0" w:color="auto"/>
                <w:right w:val="none" w:sz="0" w:space="0" w:color="auto"/>
              </w:divBdr>
              <w:divsChild>
                <w:div w:id="679283880">
                  <w:marLeft w:val="0"/>
                  <w:marRight w:val="0"/>
                  <w:marTop w:val="0"/>
                  <w:marBottom w:val="0"/>
                  <w:divBdr>
                    <w:top w:val="none" w:sz="0" w:space="0" w:color="auto"/>
                    <w:left w:val="none" w:sz="0" w:space="0" w:color="auto"/>
                    <w:bottom w:val="none" w:sz="0" w:space="0" w:color="auto"/>
                    <w:right w:val="none" w:sz="0" w:space="0" w:color="auto"/>
                  </w:divBdr>
                  <w:divsChild>
                    <w:div w:id="75281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690</Words>
  <Characters>3939</Characters>
  <Application>Microsoft Office Word</Application>
  <DocSecurity>0</DocSecurity>
  <Lines>32</Lines>
  <Paragraphs>9</Paragraphs>
  <ScaleCrop>false</ScaleCrop>
  <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singh bhandari</dc:creator>
  <cp:keywords/>
  <dc:description/>
  <cp:lastModifiedBy>saurabh singh bhandari</cp:lastModifiedBy>
  <cp:revision>2</cp:revision>
  <dcterms:created xsi:type="dcterms:W3CDTF">2025-06-29T16:26:00Z</dcterms:created>
  <dcterms:modified xsi:type="dcterms:W3CDTF">2025-06-29T16:26:00Z</dcterms:modified>
</cp:coreProperties>
</file>