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ystem-architecture"/>
    <w:p>
      <w:pPr>
        <w:pStyle w:val="Heading1"/>
      </w:pPr>
      <w:r>
        <w:t xml:space="preserve">3) System Architecture</w:t>
      </w:r>
    </w:p>
    <w:bookmarkStart w:id="9" w:name="high-level-architecture-description"/>
    <w:p>
      <w:pPr>
        <w:pStyle w:val="Heading2"/>
      </w:pPr>
      <w:r>
        <w:t xml:space="preserve">3.1 High-Level Architecture Description</w:t>
      </w:r>
    </w:p>
    <w:p>
      <w:pPr>
        <w:pStyle w:val="FirstParagraph"/>
      </w:pPr>
      <w:r>
        <w:t xml:space="preserve">A React single-page app (branded</w:t>
      </w:r>
      <w:r>
        <w:t xml:space="preserve"> </w:t>
      </w:r>
      <w:r>
        <w:rPr>
          <w:b/>
          <w:bCs/>
        </w:rPr>
        <w:t xml:space="preserve">SUBLET</w:t>
      </w:r>
      <w:r>
        <w:t xml:space="preserve">) talks to a stateless Express JSON API over</w:t>
      </w:r>
      <w:r>
        <w:t xml:space="preserve"> </w:t>
      </w:r>
      <w:r>
        <w:rPr>
          <w:rStyle w:val="VerbatimChar"/>
        </w:rPr>
        <w:t xml:space="preserve">/api</w:t>
      </w:r>
      <w:r>
        <w:t xml:space="preserve">.</w:t>
      </w:r>
      <w:r>
        <w:t xml:space="preserve"> </w:t>
      </w:r>
      <w:r>
        <w:t xml:space="preserve">The API authenticates with JWTs and authorizes by global role (</w:t>
      </w:r>
      <w:r>
        <w:rPr>
          <w:rStyle w:val="VerbatimChar"/>
        </w:rPr>
        <w:t xml:space="preserve">user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 plus</w:t>
      </w:r>
      <w:r>
        <w:t xml:space="preserve"> </w:t>
      </w:r>
      <w:r>
        <w:rPr>
          <w:b/>
          <w:bCs/>
        </w:rPr>
        <w:t xml:space="preserve">per-hackathon</w:t>
      </w:r>
      <w:r>
        <w:t xml:space="preserve"> </w:t>
      </w:r>
      <w:r>
        <w:t xml:space="preserve">judge access (</w:t>
      </w:r>
      <w:r>
        <w:rPr>
          <w:rStyle w:val="VerbatimChar"/>
        </w:rPr>
        <w:t xml:space="preserve">hackathon_judges</w:t>
      </w:r>
      <w:r>
        <w:t xml:space="preserve">). Most resources are nested under</w:t>
      </w:r>
      <w:r>
        <w:t xml:space="preserve"> </w:t>
      </w:r>
      <w:r>
        <w:rPr>
          <w:rStyle w:val="VerbatimChar"/>
        </w:rPr>
        <w:t xml:space="preserve">/api/hackathons/:hid/…</w:t>
      </w:r>
      <w:r>
        <w:t xml:space="preserve"> </w:t>
      </w:r>
      <w:r>
        <w:t xml:space="preserve">and scoped to that hackathon by</w:t>
      </w:r>
      <w:r>
        <w:t xml:space="preserve"> </w:t>
      </w:r>
      <w:r>
        <w:rPr>
          <w:rStyle w:val="VerbatimChar"/>
        </w:rPr>
        <w:t xml:space="preserve">hackathonContext</w:t>
      </w:r>
      <w:r>
        <w:t xml:space="preserve"> </w:t>
      </w:r>
      <w:r>
        <w:t xml:space="preserve">middleware. All</w:t>
      </w:r>
      <w:r>
        <w:t xml:space="preserve"> </w:t>
      </w:r>
      <w:r>
        <w:t xml:space="preserve">persistence goes through one data-access boundary (</w:t>
      </w:r>
      <w:r>
        <w:rPr>
          <w:rStyle w:val="VerbatimChar"/>
        </w:rPr>
        <w:t xml:space="preserve">db.js</w:t>
      </w:r>
      <w:r>
        <w:t xml:space="preserve">) that selects SQLite or Postgres/Neon</w:t>
      </w:r>
      <w:r>
        <w:t xml:space="preserve"> </w:t>
      </w:r>
      <w:r>
        <w:t xml:space="preserve">by configuration. Team matching is a backend service that combines structured</w:t>
      </w:r>
      <w:r>
        <w:t xml:space="preserve"> </w:t>
      </w:r>
      <w:r>
        <w:t xml:space="preserve">overlap (tracks/sponsors) with text similarity from an embedding service (OpenAI or an offline</w:t>
      </w:r>
      <w:r>
        <w:t xml:space="preserve"> </w:t>
      </w:r>
      <w:r>
        <w:t xml:space="preserve">fallback). There is no caching layer or queue; matching runs synchronously on demand.</w:t>
      </w:r>
    </w:p>
    <w:bookmarkEnd w:id="9"/>
    <w:bookmarkStart w:id="10" w:name="architecture-diagram"/>
    <w:p>
      <w:pPr>
        <w:pStyle w:val="Heading2"/>
      </w:pPr>
      <w:r>
        <w:t xml:space="preserve">3.2 Architecture Diagram</w:t>
      </w:r>
    </w:p>
    <w:p>
      <w:pPr>
        <w:pStyle w:val="SourceCode"/>
      </w:pPr>
      <w:r>
        <w:rPr>
          <w:rStyle w:val="VerbatimChar"/>
        </w:rPr>
        <w:t xml:space="preserve">[Browser / React SPA]</w:t>
      </w:r>
      <w:r>
        <w:br/>
      </w:r>
      <w:r>
        <w:rPr>
          <w:rStyle w:val="VerbatimChar"/>
        </w:rPr>
        <w:t xml:space="preserve">   |  HTTPS (JWT in Authorization header)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[Frontend App (Vite)] ---/api---&gt; [Express API]</w:t>
      </w:r>
      <w:r>
        <w:br/>
      </w:r>
      <w:r>
        <w:rPr>
          <w:rStyle w:val="VerbatimChar"/>
        </w:rPr>
        <w:t xml:space="preserve">                                     |</w:t>
      </w:r>
      <w:r>
        <w:br/>
      </w:r>
      <w:r>
        <w:rPr>
          <w:rStyle w:val="VerbatimChar"/>
        </w:rPr>
        <w:t xml:space="preserve">                  +------------------+-------------------+</w:t>
      </w:r>
      <w:r>
        <w:br/>
      </w:r>
      <w:r>
        <w:rPr>
          <w:rStyle w:val="VerbatimChar"/>
        </w:rPr>
        <w:t xml:space="preserve">                  v                  v                   v</w:t>
      </w:r>
      <w:r>
        <w:br/>
      </w:r>
      <w:r>
        <w:rPr>
          <w:rStyle w:val="VerbatimChar"/>
        </w:rPr>
        <w:t xml:space="preserve">          [Auth + RBAC]      [db.js adapter]      [Matching service]</w:t>
      </w:r>
      <w:r>
        <w:br/>
      </w:r>
      <w:r>
        <w:rPr>
          <w:rStyle w:val="VerbatimChar"/>
        </w:rPr>
        <w:t xml:space="preserve">        (jwt, bcrypt,      (run/get/all/insert)   (matchingEngine.js)</w:t>
      </w:r>
      <w:r>
        <w:br/>
      </w:r>
      <w:r>
        <w:rPr>
          <w:rStyle w:val="VerbatimChar"/>
        </w:rPr>
        <w:t xml:space="preserve">         middleware)              |                      |</w:t>
      </w:r>
      <w:r>
        <w:br/>
      </w:r>
      <w:r>
        <w:rPr>
          <w:rStyle w:val="VerbatimChar"/>
        </w:rPr>
        <w:t xml:space="preserve">                                  v                      v</w:t>
      </w:r>
      <w:r>
        <w:br/>
      </w:r>
      <w:r>
        <w:rPr>
          <w:rStyle w:val="VerbatimChar"/>
        </w:rPr>
        <w:t xml:space="preserve">                        [SQLite (local)        [llm.js embeddings]</w:t>
      </w:r>
      <w:r>
        <w:br/>
      </w:r>
      <w:r>
        <w:rPr>
          <w:rStyle w:val="VerbatimChar"/>
        </w:rPr>
        <w:t xml:space="preserve">                         | Postgres/Neon]    (OpenAI or offline fallback)</w:t>
      </w:r>
    </w:p>
    <w:bookmarkEnd w:id="10"/>
    <w:bookmarkStart w:id="11" w:name="component-responsibilities"/>
    <w:p>
      <w:pPr>
        <w:pStyle w:val="Heading2"/>
      </w:pPr>
      <w:r>
        <w:t xml:space="preserve">3.3 Component Responsibilities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Renders pages (Login, Register, Dashboard, Team Matching, Submit Project,</w:t>
      </w:r>
      <w:r>
        <w:t xml:space="preserve"> </w:t>
      </w:r>
      <w:r>
        <w:t xml:space="preserve">Judging, Admin Panel); stores the JWT; guards routes by role; calls the API.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Backend/API:</w:t>
      </w:r>
      <w:r>
        <w:t xml:space="preserve"> </w:t>
      </w:r>
      <w:r>
        <w:t xml:space="preserve">Validates input, enforces auth/RBAC, runs business rules (one project per</w:t>
      </w:r>
      <w:r>
        <w:t xml:space="preserve"> </w:t>
      </w:r>
      <w:r>
        <w:t xml:space="preserve">person, incremental matching, score ranges), serializes JSON.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Stores users, config, tracks, sponsors, matching profiles/runs, projects and</w:t>
      </w:r>
      <w:r>
        <w:t xml:space="preserve"> </w:t>
      </w:r>
      <w:r>
        <w:t xml:space="preserve">their join tables, and scores. Enforces uniqueness invariants.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LLM/Agents:</w:t>
      </w:r>
      <w:r>
        <w:t xml:space="preserve"> </w:t>
      </w:r>
      <w:r>
        <w:rPr>
          <w:rStyle w:val="VerbatimChar"/>
        </w:rPr>
        <w:t xml:space="preserve">llm.js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gpt-4o-mini</w:t>
      </w:r>
      <w:r>
        <w:t xml:space="preserve"> </w:t>
      </w:r>
      <w:r>
        <w:t xml:space="preserve">to score idea similarity for</w:t>
      </w:r>
      <w:r>
        <w:t xml:space="preserve"> </w:t>
      </w:r>
      <w:r>
        <w:t xml:space="preserve">“what they plan to</w:t>
      </w:r>
      <w:r>
        <w:t xml:space="preserve"> </w:t>
      </w:r>
      <w:r>
        <w:t xml:space="preserve">build”</w:t>
      </w:r>
      <w:r>
        <w:t xml:space="preserve">. No autonomous agents — matching is a deterministic algorithm (see §9).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External Integrations:</w:t>
      </w:r>
      <w:r>
        <w:t xml:space="preserve"> </w:t>
      </w:r>
      <w:r>
        <w:t xml:space="preserve">OpenAI embeddings API (optional). Neon Postgres (when deployed).</w:t>
      </w:r>
    </w:p>
    <w:bookmarkEnd w:id="11"/>
    <w:bookmarkStart w:id="12" w:name="database-selection-configuration-driven"/>
    <w:p>
      <w:pPr>
        <w:pStyle w:val="Heading2"/>
      </w:pPr>
      <w:r>
        <w:t xml:space="preserve">3.4 Database selection (configuration-driven)</w:t>
      </w:r>
    </w:p>
    <w:p>
      <w:pPr>
        <w:pStyle w:val="FirstParagraph"/>
      </w:pPr>
      <w:r>
        <w:rPr>
          <w:rStyle w:val="VerbatimChar"/>
        </w:rPr>
        <w:t xml:space="preserve">db.js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. If it starts with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, a</w:t>
      </w:r>
      <w:r>
        <w:t xml:space="preserve"> </w:t>
      </w:r>
      <w:r>
        <w:rPr>
          <w:rStyle w:val="VerbatimChar"/>
        </w:rPr>
        <w:t xml:space="preserve">pg</w:t>
      </w:r>
      <w:r>
        <w:t xml:space="preserve"> </w:t>
      </w:r>
      <w:r>
        <w:t xml:space="preserve">pool connects to Neon;</w:t>
      </w:r>
      <w:r>
        <w:t xml:space="preserve"> </w:t>
      </w:r>
      <w:r>
        <w:t xml:space="preserve">otherwise the built-in</w:t>
      </w:r>
      <w:r>
        <w:t xml:space="preserve"> </w:t>
      </w:r>
      <w:r>
        <w:rPr>
          <w:rStyle w:val="VerbatimChar"/>
        </w:rPr>
        <w:t xml:space="preserve">node:sqlite</w:t>
      </w:r>
      <w:r>
        <w:t xml:space="preserve"> </w:t>
      </w:r>
      <w:r>
        <w:t xml:space="preserve">engine opens</w:t>
      </w:r>
      <w:r>
        <w:t xml:space="preserve"> </w:t>
      </w:r>
      <w:r>
        <w:rPr>
          <w:rStyle w:val="VerbatimChar"/>
        </w:rPr>
        <w:t xml:space="preserve">backend/data/app.db</w:t>
      </w:r>
      <w:r>
        <w:t xml:space="preserve">. The same application</w:t>
      </w:r>
      <w:r>
        <w:t xml:space="preserve"> </w:t>
      </w:r>
      <w:r>
        <w:t xml:space="preserve">code and schema shape run on both; only</w:t>
      </w:r>
      <w:r>
        <w:t xml:space="preserve"> </w:t>
      </w:r>
      <w:r>
        <w:rPr>
          <w:rStyle w:val="VerbatimChar"/>
        </w:rPr>
        <w:t xml:space="preserve">schema.js</w:t>
      </w:r>
      <w:r>
        <w:t xml:space="preserve"> </w:t>
      </w:r>
      <w:r>
        <w:t xml:space="preserve">branches on PK syntax (</w:t>
      </w:r>
      <w:r>
        <w:rPr>
          <w:rStyle w:val="VerbatimChar"/>
        </w:rPr>
        <w:t xml:space="preserve">SERIAL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AUTOINCREMENT</w:t>
      </w:r>
      <w:r>
        <w:t xml:space="preserve">). This is the single data-access boundary required by the template.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2026-06-16T00:03:05Z</dcterms:created>
  <dcterms:modified xsi:type="dcterms:W3CDTF">2026-06-16T00:03:05Z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