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cument-generation-checklist"/>
    <w:p>
      <w:pPr>
        <w:pStyle w:val="Heading1"/>
      </w:pPr>
      <w:r>
        <w:t xml:space="preserve">13) Document Generation Checklist</w:t>
      </w:r>
    </w:p>
    <w:p>
      <w:pPr>
        <w:pStyle w:val="FirstParagraph"/>
      </w:pPr>
      <w:r>
        <w:t xml:space="preserve">State after the v2.0.0 update (SUBLET, multi-hackathon, reset, UI redesign).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rules: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§1–§13 filled from the implementation; N/A sections justified</w:t>
      </w:r>
      <w:r>
        <w:t xml:space="preserve"> </w:t>
      </w:r>
      <w:r>
        <w:t xml:space="preserve">(agents §9, some EventHack-only items).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is updated and matches the repo.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project.docx</w:t>
      </w:r>
      <w:r>
        <w:t xml:space="preserve"> </w:t>
      </w:r>
      <w:r>
        <w:t xml:space="preserve">exported from the latest Markdown (Pandoc).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product sections</w:t>
      </w:r>
      <w:r>
        <w:t xml:space="preserve"> </w:t>
      </w:r>
      <w:r>
        <w:rPr>
          <w:rStyle w:val="VerbatimChar"/>
        </w:rPr>
        <w:t xml:space="preserve">01-*.md … 13-*.md</w:t>
      </w:r>
      <w:r>
        <w:t xml:space="preserve"> </w:t>
      </w:r>
      <w:r>
        <w:t xml:space="preserve">written, with matching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exports;</w:t>
      </w:r>
      <w:r>
        <w:t xml:space="preserve"> </w:t>
      </w:r>
      <w:r>
        <w:t xml:space="preserve">index in</w:t>
      </w:r>
      <w: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Architecture diagram updated (§3 /</w:t>
      </w:r>
      <w:r>
        <w:t xml:space="preserve"> </w:t>
      </w:r>
      <w:hyperlink r:id="rId10">
        <w:r>
          <w:rPr>
            <w:rStyle w:val="Hyperlink"/>
          </w:rPr>
          <w:t xml:space="preserve">03-system-architecture.md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§4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04-…</w:t>
        </w:r>
      </w:hyperlink>
      <w:r>
        <w:t xml:space="preserve">): plain language only; each UI Page has a</w:t>
      </w:r>
      <w:r>
        <w:t xml:space="preserve"> </w:t>
      </w:r>
      <w:r>
        <w:t xml:space="preserve">“What is on the screen”</w:t>
      </w:r>
      <w:r>
        <w:t xml:space="preserve"> </w:t>
      </w:r>
      <w:r>
        <w:t xml:space="preserve">table and every Workflow has What starts it → What the user sees →</w:t>
      </w:r>
      <w:r>
        <w:t xml:space="preserve"> </w:t>
      </w:r>
      <w:r>
        <w:t xml:space="preserve">What the system does (YES/NO) → Simple logic summary → Flow picture (no API/JSON in §4).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Registration roles</w:t>
      </w:r>
      <w:r>
        <w:t xml:space="preserve"> </w:t>
      </w:r>
      <w:r>
        <w:t xml:space="preserve">(Put as sponsor / venue / organizer):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— this product has</w:t>
      </w:r>
      <w:r>
        <w:t xml:space="preserve"> </w:t>
      </w:r>
      <w:r>
        <w:t xml:space="preserve">no sponsor/venue/organizer self-registration; registration creates a normal participant.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Contributions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event_sponsor_replies</w:t>
      </w:r>
      <w:r>
        <w:t xml:space="preserve"> </w:t>
      </w:r>
      <w:r>
        <w:t xml:space="preserve">single-table model):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— no</w:t>
      </w:r>
      <w:r>
        <w:t xml:space="preserve"> </w:t>
      </w:r>
      <w:r>
        <w:t xml:space="preserve">sponsor↔event negotiation in this product.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Judging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judge_scores</w:t>
      </w:r>
      <w:r>
        <w:t xml:space="preserve"> </w:t>
      </w:r>
      <w:r>
        <w:t xml:space="preserve">team rubric + per-sponsor columns):</w:t>
      </w:r>
      <w:r>
        <w:t xml:space="preserve"> </w:t>
      </w:r>
      <w:r>
        <w:rPr>
          <w:b/>
          <w:bCs/>
        </w:rPr>
        <w:t xml:space="preserve">N/A in that exact shape</w:t>
      </w:r>
      <w:r>
        <w:t xml:space="preserve"> </w:t>
      </w:r>
      <w:r>
        <w:t xml:space="preserve">— this product scores</w:t>
      </w:r>
      <w:r>
        <w:t xml:space="preserve"> </w:t>
      </w:r>
      <w:r>
        <w:rPr>
          <w:b/>
          <w:bCs/>
        </w:rPr>
        <w:t xml:space="preserve">per participant-judge per project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table with six</w:t>
      </w:r>
      <w:r>
        <w:t xml:space="preserve"> </w:t>
      </w:r>
      <w:r>
        <w:t xml:space="preserve">criteria summing to 100 (documented in §5).</w:t>
      </w:r>
    </w:p>
    <w:p>
      <w:pPr>
        <w:pStyle w:val="Compact"/>
        <w:numPr>
          <w:ilvl w:val="0"/>
          <w:numId w:val="1010"/>
        </w:numPr>
      </w:pPr>
      <w:r>
        <w:t xml:space="preserve">DB schema verified against</w:t>
      </w:r>
      <w:r>
        <w:t xml:space="preserve"> </w:t>
      </w:r>
      <w:r>
        <w:rPr>
          <w:rStyle w:val="VerbatimChar"/>
        </w:rPr>
        <w:t xml:space="preserve">backend/src/schema.js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API flows verified against</w:t>
      </w:r>
      <w:r>
        <w:t xml:space="preserve"> </w:t>
      </w:r>
      <w:r>
        <w:rPr>
          <w:rStyle w:val="VerbatimChar"/>
        </w:rPr>
        <w:t xml:space="preserve">backend/src/routes/*</w:t>
      </w:r>
      <w:r>
        <w:t xml:space="preserve"> </w:t>
      </w:r>
      <w:r>
        <w:t xml:space="preserve">and middleware.</w:t>
      </w:r>
    </w:p>
    <w:p>
      <w:pPr>
        <w:pStyle w:val="Compact"/>
        <w:numPr>
          <w:ilvl w:val="0"/>
          <w:numId w:val="1012"/>
        </w:numPr>
      </w:pPr>
      <w:r>
        <w:t xml:space="preserve">LLM usage (embeddings) verified against</w:t>
      </w:r>
      <w:r>
        <w:t xml:space="preserve"> </w:t>
      </w:r>
      <w:r>
        <w:rPr>
          <w:rStyle w:val="VerbatimChar"/>
        </w:rPr>
        <w:t xml:space="preserve">backend/src/services/llm.js</w:t>
      </w:r>
      <w:r>
        <w:t xml:space="preserve"> </w:t>
      </w:r>
      <w:r>
        <w:t xml:space="preserve">(§8).</w:t>
      </w:r>
    </w:p>
    <w:p>
      <w:pPr>
        <w:pStyle w:val="Compact"/>
        <w:numPr>
          <w:ilvl w:val="0"/>
          <w:numId w:val="1013"/>
        </w:numPr>
      </w:pPr>
      <w:r>
        <w:t xml:space="preserve">Agent architecture: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— deterministic matching engine documented in §9 instead.</w:t>
      </w:r>
    </w:p>
    <w:p>
      <w:pPr>
        <w:pStyle w:val="Compact"/>
        <w:numPr>
          <w:ilvl w:val="0"/>
          <w:numId w:val="1014"/>
        </w:numPr>
      </w:pPr>
      <w:r>
        <w:t xml:space="preserve">Test cases (§11) cover every workflow with positive and negative cases (40 passing).</w:t>
      </w:r>
    </w:p>
    <w:p>
      <w:pPr>
        <w:pStyle w:val="Compact"/>
        <w:numPr>
          <w:ilvl w:val="0"/>
          <w:numId w:val="1015"/>
        </w:numPr>
      </w:pPr>
      <w:r>
        <w:t xml:space="preserve">Change log (§12) has the v1.0.0 entry.</w:t>
      </w:r>
    </w:p>
    <w:p>
      <w:pPr>
        <w:pStyle w:val="BlockText"/>
      </w:pPr>
      <w:r>
        <w:t xml:space="preserve">N/A items above are EventHack-template features that do not exist in this product; they are</w:t>
      </w:r>
      <w:r>
        <w:t xml:space="preserve"> </w:t>
      </w:r>
      <w:r>
        <w:t xml:space="preserve">intentionally unchecked with a one-line reason, as the rules allow.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3-system-architecture.md" TargetMode="External" /><Relationship Type="http://schemas.openxmlformats.org/officeDocument/2006/relationships/hyperlink" Id="rId11" Target="04-ui-pages-and-workflows.md" TargetMode="External" /><Relationship Type="http://schemas.openxmlformats.org/officeDocument/2006/relationships/hyperlink" Id="rId9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3-system-architecture.md" TargetMode="External" /><Relationship Type="http://schemas.openxmlformats.org/officeDocument/2006/relationships/hyperlink" Id="rId11" Target="04-ui-pages-and-workflows.md" TargetMode="External" /><Relationship Type="http://schemas.openxmlformats.org/officeDocument/2006/relationships/hyperlink" Id="rId9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2026-06-16T00:03:06Z</dcterms:created>
  <dcterms:modified xsi:type="dcterms:W3CDTF">2026-06-16T00:03:06Z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