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6E"/>
          <w:sz w:val="26"/>
        </w:rPr>
        <w:t>AICTE | IBM SkillsBuild Data Analytics with AI Internship 2026</w:t>
      </w:r>
    </w:p>
    <w:p>
      <w:pPr>
        <w:jc w:val="center"/>
      </w:pPr>
      <w:r>
        <w:rPr>
          <w:b/>
          <w:color w:val="1A1A6E"/>
          <w:sz w:val="24"/>
        </w:rPr>
        <w:t>BharatCares</w:t>
      </w:r>
    </w:p>
    <w:p/>
    <w:p>
      <w:pPr>
        <w:jc w:val="center"/>
        <w:pBdr>
          <w:bottom w:val="single" w:sz="12" w:space="1" w:color="1A1A6E"/>
        </w:pBdr>
      </w:pPr>
    </w:p>
    <w:p/>
    <w:p/>
    <w:p>
      <w:pPr>
        <w:jc w:val="center"/>
      </w:pPr>
      <w:r>
        <w:rPr>
          <w:b/>
          <w:color w:val="1A1A6E"/>
          <w:sz w:val="40"/>
        </w:rPr>
        <w:t>PROJECT REPORT</w:t>
      </w:r>
    </w:p>
    <w:p/>
    <w:p>
      <w:pPr>
        <w:jc w:val="center"/>
      </w:pPr>
      <w:r>
        <w:rPr>
          <w:b/>
          <w:color w:val="10368F"/>
          <w:sz w:val="44"/>
        </w:rPr>
        <w:t>SuperMarket Sales Analytics Dashboard</w:t>
      </w:r>
    </w:p>
    <w:p/>
    <w:p/>
    <w:tbl>
      <w:tblPr>
        <w:tblStyle w:val="TableGrid"/>
        <w:tblW w:type="auto" w:w="0"/>
        <w:jc w:val="center"/>
        <w:tblLook w:firstColumn="1" w:firstRow="1" w:lastColumn="0" w:lastRow="0" w:noHBand="0" w:noVBand="1" w:val="04A0"/>
      </w:tblPr>
      <w:tblGrid>
        <w:gridCol w:w="4153"/>
        <w:gridCol w:w="4153"/>
      </w:tblGrid>
      <w:tr>
        <w:tc>
          <w:tcPr>
            <w:tcW w:type="dxa" w:w="3600"/>
            <w:shd w:val="clear" w:color="auto" w:fill="EEF2FF"/>
          </w:tcPr>
          <w:p>
            <w:r>
              <w:rPr>
                <w:b/>
                <w:sz w:val="22"/>
              </w:rPr>
              <w:t>Student Name</w:t>
            </w:r>
          </w:p>
        </w:tc>
        <w:tc>
          <w:tcPr>
            <w:tcW w:type="dxa" w:w="5040"/>
          </w:tcPr>
          <w:p>
            <w:r>
              <w:rPr>
                <w:sz w:val="22"/>
              </w:rPr>
              <w:t>Saurabh Raut</w:t>
            </w:r>
          </w:p>
        </w:tc>
      </w:tr>
      <w:tr>
        <w:tc>
          <w:tcPr>
            <w:tcW w:type="dxa" w:w="3600"/>
            <w:shd w:val="clear" w:color="auto" w:fill="EEF2FF"/>
          </w:tcPr>
          <w:p>
            <w:r>
              <w:rPr>
                <w:b/>
                <w:sz w:val="22"/>
              </w:rPr>
              <w:t>Institute</w:t>
            </w:r>
          </w:p>
        </w:tc>
        <w:tc>
          <w:tcPr>
            <w:tcW w:type="dxa" w:w="5040"/>
          </w:tcPr>
          <w:p>
            <w:r>
              <w:rPr>
                <w:sz w:val="22"/>
              </w:rPr>
              <w:t>Walchand Institute of Technology, Solapur</w:t>
            </w:r>
          </w:p>
        </w:tc>
      </w:tr>
      <w:tr>
        <w:tc>
          <w:tcPr>
            <w:tcW w:type="dxa" w:w="3600"/>
            <w:shd w:val="clear" w:color="auto" w:fill="EEF2FF"/>
          </w:tcPr>
          <w:p>
            <w:r>
              <w:rPr>
                <w:b/>
                <w:sz w:val="22"/>
              </w:rPr>
              <w:t>Department</w:t>
            </w:r>
          </w:p>
        </w:tc>
        <w:tc>
          <w:tcPr>
            <w:tcW w:type="dxa" w:w="5040"/>
          </w:tcPr>
          <w:p>
            <w:r>
              <w:rPr>
                <w:sz w:val="22"/>
              </w:rPr>
              <w:t>Electronics and Computer Engineering</w:t>
            </w:r>
          </w:p>
        </w:tc>
      </w:tr>
      <w:tr>
        <w:tc>
          <w:tcPr>
            <w:tcW w:type="dxa" w:w="3600"/>
            <w:shd w:val="clear" w:color="auto" w:fill="EEF2FF"/>
          </w:tcPr>
          <w:p>
            <w:r>
              <w:rPr>
                <w:b/>
                <w:sz w:val="22"/>
              </w:rPr>
              <w:t>Academic Year</w:t>
            </w:r>
          </w:p>
        </w:tc>
        <w:tc>
          <w:tcPr>
            <w:tcW w:type="dxa" w:w="5040"/>
          </w:tcPr>
          <w:p>
            <w:r>
              <w:rPr>
                <w:sz w:val="22"/>
              </w:rPr>
              <w:t>2026–27</w:t>
            </w:r>
          </w:p>
        </w:tc>
      </w:tr>
      <w:tr>
        <w:tc>
          <w:tcPr>
            <w:tcW w:type="dxa" w:w="3600"/>
            <w:shd w:val="clear" w:color="auto" w:fill="EEF2FF"/>
          </w:tcPr>
          <w:p>
            <w:r>
              <w:rPr>
                <w:b/>
                <w:sz w:val="22"/>
              </w:rPr>
              <w:t>Programme</w:t>
            </w:r>
          </w:p>
        </w:tc>
        <w:tc>
          <w:tcPr>
            <w:tcW w:type="dxa" w:w="5040"/>
          </w:tcPr>
          <w:p>
            <w:r>
              <w:rPr>
                <w:sz w:val="22"/>
              </w:rPr>
              <w:t>AICTE | IBM SkillsBuild Data Analytics with AI Internship 2026</w:t>
            </w:r>
          </w:p>
        </w:tc>
      </w:tr>
    </w:tbl>
    <w:p/>
    <w:p>
      <w:pPr>
        <w:jc w:val="center"/>
      </w:pPr>
      <w:r>
        <w:rPr>
          <w:b/>
          <w:sz w:val="22"/>
        </w:rPr>
        <w:t>Submitted to:</w:t>
      </w:r>
    </w:p>
    <w:p>
      <w:pPr>
        <w:jc w:val="center"/>
      </w:pPr>
      <w:r>
        <w:rPr>
          <w:sz w:val="22"/>
        </w:rPr>
        <w:t>IBM SkillsBuild / BharatCares</w:t>
      </w:r>
    </w:p>
    <w:p/>
    <w:p>
      <w:pPr>
        <w:jc w:val="center"/>
      </w:pPr>
      <w:r>
        <w:rPr>
          <w:i/>
          <w:sz w:val="22"/>
        </w:rPr>
        <w:t>September 2026</w:t>
      </w:r>
    </w:p>
    <w:p>
      <w:r>
        <w:br w:type="page"/>
      </w:r>
    </w:p>
    <w:p>
      <w:pPr>
        <w:pStyle w:val="Heading1"/>
        <w:spacing w:before="360" w:after="120"/>
      </w:pPr>
      <w:r>
        <w:rPr>
          <w:color w:val="1A1A6E"/>
        </w:rPr>
        <w:t>Table of Contents</w:t>
      </w:r>
    </w:p>
    <w:tbl>
      <w:tblPr>
        <w:tblStyle w:val="TableGrid"/>
        <w:tblW w:type="auto" w:w="0"/>
        <w:tblLook w:firstColumn="1" w:firstRow="1" w:lastColumn="0" w:lastRow="0" w:noHBand="0" w:noVBand="1" w:val="04A0"/>
      </w:tblPr>
      <w:tblGrid>
        <w:gridCol w:w="2769"/>
        <w:gridCol w:w="2769"/>
        <w:gridCol w:w="2769"/>
      </w:tblGrid>
      <w:tr>
        <w:tc>
          <w:tcPr>
            <w:tcW w:type="dxa" w:w="576"/>
          </w:tcPr>
          <w:p>
            <w:r>
              <w:rPr>
                <w:rFonts w:ascii="Calibri" w:hAnsi="Calibri"/>
                <w:sz w:val="20"/>
              </w:rPr>
              <w:t>1</w:t>
            </w:r>
          </w:p>
        </w:tc>
        <w:tc>
          <w:tcPr>
            <w:tcW w:type="dxa" w:w="7200"/>
          </w:tcPr>
          <w:p>
            <w:r>
              <w:rPr>
                <w:rFonts w:ascii="Calibri" w:hAnsi="Calibri"/>
                <w:sz w:val="20"/>
              </w:rPr>
              <w:t>Abstract</w:t>
            </w:r>
          </w:p>
        </w:tc>
        <w:tc>
          <w:tcPr>
            <w:tcW w:type="dxa" w:w="1152"/>
          </w:tcPr>
          <w:p>
            <w:pPr>
              <w:jc w:val="right"/>
            </w:pPr>
            <w:r>
              <w:rPr>
                <w:rFonts w:ascii="Calibri" w:hAnsi="Calibri"/>
                <w:sz w:val="20"/>
              </w:rPr>
              <w:t>3</w:t>
            </w:r>
          </w:p>
        </w:tc>
      </w:tr>
      <w:tr>
        <w:tc>
          <w:tcPr>
            <w:tcW w:type="dxa" w:w="576"/>
            <w:shd w:val="clear" w:color="auto" w:fill="F5F5FA"/>
          </w:tcPr>
          <w:p>
            <w:r>
              <w:rPr>
                <w:rFonts w:ascii="Calibri" w:hAnsi="Calibri"/>
                <w:sz w:val="20"/>
              </w:rPr>
              <w:t>2</w:t>
            </w:r>
          </w:p>
        </w:tc>
        <w:tc>
          <w:tcPr>
            <w:tcW w:type="dxa" w:w="7200"/>
            <w:shd w:val="clear" w:color="auto" w:fill="F5F5FA"/>
          </w:tcPr>
          <w:p>
            <w:r>
              <w:rPr>
                <w:rFonts w:ascii="Calibri" w:hAnsi="Calibri"/>
                <w:sz w:val="20"/>
              </w:rPr>
              <w:t>Introduction</w:t>
            </w:r>
          </w:p>
        </w:tc>
        <w:tc>
          <w:tcPr>
            <w:tcW w:type="dxa" w:w="1152"/>
            <w:shd w:val="clear" w:color="auto" w:fill="F5F5FA"/>
          </w:tcPr>
          <w:p>
            <w:pPr>
              <w:jc w:val="right"/>
            </w:pPr>
            <w:r>
              <w:rPr>
                <w:rFonts w:ascii="Calibri" w:hAnsi="Calibri"/>
                <w:sz w:val="20"/>
              </w:rPr>
              <w:t>3</w:t>
            </w:r>
          </w:p>
        </w:tc>
      </w:tr>
      <w:tr>
        <w:tc>
          <w:tcPr>
            <w:tcW w:type="dxa" w:w="576"/>
          </w:tcPr>
          <w:p>
            <w:r>
              <w:rPr>
                <w:rFonts w:ascii="Calibri" w:hAnsi="Calibri"/>
                <w:sz w:val="20"/>
              </w:rPr>
              <w:t>3</w:t>
            </w:r>
          </w:p>
        </w:tc>
        <w:tc>
          <w:tcPr>
            <w:tcW w:type="dxa" w:w="7200"/>
          </w:tcPr>
          <w:p>
            <w:r>
              <w:rPr>
                <w:rFonts w:ascii="Calibri" w:hAnsi="Calibri"/>
                <w:sz w:val="20"/>
              </w:rPr>
              <w:t>Problem Statement</w:t>
            </w:r>
          </w:p>
        </w:tc>
        <w:tc>
          <w:tcPr>
            <w:tcW w:type="dxa" w:w="1152"/>
          </w:tcPr>
          <w:p>
            <w:pPr>
              <w:jc w:val="right"/>
            </w:pPr>
            <w:r>
              <w:rPr>
                <w:rFonts w:ascii="Calibri" w:hAnsi="Calibri"/>
                <w:sz w:val="20"/>
              </w:rPr>
              <w:t>4</w:t>
            </w:r>
          </w:p>
        </w:tc>
      </w:tr>
      <w:tr>
        <w:tc>
          <w:tcPr>
            <w:tcW w:type="dxa" w:w="576"/>
            <w:shd w:val="clear" w:color="auto" w:fill="F5F5FA"/>
          </w:tcPr>
          <w:p>
            <w:r>
              <w:rPr>
                <w:rFonts w:ascii="Calibri" w:hAnsi="Calibri"/>
                <w:sz w:val="20"/>
              </w:rPr>
              <w:t>4</w:t>
            </w:r>
          </w:p>
        </w:tc>
        <w:tc>
          <w:tcPr>
            <w:tcW w:type="dxa" w:w="7200"/>
            <w:shd w:val="clear" w:color="auto" w:fill="F5F5FA"/>
          </w:tcPr>
          <w:p>
            <w:r>
              <w:rPr>
                <w:rFonts w:ascii="Calibri" w:hAnsi="Calibri"/>
                <w:sz w:val="20"/>
              </w:rPr>
              <w:t>Objectives</w:t>
            </w:r>
          </w:p>
        </w:tc>
        <w:tc>
          <w:tcPr>
            <w:tcW w:type="dxa" w:w="1152"/>
            <w:shd w:val="clear" w:color="auto" w:fill="F5F5FA"/>
          </w:tcPr>
          <w:p>
            <w:pPr>
              <w:jc w:val="right"/>
            </w:pPr>
            <w:r>
              <w:rPr>
                <w:rFonts w:ascii="Calibri" w:hAnsi="Calibri"/>
                <w:sz w:val="20"/>
              </w:rPr>
              <w:t>4</w:t>
            </w:r>
          </w:p>
        </w:tc>
      </w:tr>
      <w:tr>
        <w:tc>
          <w:tcPr>
            <w:tcW w:type="dxa" w:w="576"/>
          </w:tcPr>
          <w:p>
            <w:r>
              <w:rPr>
                <w:rFonts w:ascii="Calibri" w:hAnsi="Calibri"/>
                <w:sz w:val="20"/>
              </w:rPr>
              <w:t>5</w:t>
            </w:r>
          </w:p>
        </w:tc>
        <w:tc>
          <w:tcPr>
            <w:tcW w:type="dxa" w:w="7200"/>
          </w:tcPr>
          <w:p>
            <w:r>
              <w:rPr>
                <w:rFonts w:ascii="Calibri" w:hAnsi="Calibri"/>
                <w:sz w:val="20"/>
              </w:rPr>
              <w:t>Dataset Description</w:t>
            </w:r>
          </w:p>
        </w:tc>
        <w:tc>
          <w:tcPr>
            <w:tcW w:type="dxa" w:w="1152"/>
          </w:tcPr>
          <w:p>
            <w:pPr>
              <w:jc w:val="right"/>
            </w:pPr>
            <w:r>
              <w:rPr>
                <w:rFonts w:ascii="Calibri" w:hAnsi="Calibri"/>
                <w:sz w:val="20"/>
              </w:rPr>
              <w:t>5</w:t>
            </w:r>
          </w:p>
        </w:tc>
      </w:tr>
      <w:tr>
        <w:tc>
          <w:tcPr>
            <w:tcW w:type="dxa" w:w="576"/>
            <w:shd w:val="clear" w:color="auto" w:fill="F5F5FA"/>
          </w:tcPr>
          <w:p>
            <w:r>
              <w:rPr>
                <w:rFonts w:ascii="Calibri" w:hAnsi="Calibri"/>
                <w:sz w:val="20"/>
              </w:rPr>
              <w:t>6</w:t>
            </w:r>
          </w:p>
        </w:tc>
        <w:tc>
          <w:tcPr>
            <w:tcW w:type="dxa" w:w="7200"/>
            <w:shd w:val="clear" w:color="auto" w:fill="F5F5FA"/>
          </w:tcPr>
          <w:p>
            <w:r>
              <w:rPr>
                <w:rFonts w:ascii="Calibri" w:hAnsi="Calibri"/>
                <w:sz w:val="20"/>
              </w:rPr>
              <w:t>Technologies Used</w:t>
            </w:r>
          </w:p>
        </w:tc>
        <w:tc>
          <w:tcPr>
            <w:tcW w:type="dxa" w:w="1152"/>
            <w:shd w:val="clear" w:color="auto" w:fill="F5F5FA"/>
          </w:tcPr>
          <w:p>
            <w:pPr>
              <w:jc w:val="right"/>
            </w:pPr>
            <w:r>
              <w:rPr>
                <w:rFonts w:ascii="Calibri" w:hAnsi="Calibri"/>
                <w:sz w:val="20"/>
              </w:rPr>
              <w:t>6</w:t>
            </w:r>
          </w:p>
        </w:tc>
      </w:tr>
      <w:tr>
        <w:tc>
          <w:tcPr>
            <w:tcW w:type="dxa" w:w="576"/>
          </w:tcPr>
          <w:p>
            <w:r>
              <w:rPr>
                <w:rFonts w:ascii="Calibri" w:hAnsi="Calibri"/>
                <w:sz w:val="20"/>
              </w:rPr>
              <w:t>7</w:t>
            </w:r>
          </w:p>
        </w:tc>
        <w:tc>
          <w:tcPr>
            <w:tcW w:type="dxa" w:w="7200"/>
          </w:tcPr>
          <w:p>
            <w:r>
              <w:rPr>
                <w:rFonts w:ascii="Calibri" w:hAnsi="Calibri"/>
                <w:sz w:val="20"/>
              </w:rPr>
              <w:t>System Requirements</w:t>
            </w:r>
          </w:p>
        </w:tc>
        <w:tc>
          <w:tcPr>
            <w:tcW w:type="dxa" w:w="1152"/>
          </w:tcPr>
          <w:p>
            <w:pPr>
              <w:jc w:val="right"/>
            </w:pPr>
            <w:r>
              <w:rPr>
                <w:rFonts w:ascii="Calibri" w:hAnsi="Calibri"/>
                <w:sz w:val="20"/>
              </w:rPr>
              <w:t>6</w:t>
            </w:r>
          </w:p>
        </w:tc>
      </w:tr>
      <w:tr>
        <w:tc>
          <w:tcPr>
            <w:tcW w:type="dxa" w:w="576"/>
            <w:shd w:val="clear" w:color="auto" w:fill="F5F5FA"/>
          </w:tcPr>
          <w:p>
            <w:r>
              <w:rPr>
                <w:rFonts w:ascii="Calibri" w:hAnsi="Calibri"/>
                <w:sz w:val="20"/>
              </w:rPr>
              <w:t>8</w:t>
            </w:r>
          </w:p>
        </w:tc>
        <w:tc>
          <w:tcPr>
            <w:tcW w:type="dxa" w:w="7200"/>
            <w:shd w:val="clear" w:color="auto" w:fill="F5F5FA"/>
          </w:tcPr>
          <w:p>
            <w:r>
              <w:rPr>
                <w:rFonts w:ascii="Calibri" w:hAnsi="Calibri"/>
                <w:sz w:val="20"/>
              </w:rPr>
              <w:t>Project Architecture</w:t>
            </w:r>
          </w:p>
        </w:tc>
        <w:tc>
          <w:tcPr>
            <w:tcW w:type="dxa" w:w="1152"/>
            <w:shd w:val="clear" w:color="auto" w:fill="F5F5FA"/>
          </w:tcPr>
          <w:p>
            <w:pPr>
              <w:jc w:val="right"/>
            </w:pPr>
            <w:r>
              <w:rPr>
                <w:rFonts w:ascii="Calibri" w:hAnsi="Calibri"/>
                <w:sz w:val="20"/>
              </w:rPr>
              <w:t>7</w:t>
            </w:r>
          </w:p>
        </w:tc>
      </w:tr>
      <w:tr>
        <w:tc>
          <w:tcPr>
            <w:tcW w:type="dxa" w:w="576"/>
          </w:tcPr>
          <w:p>
            <w:r>
              <w:rPr>
                <w:rFonts w:ascii="Calibri" w:hAnsi="Calibri"/>
                <w:sz w:val="20"/>
              </w:rPr>
              <w:t>9</w:t>
            </w:r>
          </w:p>
        </w:tc>
        <w:tc>
          <w:tcPr>
            <w:tcW w:type="dxa" w:w="7200"/>
          </w:tcPr>
          <w:p>
            <w:r>
              <w:rPr>
                <w:rFonts w:ascii="Calibri" w:hAnsi="Calibri"/>
                <w:sz w:val="20"/>
              </w:rPr>
              <w:t>Data Loading and Data Cleaning</w:t>
            </w:r>
          </w:p>
        </w:tc>
        <w:tc>
          <w:tcPr>
            <w:tcW w:type="dxa" w:w="1152"/>
          </w:tcPr>
          <w:p>
            <w:pPr>
              <w:jc w:val="right"/>
            </w:pPr>
            <w:r>
              <w:rPr>
                <w:rFonts w:ascii="Calibri" w:hAnsi="Calibri"/>
                <w:sz w:val="20"/>
              </w:rPr>
              <w:t>8</w:t>
            </w:r>
          </w:p>
        </w:tc>
      </w:tr>
      <w:tr>
        <w:tc>
          <w:tcPr>
            <w:tcW w:type="dxa" w:w="576"/>
            <w:shd w:val="clear" w:color="auto" w:fill="F5F5FA"/>
          </w:tcPr>
          <w:p>
            <w:r>
              <w:rPr>
                <w:rFonts w:ascii="Calibri" w:hAnsi="Calibri"/>
                <w:sz w:val="20"/>
              </w:rPr>
              <w:t>10</w:t>
            </w:r>
          </w:p>
        </w:tc>
        <w:tc>
          <w:tcPr>
            <w:tcW w:type="dxa" w:w="7200"/>
            <w:shd w:val="clear" w:color="auto" w:fill="F5F5FA"/>
          </w:tcPr>
          <w:p>
            <w:r>
              <w:rPr>
                <w:rFonts w:ascii="Calibri" w:hAnsi="Calibri"/>
                <w:sz w:val="20"/>
              </w:rPr>
              <w:t>Exploratory Data Analysis</w:t>
            </w:r>
          </w:p>
        </w:tc>
        <w:tc>
          <w:tcPr>
            <w:tcW w:type="dxa" w:w="1152"/>
            <w:shd w:val="clear" w:color="auto" w:fill="F5F5FA"/>
          </w:tcPr>
          <w:p>
            <w:pPr>
              <w:jc w:val="right"/>
            </w:pPr>
            <w:r>
              <w:rPr>
                <w:rFonts w:ascii="Calibri" w:hAnsi="Calibri"/>
                <w:sz w:val="20"/>
              </w:rPr>
              <w:t>9</w:t>
            </w:r>
          </w:p>
        </w:tc>
      </w:tr>
      <w:tr>
        <w:tc>
          <w:tcPr>
            <w:tcW w:type="dxa" w:w="576"/>
          </w:tcPr>
          <w:p>
            <w:r>
              <w:rPr>
                <w:rFonts w:ascii="Calibri" w:hAnsi="Calibri"/>
                <w:sz w:val="20"/>
              </w:rPr>
              <w:t>11</w:t>
            </w:r>
          </w:p>
        </w:tc>
        <w:tc>
          <w:tcPr>
            <w:tcW w:type="dxa" w:w="7200"/>
          </w:tcPr>
          <w:p>
            <w:r>
              <w:rPr>
                <w:rFonts w:ascii="Calibri" w:hAnsi="Calibri"/>
                <w:sz w:val="20"/>
              </w:rPr>
              <w:t>KPI Analysis</w:t>
            </w:r>
          </w:p>
        </w:tc>
        <w:tc>
          <w:tcPr>
            <w:tcW w:type="dxa" w:w="1152"/>
          </w:tcPr>
          <w:p>
            <w:pPr>
              <w:jc w:val="right"/>
            </w:pPr>
            <w:r>
              <w:rPr>
                <w:rFonts w:ascii="Calibri" w:hAnsi="Calibri"/>
                <w:sz w:val="20"/>
              </w:rPr>
              <w:t>11</w:t>
            </w:r>
          </w:p>
        </w:tc>
      </w:tr>
      <w:tr>
        <w:tc>
          <w:tcPr>
            <w:tcW w:type="dxa" w:w="576"/>
            <w:shd w:val="clear" w:color="auto" w:fill="F5F5FA"/>
          </w:tcPr>
          <w:p>
            <w:r>
              <w:rPr>
                <w:rFonts w:ascii="Calibri" w:hAnsi="Calibri"/>
                <w:sz w:val="20"/>
              </w:rPr>
              <w:t>12</w:t>
            </w:r>
          </w:p>
        </w:tc>
        <w:tc>
          <w:tcPr>
            <w:tcW w:type="dxa" w:w="7200"/>
            <w:shd w:val="clear" w:color="auto" w:fill="F5F5FA"/>
          </w:tcPr>
          <w:p>
            <w:r>
              <w:rPr>
                <w:rFonts w:ascii="Calibri" w:hAnsi="Calibri"/>
                <w:sz w:val="20"/>
              </w:rPr>
              <w:t>Sales Analytics</w:t>
            </w:r>
          </w:p>
        </w:tc>
        <w:tc>
          <w:tcPr>
            <w:tcW w:type="dxa" w:w="1152"/>
            <w:shd w:val="clear" w:color="auto" w:fill="F5F5FA"/>
          </w:tcPr>
          <w:p>
            <w:pPr>
              <w:jc w:val="right"/>
            </w:pPr>
            <w:r>
              <w:rPr>
                <w:rFonts w:ascii="Calibri" w:hAnsi="Calibri"/>
                <w:sz w:val="20"/>
              </w:rPr>
              <w:t>12</w:t>
            </w:r>
          </w:p>
        </w:tc>
      </w:tr>
      <w:tr>
        <w:tc>
          <w:tcPr>
            <w:tcW w:type="dxa" w:w="576"/>
          </w:tcPr>
          <w:p>
            <w:r>
              <w:rPr>
                <w:rFonts w:ascii="Calibri" w:hAnsi="Calibri"/>
                <w:sz w:val="20"/>
              </w:rPr>
              <w:t>13</w:t>
            </w:r>
          </w:p>
        </w:tc>
        <w:tc>
          <w:tcPr>
            <w:tcW w:type="dxa" w:w="7200"/>
          </w:tcPr>
          <w:p>
            <w:r>
              <w:rPr>
                <w:rFonts w:ascii="Calibri" w:hAnsi="Calibri"/>
                <w:sz w:val="20"/>
              </w:rPr>
              <w:t>Price Analysis</w:t>
            </w:r>
          </w:p>
        </w:tc>
        <w:tc>
          <w:tcPr>
            <w:tcW w:type="dxa" w:w="1152"/>
          </w:tcPr>
          <w:p>
            <w:pPr>
              <w:jc w:val="right"/>
            </w:pPr>
            <w:r>
              <w:rPr>
                <w:rFonts w:ascii="Calibri" w:hAnsi="Calibri"/>
                <w:sz w:val="20"/>
              </w:rPr>
              <w:t>14</w:t>
            </w:r>
          </w:p>
        </w:tc>
      </w:tr>
      <w:tr>
        <w:tc>
          <w:tcPr>
            <w:tcW w:type="dxa" w:w="576"/>
            <w:shd w:val="clear" w:color="auto" w:fill="F5F5FA"/>
          </w:tcPr>
          <w:p>
            <w:r>
              <w:rPr>
                <w:rFonts w:ascii="Calibri" w:hAnsi="Calibri"/>
                <w:sz w:val="20"/>
              </w:rPr>
              <w:t>14</w:t>
            </w:r>
          </w:p>
        </w:tc>
        <w:tc>
          <w:tcPr>
            <w:tcW w:type="dxa" w:w="7200"/>
            <w:shd w:val="clear" w:color="auto" w:fill="F5F5FA"/>
          </w:tcPr>
          <w:p>
            <w:r>
              <w:rPr>
                <w:rFonts w:ascii="Calibri" w:hAnsi="Calibri"/>
                <w:sz w:val="20"/>
              </w:rPr>
              <w:t>Product Analytics</w:t>
            </w:r>
          </w:p>
        </w:tc>
        <w:tc>
          <w:tcPr>
            <w:tcW w:type="dxa" w:w="1152"/>
            <w:shd w:val="clear" w:color="auto" w:fill="F5F5FA"/>
          </w:tcPr>
          <w:p>
            <w:pPr>
              <w:jc w:val="right"/>
            </w:pPr>
            <w:r>
              <w:rPr>
                <w:rFonts w:ascii="Calibri" w:hAnsi="Calibri"/>
                <w:sz w:val="20"/>
              </w:rPr>
              <w:t>15</w:t>
            </w:r>
          </w:p>
        </w:tc>
      </w:tr>
      <w:tr>
        <w:tc>
          <w:tcPr>
            <w:tcW w:type="dxa" w:w="576"/>
          </w:tcPr>
          <w:p>
            <w:r>
              <w:rPr>
                <w:rFonts w:ascii="Calibri" w:hAnsi="Calibri"/>
                <w:sz w:val="20"/>
              </w:rPr>
              <w:t>15</w:t>
            </w:r>
          </w:p>
        </w:tc>
        <w:tc>
          <w:tcPr>
            <w:tcW w:type="dxa" w:w="7200"/>
          </w:tcPr>
          <w:p>
            <w:r>
              <w:rPr>
                <w:rFonts w:ascii="Calibri" w:hAnsi="Calibri"/>
                <w:sz w:val="20"/>
              </w:rPr>
              <w:t>Customer Analytics</w:t>
            </w:r>
          </w:p>
        </w:tc>
        <w:tc>
          <w:tcPr>
            <w:tcW w:type="dxa" w:w="1152"/>
          </w:tcPr>
          <w:p>
            <w:pPr>
              <w:jc w:val="right"/>
            </w:pPr>
            <w:r>
              <w:rPr>
                <w:rFonts w:ascii="Calibri" w:hAnsi="Calibri"/>
                <w:sz w:val="20"/>
              </w:rPr>
              <w:t>16</w:t>
            </w:r>
          </w:p>
        </w:tc>
      </w:tr>
      <w:tr>
        <w:tc>
          <w:tcPr>
            <w:tcW w:type="dxa" w:w="576"/>
            <w:shd w:val="clear" w:color="auto" w:fill="F5F5FA"/>
          </w:tcPr>
          <w:p>
            <w:r>
              <w:rPr>
                <w:rFonts w:ascii="Calibri" w:hAnsi="Calibri"/>
                <w:sz w:val="20"/>
              </w:rPr>
              <w:t>16</w:t>
            </w:r>
          </w:p>
        </w:tc>
        <w:tc>
          <w:tcPr>
            <w:tcW w:type="dxa" w:w="7200"/>
            <w:shd w:val="clear" w:color="auto" w:fill="F5F5FA"/>
          </w:tcPr>
          <w:p>
            <w:r>
              <w:rPr>
                <w:rFonts w:ascii="Calibri" w:hAnsi="Calibri"/>
                <w:sz w:val="20"/>
              </w:rPr>
              <w:t>Gross Income / Financial Analysis</w:t>
            </w:r>
          </w:p>
        </w:tc>
        <w:tc>
          <w:tcPr>
            <w:tcW w:type="dxa" w:w="1152"/>
            <w:shd w:val="clear" w:color="auto" w:fill="F5F5FA"/>
          </w:tcPr>
          <w:p>
            <w:pPr>
              <w:jc w:val="right"/>
            </w:pPr>
            <w:r>
              <w:rPr>
                <w:rFonts w:ascii="Calibri" w:hAnsi="Calibri"/>
                <w:sz w:val="20"/>
              </w:rPr>
              <w:t>17</w:t>
            </w:r>
          </w:p>
        </w:tc>
      </w:tr>
      <w:tr>
        <w:tc>
          <w:tcPr>
            <w:tcW w:type="dxa" w:w="576"/>
          </w:tcPr>
          <w:p>
            <w:r>
              <w:rPr>
                <w:rFonts w:ascii="Calibri" w:hAnsi="Calibri"/>
                <w:sz w:val="20"/>
              </w:rPr>
              <w:t>17</w:t>
            </w:r>
          </w:p>
        </w:tc>
        <w:tc>
          <w:tcPr>
            <w:tcW w:type="dxa" w:w="7200"/>
          </w:tcPr>
          <w:p>
            <w:r>
              <w:rPr>
                <w:rFonts w:ascii="Calibri" w:hAnsi="Calibri"/>
                <w:sz w:val="20"/>
              </w:rPr>
              <w:t>Time Analytics</w:t>
            </w:r>
          </w:p>
        </w:tc>
        <w:tc>
          <w:tcPr>
            <w:tcW w:type="dxa" w:w="1152"/>
          </w:tcPr>
          <w:p>
            <w:pPr>
              <w:jc w:val="right"/>
            </w:pPr>
            <w:r>
              <w:rPr>
                <w:rFonts w:ascii="Calibri" w:hAnsi="Calibri"/>
                <w:sz w:val="20"/>
              </w:rPr>
              <w:t>18</w:t>
            </w:r>
          </w:p>
        </w:tc>
      </w:tr>
      <w:tr>
        <w:tc>
          <w:tcPr>
            <w:tcW w:type="dxa" w:w="576"/>
            <w:shd w:val="clear" w:color="auto" w:fill="F5F5FA"/>
          </w:tcPr>
          <w:p>
            <w:r>
              <w:rPr>
                <w:rFonts w:ascii="Calibri" w:hAnsi="Calibri"/>
                <w:sz w:val="20"/>
              </w:rPr>
              <w:t>18</w:t>
            </w:r>
          </w:p>
        </w:tc>
        <w:tc>
          <w:tcPr>
            <w:tcW w:type="dxa" w:w="7200"/>
            <w:shd w:val="clear" w:color="auto" w:fill="F5F5FA"/>
          </w:tcPr>
          <w:p>
            <w:r>
              <w:rPr>
                <w:rFonts w:ascii="Calibri" w:hAnsi="Calibri"/>
                <w:sz w:val="20"/>
              </w:rPr>
              <w:t>Payment Analytics</w:t>
            </w:r>
          </w:p>
        </w:tc>
        <w:tc>
          <w:tcPr>
            <w:tcW w:type="dxa" w:w="1152"/>
            <w:shd w:val="clear" w:color="auto" w:fill="F5F5FA"/>
          </w:tcPr>
          <w:p>
            <w:pPr>
              <w:jc w:val="right"/>
            </w:pPr>
            <w:r>
              <w:rPr>
                <w:rFonts w:ascii="Calibri" w:hAnsi="Calibri"/>
                <w:sz w:val="20"/>
              </w:rPr>
              <w:t>19</w:t>
            </w:r>
          </w:p>
        </w:tc>
      </w:tr>
      <w:tr>
        <w:tc>
          <w:tcPr>
            <w:tcW w:type="dxa" w:w="576"/>
          </w:tcPr>
          <w:p>
            <w:r>
              <w:rPr>
                <w:rFonts w:ascii="Calibri" w:hAnsi="Calibri"/>
                <w:sz w:val="20"/>
              </w:rPr>
              <w:t>19</w:t>
            </w:r>
          </w:p>
        </w:tc>
        <w:tc>
          <w:tcPr>
            <w:tcW w:type="dxa" w:w="7200"/>
          </w:tcPr>
          <w:p>
            <w:r>
              <w:rPr>
                <w:rFonts w:ascii="Calibri" w:hAnsi="Calibri"/>
                <w:sz w:val="20"/>
              </w:rPr>
              <w:t>Branch and Location Analysis</w:t>
            </w:r>
          </w:p>
        </w:tc>
        <w:tc>
          <w:tcPr>
            <w:tcW w:type="dxa" w:w="1152"/>
          </w:tcPr>
          <w:p>
            <w:pPr>
              <w:jc w:val="right"/>
            </w:pPr>
            <w:r>
              <w:rPr>
                <w:rFonts w:ascii="Calibri" w:hAnsi="Calibri"/>
                <w:sz w:val="20"/>
              </w:rPr>
              <w:t>20</w:t>
            </w:r>
          </w:p>
        </w:tc>
      </w:tr>
      <w:tr>
        <w:tc>
          <w:tcPr>
            <w:tcW w:type="dxa" w:w="576"/>
            <w:shd w:val="clear" w:color="auto" w:fill="F5F5FA"/>
          </w:tcPr>
          <w:p>
            <w:r>
              <w:rPr>
                <w:rFonts w:ascii="Calibri" w:hAnsi="Calibri"/>
                <w:sz w:val="20"/>
              </w:rPr>
              <w:t>20</w:t>
            </w:r>
          </w:p>
        </w:tc>
        <w:tc>
          <w:tcPr>
            <w:tcW w:type="dxa" w:w="7200"/>
            <w:shd w:val="clear" w:color="auto" w:fill="F5F5FA"/>
          </w:tcPr>
          <w:p>
            <w:r>
              <w:rPr>
                <w:rFonts w:ascii="Calibri" w:hAnsi="Calibri"/>
                <w:sz w:val="20"/>
              </w:rPr>
              <w:t>Rating Analysis</w:t>
            </w:r>
          </w:p>
        </w:tc>
        <w:tc>
          <w:tcPr>
            <w:tcW w:type="dxa" w:w="1152"/>
            <w:shd w:val="clear" w:color="auto" w:fill="F5F5FA"/>
          </w:tcPr>
          <w:p>
            <w:pPr>
              <w:jc w:val="right"/>
            </w:pPr>
            <w:r>
              <w:rPr>
                <w:rFonts w:ascii="Calibri" w:hAnsi="Calibri"/>
                <w:sz w:val="20"/>
              </w:rPr>
              <w:t>21</w:t>
            </w:r>
          </w:p>
        </w:tc>
      </w:tr>
      <w:tr>
        <w:tc>
          <w:tcPr>
            <w:tcW w:type="dxa" w:w="576"/>
          </w:tcPr>
          <w:p>
            <w:r>
              <w:rPr>
                <w:rFonts w:ascii="Calibri" w:hAnsi="Calibri"/>
                <w:sz w:val="20"/>
              </w:rPr>
              <w:t>21</w:t>
            </w:r>
          </w:p>
        </w:tc>
        <w:tc>
          <w:tcPr>
            <w:tcW w:type="dxa" w:w="7200"/>
          </w:tcPr>
          <w:p>
            <w:r>
              <w:rPr>
                <w:rFonts w:ascii="Calibri" w:hAnsi="Calibri"/>
                <w:sz w:val="20"/>
              </w:rPr>
              <w:t>Interactive Dashboard Features</w:t>
            </w:r>
          </w:p>
        </w:tc>
        <w:tc>
          <w:tcPr>
            <w:tcW w:type="dxa" w:w="1152"/>
          </w:tcPr>
          <w:p>
            <w:pPr>
              <w:jc w:val="right"/>
            </w:pPr>
            <w:r>
              <w:rPr>
                <w:rFonts w:ascii="Calibri" w:hAnsi="Calibri"/>
                <w:sz w:val="20"/>
              </w:rPr>
              <w:t>21</w:t>
            </w:r>
          </w:p>
        </w:tc>
      </w:tr>
      <w:tr>
        <w:tc>
          <w:tcPr>
            <w:tcW w:type="dxa" w:w="576"/>
            <w:shd w:val="clear" w:color="auto" w:fill="F5F5FA"/>
          </w:tcPr>
          <w:p>
            <w:r>
              <w:rPr>
                <w:rFonts w:ascii="Calibri" w:hAnsi="Calibri"/>
                <w:sz w:val="20"/>
              </w:rPr>
              <w:t>22</w:t>
            </w:r>
          </w:p>
        </w:tc>
        <w:tc>
          <w:tcPr>
            <w:tcW w:type="dxa" w:w="7200"/>
            <w:shd w:val="clear" w:color="auto" w:fill="F5F5FA"/>
          </w:tcPr>
          <w:p>
            <w:r>
              <w:rPr>
                <w:rFonts w:ascii="Calibri" w:hAnsi="Calibri"/>
                <w:sz w:val="20"/>
              </w:rPr>
              <w:t>Business Insights</w:t>
            </w:r>
          </w:p>
        </w:tc>
        <w:tc>
          <w:tcPr>
            <w:tcW w:type="dxa" w:w="1152"/>
            <w:shd w:val="clear" w:color="auto" w:fill="F5F5FA"/>
          </w:tcPr>
          <w:p>
            <w:pPr>
              <w:jc w:val="right"/>
            </w:pPr>
            <w:r>
              <w:rPr>
                <w:rFonts w:ascii="Calibri" w:hAnsi="Calibri"/>
                <w:sz w:val="20"/>
              </w:rPr>
              <w:t>23</w:t>
            </w:r>
          </w:p>
        </w:tc>
      </w:tr>
      <w:tr>
        <w:tc>
          <w:tcPr>
            <w:tcW w:type="dxa" w:w="576"/>
          </w:tcPr>
          <w:p>
            <w:r>
              <w:rPr>
                <w:rFonts w:ascii="Calibri" w:hAnsi="Calibri"/>
                <w:sz w:val="20"/>
              </w:rPr>
              <w:t>23</w:t>
            </w:r>
          </w:p>
        </w:tc>
        <w:tc>
          <w:tcPr>
            <w:tcW w:type="dxa" w:w="7200"/>
          </w:tcPr>
          <w:p>
            <w:r>
              <w:rPr>
                <w:rFonts w:ascii="Calibri" w:hAnsi="Calibri"/>
                <w:sz w:val="20"/>
              </w:rPr>
              <w:t>Data Quality and Validation</w:t>
            </w:r>
          </w:p>
        </w:tc>
        <w:tc>
          <w:tcPr>
            <w:tcW w:type="dxa" w:w="1152"/>
          </w:tcPr>
          <w:p>
            <w:pPr>
              <w:jc w:val="right"/>
            </w:pPr>
            <w:r>
              <w:rPr>
                <w:rFonts w:ascii="Calibri" w:hAnsi="Calibri"/>
                <w:sz w:val="20"/>
              </w:rPr>
              <w:t>24</w:t>
            </w:r>
          </w:p>
        </w:tc>
      </w:tr>
      <w:tr>
        <w:tc>
          <w:tcPr>
            <w:tcW w:type="dxa" w:w="576"/>
            <w:shd w:val="clear" w:color="auto" w:fill="F5F5FA"/>
          </w:tcPr>
          <w:p>
            <w:r>
              <w:rPr>
                <w:rFonts w:ascii="Calibri" w:hAnsi="Calibri"/>
                <w:sz w:val="20"/>
              </w:rPr>
              <w:t>24</w:t>
            </w:r>
          </w:p>
        </w:tc>
        <w:tc>
          <w:tcPr>
            <w:tcW w:type="dxa" w:w="7200"/>
            <w:shd w:val="clear" w:color="auto" w:fill="F5F5FA"/>
          </w:tcPr>
          <w:p>
            <w:r>
              <w:rPr>
                <w:rFonts w:ascii="Calibri" w:hAnsi="Calibri"/>
                <w:sz w:val="20"/>
              </w:rPr>
              <w:t>Results</w:t>
            </w:r>
          </w:p>
        </w:tc>
        <w:tc>
          <w:tcPr>
            <w:tcW w:type="dxa" w:w="1152"/>
            <w:shd w:val="clear" w:color="auto" w:fill="F5F5FA"/>
          </w:tcPr>
          <w:p>
            <w:pPr>
              <w:jc w:val="right"/>
            </w:pPr>
            <w:r>
              <w:rPr>
                <w:rFonts w:ascii="Calibri" w:hAnsi="Calibri"/>
                <w:sz w:val="20"/>
              </w:rPr>
              <w:t>25</w:t>
            </w:r>
          </w:p>
        </w:tc>
      </w:tr>
      <w:tr>
        <w:tc>
          <w:tcPr>
            <w:tcW w:type="dxa" w:w="576"/>
          </w:tcPr>
          <w:p>
            <w:r>
              <w:rPr>
                <w:rFonts w:ascii="Calibri" w:hAnsi="Calibri"/>
                <w:sz w:val="20"/>
              </w:rPr>
              <w:t>25</w:t>
            </w:r>
          </w:p>
        </w:tc>
        <w:tc>
          <w:tcPr>
            <w:tcW w:type="dxa" w:w="7200"/>
          </w:tcPr>
          <w:p>
            <w:r>
              <w:rPr>
                <w:rFonts w:ascii="Calibri" w:hAnsi="Calibri"/>
                <w:sz w:val="20"/>
              </w:rPr>
              <w:t>Limitations</w:t>
            </w:r>
          </w:p>
        </w:tc>
        <w:tc>
          <w:tcPr>
            <w:tcW w:type="dxa" w:w="1152"/>
          </w:tcPr>
          <w:p>
            <w:pPr>
              <w:jc w:val="right"/>
            </w:pPr>
            <w:r>
              <w:rPr>
                <w:rFonts w:ascii="Calibri" w:hAnsi="Calibri"/>
                <w:sz w:val="20"/>
              </w:rPr>
              <w:t>25</w:t>
            </w:r>
          </w:p>
        </w:tc>
      </w:tr>
      <w:tr>
        <w:tc>
          <w:tcPr>
            <w:tcW w:type="dxa" w:w="576"/>
            <w:shd w:val="clear" w:color="auto" w:fill="F5F5FA"/>
          </w:tcPr>
          <w:p>
            <w:r>
              <w:rPr>
                <w:rFonts w:ascii="Calibri" w:hAnsi="Calibri"/>
                <w:sz w:val="20"/>
              </w:rPr>
              <w:t>26</w:t>
            </w:r>
          </w:p>
        </w:tc>
        <w:tc>
          <w:tcPr>
            <w:tcW w:type="dxa" w:w="7200"/>
            <w:shd w:val="clear" w:color="auto" w:fill="F5F5FA"/>
          </w:tcPr>
          <w:p>
            <w:r>
              <w:rPr>
                <w:rFonts w:ascii="Calibri" w:hAnsi="Calibri"/>
                <w:sz w:val="20"/>
              </w:rPr>
              <w:t>Future Scope</w:t>
            </w:r>
          </w:p>
        </w:tc>
        <w:tc>
          <w:tcPr>
            <w:tcW w:type="dxa" w:w="1152"/>
            <w:shd w:val="clear" w:color="auto" w:fill="F5F5FA"/>
          </w:tcPr>
          <w:p>
            <w:pPr>
              <w:jc w:val="right"/>
            </w:pPr>
            <w:r>
              <w:rPr>
                <w:rFonts w:ascii="Calibri" w:hAnsi="Calibri"/>
                <w:sz w:val="20"/>
              </w:rPr>
              <w:t>26</w:t>
            </w:r>
          </w:p>
        </w:tc>
      </w:tr>
      <w:tr>
        <w:tc>
          <w:tcPr>
            <w:tcW w:type="dxa" w:w="576"/>
          </w:tcPr>
          <w:p>
            <w:r>
              <w:rPr>
                <w:rFonts w:ascii="Calibri" w:hAnsi="Calibri"/>
                <w:sz w:val="20"/>
              </w:rPr>
              <w:t>27</w:t>
            </w:r>
          </w:p>
        </w:tc>
        <w:tc>
          <w:tcPr>
            <w:tcW w:type="dxa" w:w="7200"/>
          </w:tcPr>
          <w:p>
            <w:r>
              <w:rPr>
                <w:rFonts w:ascii="Calibri" w:hAnsi="Calibri"/>
                <w:sz w:val="20"/>
              </w:rPr>
              <w:t>Conclusion</w:t>
            </w:r>
          </w:p>
        </w:tc>
        <w:tc>
          <w:tcPr>
            <w:tcW w:type="dxa" w:w="1152"/>
          </w:tcPr>
          <w:p>
            <w:pPr>
              <w:jc w:val="right"/>
            </w:pPr>
            <w:r>
              <w:rPr>
                <w:rFonts w:ascii="Calibri" w:hAnsi="Calibri"/>
                <w:sz w:val="20"/>
              </w:rPr>
              <w:t>26</w:t>
            </w:r>
          </w:p>
        </w:tc>
      </w:tr>
      <w:tr>
        <w:tc>
          <w:tcPr>
            <w:tcW w:type="dxa" w:w="576"/>
            <w:shd w:val="clear" w:color="auto" w:fill="F5F5FA"/>
          </w:tcPr>
          <w:p>
            <w:r>
              <w:rPr>
                <w:rFonts w:ascii="Calibri" w:hAnsi="Calibri"/>
                <w:sz w:val="20"/>
              </w:rPr>
              <w:t>28</w:t>
            </w:r>
          </w:p>
        </w:tc>
        <w:tc>
          <w:tcPr>
            <w:tcW w:type="dxa" w:w="7200"/>
            <w:shd w:val="clear" w:color="auto" w:fill="F5F5FA"/>
          </w:tcPr>
          <w:p>
            <w:r>
              <w:rPr>
                <w:rFonts w:ascii="Calibri" w:hAnsi="Calibri"/>
                <w:sz w:val="20"/>
              </w:rPr>
              <w:t>References</w:t>
            </w:r>
          </w:p>
        </w:tc>
        <w:tc>
          <w:tcPr>
            <w:tcW w:type="dxa" w:w="1152"/>
            <w:shd w:val="clear" w:color="auto" w:fill="F5F5FA"/>
          </w:tcPr>
          <w:p>
            <w:pPr>
              <w:jc w:val="right"/>
            </w:pPr>
            <w:r>
              <w:rPr>
                <w:rFonts w:ascii="Calibri" w:hAnsi="Calibri"/>
                <w:sz w:val="20"/>
              </w:rPr>
              <w:t>27</w:t>
            </w:r>
          </w:p>
        </w:tc>
      </w:tr>
      <w:tr>
        <w:tc>
          <w:tcPr>
            <w:tcW w:type="dxa" w:w="576"/>
          </w:tcPr>
          <w:p>
            <w:r>
              <w:rPr>
                <w:rFonts w:ascii="Calibri" w:hAnsi="Calibri"/>
                <w:sz w:val="20"/>
              </w:rPr>
              <w:t>29</w:t>
            </w:r>
          </w:p>
        </w:tc>
        <w:tc>
          <w:tcPr>
            <w:tcW w:type="dxa" w:w="7200"/>
          </w:tcPr>
          <w:p>
            <w:r>
              <w:rPr>
                <w:rFonts w:ascii="Calibri" w:hAnsi="Calibri"/>
                <w:sz w:val="20"/>
              </w:rPr>
              <w:t>Appendix</w:t>
            </w:r>
          </w:p>
        </w:tc>
        <w:tc>
          <w:tcPr>
            <w:tcW w:type="dxa" w:w="1152"/>
          </w:tcPr>
          <w:p>
            <w:pPr>
              <w:jc w:val="right"/>
            </w:pPr>
            <w:r>
              <w:rPr>
                <w:rFonts w:ascii="Calibri" w:hAnsi="Calibri"/>
                <w:sz w:val="20"/>
              </w:rPr>
              <w:t>27</w:t>
            </w:r>
          </w:p>
        </w:tc>
      </w:tr>
    </w:tbl>
    <w:p/>
    <w:p>
      <w:r>
        <w:br w:type="page"/>
      </w:r>
    </w:p>
    <w:p>
      <w:pPr>
        <w:pStyle w:val="Heading1"/>
        <w:spacing w:before="360" w:after="120"/>
      </w:pPr>
      <w:r>
        <w:rPr>
          <w:color w:val="1A1A6E"/>
        </w:rPr>
        <w:t>1. Abstract</w:t>
      </w:r>
    </w:p>
    <w:p>
      <w:pPr>
        <w:spacing w:after="120" w:line="360" w:lineRule="auto"/>
      </w:pPr>
      <w:r>
        <w:rPr>
          <w:rFonts w:ascii="Calibri" w:hAnsi="Calibri"/>
          <w:b w:val="0"/>
          <w:i w:val="0"/>
          <w:sz w:val="22"/>
        </w:rPr>
        <w:t>This project presents the SuperMarket Sales Analytics Dashboard, an interactive business intelligence application developed in Python using the Streamlit framework. The dashboard is designed to transform raw supermarket transaction records into actionable analytics and meaningful business insights. The underlying dataset contains 1,000 sales transactions spanning January to March 2019, covering 17 attributes including branch, city, product line, unit price, quantity, sales, COGS, gross income, gross margin, payment method, customer type, gender, and customer ratings.</w:t>
      </w:r>
    </w:p>
    <w:p>
      <w:pPr>
        <w:spacing w:after="120" w:line="360" w:lineRule="auto"/>
      </w:pPr>
      <w:r>
        <w:rPr>
          <w:rFonts w:ascii="Calibri" w:hAnsi="Calibri"/>
          <w:b w:val="0"/>
          <w:i w:val="0"/>
          <w:sz w:val="22"/>
        </w:rPr>
        <w:t>The dashboard provides comprehensive analysis across eleven dedicated analytics tabs: Overview KPIs, Sales Analytics, Product Analytics, Customer Analytics, Gross Income / Financial Analysis, Time Analysis, Payment Analysis, Branch and Location Analysis, Rating Analysis, Advanced Analytics, and a Data Explorer. It dynamically computes eight Key Performance Indicators (KPIs), renders over 40 interactive Plotly charts, auto-generates text business insights, and supports interactive filters across date range, branch, city, customer type, gender, product line, and payment method. Users can also upload their own compatible CSV datasets and export filtered data for further analysis.</w:t>
      </w:r>
    </w:p>
    <w:p>
      <w:pPr>
        <w:spacing w:after="120" w:line="360" w:lineRule="auto"/>
      </w:pPr>
      <w:r>
        <w:rPr>
          <w:rFonts w:ascii="Calibri" w:hAnsi="Calibri"/>
          <w:b w:val="0"/>
          <w:i w:val="0"/>
          <w:sz w:val="22"/>
        </w:rPr>
        <w:t>The primary objective of this project is to eliminate the manual effort involved in interpreting large volumes of supermarket transaction data by providing a real-time, filter-driven analytical interface that supports data-driven decision making at the operational and strategic levels.</w:t>
      </w:r>
    </w:p>
    <w:p>
      <w:r>
        <w:br w:type="page"/>
      </w:r>
    </w:p>
    <w:p>
      <w:pPr>
        <w:pStyle w:val="Heading1"/>
        <w:spacing w:before="360" w:after="120"/>
      </w:pPr>
      <w:r>
        <w:rPr>
          <w:color w:val="1A1A6E"/>
        </w:rPr>
        <w:t>2. Introduction</w:t>
      </w:r>
    </w:p>
    <w:p>
      <w:pPr>
        <w:spacing w:after="120" w:line="360" w:lineRule="auto"/>
      </w:pPr>
      <w:r>
        <w:rPr>
          <w:rFonts w:ascii="Calibri" w:hAnsi="Calibri"/>
          <w:b w:val="0"/>
          <w:i w:val="0"/>
          <w:sz w:val="22"/>
        </w:rPr>
        <w:t>Data analytics is the discipline of examining, cleansing, transforming, and modelling data with the goal of discovering useful information, drawing conclusions, and supporting decision-making. In the era of digital commerce and large-scale retail operations, data analytics plays a central role in understanding customer behaviour, optimising product mix, and improving overall business performance.</w:t>
      </w:r>
    </w:p>
    <w:p>
      <w:pPr>
        <w:spacing w:after="120" w:line="360" w:lineRule="auto"/>
      </w:pPr>
      <w:r>
        <w:rPr>
          <w:rFonts w:ascii="Calibri" w:hAnsi="Calibri"/>
          <w:b w:val="0"/>
          <w:i w:val="0"/>
          <w:sz w:val="22"/>
        </w:rPr>
        <w:t>In the retail and supermarket industry, enormous volumes of transactional data are generated every day. Each sale records attributes such as the product purchased, quantity, price, tax, time of transaction, customer type, and payment method. Individually, these records appear as unstructured rows in spreadsheets or database tables. Without proper analytical tools, it is nearly impossible for managers and analysts to extract patterns, identify top-performing product lines, compare branches, understand customer preferences, or determine peak operational hours.</w:t>
      </w:r>
    </w:p>
    <w:p>
      <w:pPr>
        <w:spacing w:after="120" w:line="360" w:lineRule="auto"/>
      </w:pPr>
      <w:r>
        <w:rPr>
          <w:rFonts w:ascii="Calibri" w:hAnsi="Calibri"/>
          <w:b w:val="0"/>
          <w:i w:val="0"/>
          <w:sz w:val="22"/>
        </w:rPr>
        <w:t>Traditional reporting methods involving static spreadsheets or periodic manual reports are slow, error-prone, and inflexible. They do not support real-time filtering, interactive exploration, or automatic generation of business insights. This creates a critical gap between raw data and actionable intelligence.</w:t>
      </w:r>
    </w:p>
    <w:p>
      <w:pPr>
        <w:spacing w:after="120" w:line="360" w:lineRule="auto"/>
      </w:pPr>
      <w:r>
        <w:rPr>
          <w:rFonts w:ascii="Calibri" w:hAnsi="Calibri"/>
          <w:b w:val="0"/>
          <w:i w:val="0"/>
          <w:sz w:val="22"/>
        </w:rPr>
        <w:t>Interactive dashboards bridge this gap. They provide analysts and decision-makers with a visual, filterable, and dynamically updating interface that transforms transactional records into charts, KPIs, and textual insights within seconds. They democratise data access, enabling non-technical stakeholders to explore data without writing queries or code.</w:t>
      </w:r>
    </w:p>
    <w:p>
      <w:pPr>
        <w:spacing w:after="120" w:line="360" w:lineRule="auto"/>
      </w:pPr>
      <w:r>
        <w:rPr>
          <w:rFonts w:ascii="Calibri" w:hAnsi="Calibri"/>
          <w:b w:val="0"/>
          <w:i w:val="0"/>
          <w:sz w:val="22"/>
        </w:rPr>
        <w:t>This project — the SuperMarket Sales Analytics Dashboard — was developed as part of the AICTE | IBM SkillsBuild Data Analytics with AI Internship 2026 under BharatCares. It provides a complete, production-quality analytics dashboard for supermarket sales data using Python, Streamlit, Pandas, and Plotly. The dashboard covers all major dimensions of supermarket analytics: sales performance, product analysis, customer segmentation, payment patterns, financial analysis, time-based trends, and branch/location comparisons.</w:t>
      </w:r>
    </w:p>
    <w:p>
      <w:pPr>
        <w:pStyle w:val="Heading1"/>
        <w:spacing w:before="360" w:after="120"/>
      </w:pPr>
      <w:r>
        <w:rPr>
          <w:color w:val="1A1A6E"/>
        </w:rPr>
        <w:t>3. Problem Statement</w:t>
      </w:r>
    </w:p>
    <w:p>
      <w:pPr>
        <w:spacing w:after="120" w:line="360" w:lineRule="auto"/>
      </w:pPr>
      <w:r>
        <w:rPr>
          <w:rFonts w:ascii="Calibri" w:hAnsi="Calibri"/>
          <w:b w:val="0"/>
          <w:i w:val="0"/>
          <w:sz w:val="22"/>
        </w:rPr>
        <w:t>Supermarket chains generate hundreds or thousands of transaction records every day across multiple branches. The dataset used in this project alone contains 1,000 individual sales transactions recorded across three branches in three cities. Each transaction includes seventeen data fields spanning financial metrics, product categories, customer demographics, payment methods, and timestamps.</w:t>
      </w:r>
    </w:p>
    <w:p>
      <w:pPr>
        <w:spacing w:after="120" w:line="360" w:lineRule="auto"/>
      </w:pPr>
      <w:r>
        <w:rPr>
          <w:rFonts w:ascii="Calibri" w:hAnsi="Calibri"/>
          <w:b w:val="0"/>
          <w:i w:val="0"/>
          <w:sz w:val="22"/>
        </w:rPr>
        <w:t>Analysing such data manually using spreadsheets is impractical at scale. Key challenges include:</w:t>
      </w:r>
    </w:p>
    <w:p>
      <w:pPr>
        <w:pStyle w:val="ListBullet"/>
        <w:spacing w:after="60"/>
      </w:pPr>
      <w:r>
        <w:rPr>
          <w:rFonts w:ascii="Calibri" w:hAnsi="Calibri"/>
          <w:sz w:val="22"/>
        </w:rPr>
        <w:t>Identifying the highest and lowest performing product lines across different time periods.</w:t>
      </w:r>
    </w:p>
    <w:p>
      <w:pPr>
        <w:pStyle w:val="ListBullet"/>
        <w:spacing w:after="60"/>
      </w:pPr>
      <w:r>
        <w:rPr>
          <w:rFonts w:ascii="Calibri" w:hAnsi="Calibri"/>
          <w:sz w:val="22"/>
        </w:rPr>
        <w:t>Comparing sales, gross income, and quantity metrics across multiple branches and cities simultaneously.</w:t>
      </w:r>
    </w:p>
    <w:p>
      <w:pPr>
        <w:pStyle w:val="ListBullet"/>
        <w:spacing w:after="60"/>
      </w:pPr>
      <w:r>
        <w:rPr>
          <w:rFonts w:ascii="Calibri" w:hAnsi="Calibri"/>
          <w:sz w:val="22"/>
        </w:rPr>
        <w:t>Understanding customer behaviour patterns segmented by customer type and gender.</w:t>
      </w:r>
    </w:p>
    <w:p>
      <w:pPr>
        <w:pStyle w:val="ListBullet"/>
        <w:spacing w:after="60"/>
      </w:pPr>
      <w:r>
        <w:rPr>
          <w:rFonts w:ascii="Calibri" w:hAnsi="Calibri"/>
          <w:sz w:val="22"/>
        </w:rPr>
        <w:t>Determining peak transaction hours and best-performing days of the week.</w:t>
      </w:r>
    </w:p>
    <w:p>
      <w:pPr>
        <w:pStyle w:val="ListBullet"/>
        <w:spacing w:after="60"/>
      </w:pPr>
      <w:r>
        <w:rPr>
          <w:rFonts w:ascii="Calibri" w:hAnsi="Calibri"/>
          <w:sz w:val="22"/>
        </w:rPr>
        <w:t>Evaluating which payment methods dominate and how they relate to transaction values.</w:t>
      </w:r>
    </w:p>
    <w:p>
      <w:pPr>
        <w:pStyle w:val="ListBullet"/>
        <w:spacing w:after="60"/>
      </w:pPr>
      <w:r>
        <w:rPr>
          <w:rFonts w:ascii="Calibri" w:hAnsi="Calibri"/>
          <w:sz w:val="22"/>
        </w:rPr>
        <w:t>Assessing customer satisfaction through rating distributions and correlations with sales.</w:t>
      </w:r>
    </w:p>
    <w:p>
      <w:pPr>
        <w:pStyle w:val="ListBullet"/>
        <w:spacing w:after="60"/>
      </w:pPr>
      <w:r>
        <w:rPr>
          <w:rFonts w:ascii="Calibri" w:hAnsi="Calibri"/>
          <w:sz w:val="22"/>
        </w:rPr>
        <w:t>Detecting data quality issues such as missing values, duplicate records, and invalid entries.</w:t>
      </w:r>
    </w:p>
    <w:p>
      <w:pPr>
        <w:spacing w:after="120" w:line="360" w:lineRule="auto"/>
      </w:pPr>
      <w:r>
        <w:rPr>
          <w:rFonts w:ascii="Calibri" w:hAnsi="Calibri"/>
          <w:b w:val="0"/>
          <w:i w:val="0"/>
          <w:sz w:val="22"/>
        </w:rPr>
        <w:t>Without an automated analytical tool, generating even a basic sales report requires hours of manual spreadsheet work with a high risk of errors. The SuperMarket Sales Analytics Dashboard resolves this problem by providing a single interactive interface that automates all the above analyses, enables dynamic filtering, and generates business insights from the underlying data automatically.</w:t>
      </w:r>
    </w:p>
    <w:p>
      <w:pPr>
        <w:pStyle w:val="Heading1"/>
        <w:spacing w:before="360" w:after="120"/>
      </w:pPr>
      <w:r>
        <w:rPr>
          <w:color w:val="1A1A6E"/>
        </w:rPr>
        <w:t>4. Objectives</w:t>
      </w:r>
    </w:p>
    <w:p>
      <w:pPr>
        <w:spacing w:after="120" w:line="360" w:lineRule="auto"/>
      </w:pPr>
      <w:r>
        <w:rPr>
          <w:rFonts w:ascii="Calibri" w:hAnsi="Calibri"/>
          <w:b w:val="0"/>
          <w:i w:val="0"/>
          <w:sz w:val="22"/>
        </w:rPr>
        <w:t>The specific objectives of the SuperMarket Sales Analytics Dashboard are:</w:t>
      </w:r>
    </w:p>
    <w:p>
      <w:pPr>
        <w:pStyle w:val="ListBullet"/>
        <w:spacing w:after="60"/>
      </w:pPr>
      <w:r>
        <w:rPr>
          <w:rFonts w:ascii="Calibri" w:hAnsi="Calibri"/>
          <w:sz w:val="22"/>
        </w:rPr>
        <w:t>Compute and display eight Key Performance Indicators — Total Sales, Total Gross Income, Total Transactions, Total Quantity Sold, Average Order Value, Average Unit Price, Gross Margin %, and Average Customer Rating — dynamically from the filtered dataset.</w:t>
      </w:r>
    </w:p>
    <w:p>
      <w:pPr>
        <w:pStyle w:val="ListBullet"/>
        <w:spacing w:after="60"/>
      </w:pPr>
      <w:r>
        <w:rPr>
          <w:rFonts w:ascii="Calibri" w:hAnsi="Calibri"/>
          <w:sz w:val="22"/>
        </w:rPr>
        <w:t>Analyse and visualise sales performance by product line, branch, city, customer type, gender, and payment method.</w:t>
      </w:r>
    </w:p>
    <w:p>
      <w:pPr>
        <w:pStyle w:val="ListBullet"/>
        <w:spacing w:after="60"/>
      </w:pPr>
      <w:r>
        <w:rPr>
          <w:rFonts w:ascii="Calibri" w:hAnsi="Calibri"/>
          <w:sz w:val="22"/>
        </w:rPr>
        <w:t>Examine unit price distribution, average unit price by product line, and relationships between unit price, quantity, and sales.</w:t>
      </w:r>
    </w:p>
    <w:p>
      <w:pPr>
        <w:pStyle w:val="ListBullet"/>
        <w:spacing w:after="60"/>
      </w:pPr>
      <w:r>
        <w:rPr>
          <w:rFonts w:ascii="Calibri" w:hAnsi="Calibri"/>
          <w:sz w:val="22"/>
        </w:rPr>
        <w:t>Perform product line analysis covering total sales, quantity sold, average unit price, and gross income per product category, including Pareto analysis and sales contribution percentages.</w:t>
      </w:r>
    </w:p>
    <w:p>
      <w:pPr>
        <w:pStyle w:val="ListBullet"/>
        <w:spacing w:after="60"/>
      </w:pPr>
      <w:r>
        <w:rPr>
          <w:rFonts w:ascii="Calibri" w:hAnsi="Calibri"/>
          <w:sz w:val="22"/>
        </w:rPr>
        <w:t>Analyse customer segments — Member vs. Normal customers and Female vs. Male customers — by total sales, average transaction value, quantity purchased, and satisfaction rating.</w:t>
      </w:r>
    </w:p>
    <w:p>
      <w:pPr>
        <w:pStyle w:val="ListBullet"/>
        <w:spacing w:after="60"/>
      </w:pPr>
      <w:r>
        <w:rPr>
          <w:rFonts w:ascii="Calibri" w:hAnsi="Calibri"/>
          <w:sz w:val="22"/>
        </w:rPr>
        <w:t>Examine gross income, COGS, and gross margin percentage across product lines, branches, and over time.</w:t>
      </w:r>
    </w:p>
    <w:p>
      <w:pPr>
        <w:pStyle w:val="ListBullet"/>
        <w:spacing w:after="60"/>
      </w:pPr>
      <w:r>
        <w:rPr>
          <w:rFonts w:ascii="Calibri" w:hAnsi="Calibri"/>
          <w:sz w:val="22"/>
        </w:rPr>
        <w:t>Identify temporal patterns in sales including hourly, daily, and monthly trends to determine peak sales hours, best performing days of the week, and best performing months.</w:t>
      </w:r>
    </w:p>
    <w:p>
      <w:pPr>
        <w:pStyle w:val="ListBullet"/>
        <w:spacing w:after="60"/>
      </w:pPr>
      <w:r>
        <w:rPr>
          <w:rFonts w:ascii="Calibri" w:hAnsi="Calibri"/>
          <w:sz w:val="22"/>
        </w:rPr>
        <w:t>Analyse payment method distribution including transaction counts, total sales, and average transaction value for each payment method (Ewallet, Cash, Credit Card).</w:t>
      </w:r>
    </w:p>
    <w:p>
      <w:pPr>
        <w:pStyle w:val="ListBullet"/>
        <w:spacing w:after="60"/>
      </w:pPr>
      <w:r>
        <w:rPr>
          <w:rFonts w:ascii="Calibri" w:hAnsi="Calibri"/>
          <w:sz w:val="22"/>
        </w:rPr>
        <w:t>Compare branch-level performance across Branch A, B, and C for sales, gross income, quantity, and ratings.</w:t>
      </w:r>
    </w:p>
    <w:p>
      <w:pPr>
        <w:pStyle w:val="ListBullet"/>
        <w:spacing w:after="60"/>
      </w:pPr>
      <w:r>
        <w:rPr>
          <w:rFonts w:ascii="Calibri" w:hAnsi="Calibri"/>
          <w:sz w:val="22"/>
        </w:rPr>
        <w:t>Analyse customer satisfaction ratings including distribution, average rating by product line, branch, and gender.</w:t>
      </w:r>
    </w:p>
    <w:p>
      <w:pPr>
        <w:pStyle w:val="ListBullet"/>
        <w:spacing w:after="60"/>
      </w:pPr>
      <w:r>
        <w:rPr>
          <w:rFonts w:ascii="Calibri" w:hAnsi="Calibri"/>
          <w:sz w:val="22"/>
        </w:rPr>
        <w:t>Generate automated textual business insights dynamically from the filtered data without manual coding.</w:t>
      </w:r>
    </w:p>
    <w:p>
      <w:pPr>
        <w:pStyle w:val="ListBullet"/>
        <w:spacing w:after="60"/>
      </w:pPr>
      <w:r>
        <w:rPr>
          <w:rFonts w:ascii="Calibri" w:hAnsi="Calibri"/>
          <w:sz w:val="22"/>
        </w:rPr>
        <w:t>Provide interactive multi-parameter sidebar filters — date range, branch, city, customer type, gender, product line, and payment method — with a one-click reset function.</w:t>
      </w:r>
    </w:p>
    <w:p>
      <w:pPr>
        <w:pStyle w:val="ListBullet"/>
        <w:spacing w:after="60"/>
      </w:pPr>
      <w:r>
        <w:rPr>
          <w:rFonts w:ascii="Calibri" w:hAnsi="Calibri"/>
          <w:sz w:val="22"/>
        </w:rPr>
        <w:t>Display a data quality report covering missing values, duplicate rows, and a data cleaning log.</w:t>
      </w:r>
    </w:p>
    <w:p>
      <w:pPr>
        <w:pStyle w:val="ListBullet"/>
        <w:spacing w:after="60"/>
      </w:pPr>
      <w:r>
        <w:rPr>
          <w:rFonts w:ascii="Calibri" w:hAnsi="Calibri"/>
          <w:sz w:val="22"/>
        </w:rPr>
        <w:t>Enable users to upload their own compatible CSV datasets and download filtered data as CSV.</w:t>
      </w:r>
    </w:p>
    <w:p>
      <w:r>
        <w:br w:type="page"/>
      </w:r>
    </w:p>
    <w:p>
      <w:pPr>
        <w:pStyle w:val="Heading1"/>
        <w:spacing w:before="360" w:after="120"/>
      </w:pPr>
      <w:r>
        <w:rPr>
          <w:color w:val="1A1A6E"/>
        </w:rPr>
        <w:t>5. Dataset Description</w:t>
      </w:r>
    </w:p>
    <w:p>
      <w:pPr>
        <w:pStyle w:val="Heading2"/>
        <w:spacing w:before="240" w:after="80"/>
      </w:pPr>
      <w:r>
        <w:rPr>
          <w:color w:val="2C3E7A"/>
        </w:rPr>
        <w:t>5.1 Overview</w:t>
      </w:r>
    </w:p>
    <w:p>
      <w:pPr>
        <w:spacing w:after="120" w:line="360" w:lineRule="auto"/>
      </w:pPr>
      <w:r>
        <w:rPr>
          <w:rFonts w:ascii="Calibri" w:hAnsi="Calibri"/>
          <w:b w:val="0"/>
          <w:i w:val="0"/>
          <w:sz w:val="22"/>
        </w:rPr>
        <w:t>The dataset used is 'SuperMarket Analysis.csv', a record of supermarket sales transactions. It contains 1,000 rows and 17 columns. The data covers the period from January 01, 2019 to March 30, 2019, spanning three months across three branches in three cities. There are no missing values and no duplicate rows in the dataset.</w:t>
      </w:r>
    </w:p>
    <w:p>
      <w:pPr>
        <w:pStyle w:val="Heading2"/>
        <w:spacing w:before="240" w:after="80"/>
      </w:pPr>
      <w:r>
        <w:rPr>
          <w:color w:val="2C3E7A"/>
        </w:rPr>
        <w:t>5.2 Column Dictionary</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304"/>
            <w:shd w:val="clear" w:color="auto" w:fill="1A1A6E"/>
            <w:vAlign w:val="center"/>
          </w:tcPr>
          <w:p>
            <w:pPr>
              <w:jc w:val="center"/>
            </w:pPr>
            <w:r>
              <w:rPr>
                <w:b/>
                <w:color w:val="FFFFFF"/>
                <w:sz w:val="20"/>
              </w:rPr>
              <w:t>Column Name</w:t>
            </w:r>
          </w:p>
        </w:tc>
        <w:tc>
          <w:tcPr>
            <w:tcW w:type="dxa" w:w="1872"/>
            <w:shd w:val="clear" w:color="auto" w:fill="1A1A6E"/>
            <w:vAlign w:val="center"/>
          </w:tcPr>
          <w:p>
            <w:pPr>
              <w:jc w:val="center"/>
            </w:pPr>
            <w:r>
              <w:rPr>
                <w:b/>
                <w:color w:val="FFFFFF"/>
                <w:sz w:val="20"/>
              </w:rPr>
              <w:t>Data Type</w:t>
            </w:r>
          </w:p>
        </w:tc>
        <w:tc>
          <w:tcPr>
            <w:tcW w:type="dxa" w:w="1440"/>
            <w:shd w:val="clear" w:color="auto" w:fill="1A1A6E"/>
            <w:vAlign w:val="center"/>
          </w:tcPr>
          <w:p>
            <w:pPr>
              <w:jc w:val="center"/>
            </w:pPr>
            <w:r>
              <w:rPr>
                <w:b/>
                <w:color w:val="FFFFFF"/>
                <w:sz w:val="20"/>
              </w:rPr>
              <w:t>Category</w:t>
            </w:r>
          </w:p>
        </w:tc>
        <w:tc>
          <w:tcPr>
            <w:tcW w:type="dxa" w:w="4464"/>
            <w:shd w:val="clear" w:color="auto" w:fill="1A1A6E"/>
            <w:vAlign w:val="center"/>
          </w:tcPr>
          <w:p>
            <w:pPr>
              <w:jc w:val="center"/>
            </w:pPr>
            <w:r>
              <w:rPr>
                <w:b/>
                <w:color w:val="FFFFFF"/>
                <w:sz w:val="20"/>
              </w:rPr>
              <w:t>Description</w:t>
            </w:r>
          </w:p>
        </w:tc>
      </w:tr>
      <w:tr>
        <w:tc>
          <w:tcPr>
            <w:tcW w:type="dxa" w:w="2304"/>
          </w:tcPr>
          <w:p>
            <w:r>
              <w:rPr>
                <w:rFonts w:ascii="Calibri" w:hAnsi="Calibri"/>
                <w:sz w:val="20"/>
              </w:rPr>
              <w:t>Invoice ID</w:t>
            </w:r>
          </w:p>
        </w:tc>
        <w:tc>
          <w:tcPr>
            <w:tcW w:type="dxa" w:w="1872"/>
          </w:tcPr>
          <w:p>
            <w:r>
              <w:rPr>
                <w:rFonts w:ascii="Calibri" w:hAnsi="Calibri"/>
                <w:sz w:val="20"/>
              </w:rPr>
              <w:t>String (object)</w:t>
            </w:r>
          </w:p>
        </w:tc>
        <w:tc>
          <w:tcPr>
            <w:tcW w:type="dxa" w:w="1440"/>
          </w:tcPr>
          <w:p>
            <w:r>
              <w:rPr>
                <w:rFonts w:ascii="Calibri" w:hAnsi="Calibri"/>
                <w:sz w:val="20"/>
              </w:rPr>
              <w:t>Identifier</w:t>
            </w:r>
          </w:p>
        </w:tc>
        <w:tc>
          <w:tcPr>
            <w:tcW w:type="dxa" w:w="4464"/>
          </w:tcPr>
          <w:p>
            <w:r>
              <w:rPr>
                <w:rFonts w:ascii="Calibri" w:hAnsi="Calibri"/>
                <w:sz w:val="20"/>
              </w:rPr>
              <w:t>Unique identifier for each sales transaction</w:t>
            </w:r>
          </w:p>
        </w:tc>
      </w:tr>
      <w:tr>
        <w:tc>
          <w:tcPr>
            <w:tcW w:type="dxa" w:w="2304"/>
            <w:shd w:val="clear" w:color="auto" w:fill="EEF2FF"/>
          </w:tcPr>
          <w:p>
            <w:r>
              <w:rPr>
                <w:rFonts w:ascii="Calibri" w:hAnsi="Calibri"/>
                <w:sz w:val="20"/>
              </w:rPr>
              <w:t>Branch</w:t>
            </w:r>
          </w:p>
        </w:tc>
        <w:tc>
          <w:tcPr>
            <w:tcW w:type="dxa" w:w="1872"/>
            <w:shd w:val="clear" w:color="auto" w:fill="EEF2FF"/>
          </w:tcPr>
          <w:p>
            <w:r>
              <w:rPr>
                <w:rFonts w:ascii="Calibri" w:hAnsi="Calibri"/>
                <w:sz w:val="20"/>
              </w:rPr>
              <w:t>String (object)</w:t>
            </w:r>
          </w:p>
        </w:tc>
        <w:tc>
          <w:tcPr>
            <w:tcW w:type="dxa" w:w="1440"/>
            <w:shd w:val="clear" w:color="auto" w:fill="EEF2FF"/>
          </w:tcPr>
          <w:p>
            <w:r>
              <w:rPr>
                <w:rFonts w:ascii="Calibri" w:hAnsi="Calibri"/>
                <w:sz w:val="20"/>
              </w:rPr>
              <w:t>Categorical</w:t>
            </w:r>
          </w:p>
        </w:tc>
        <w:tc>
          <w:tcPr>
            <w:tcW w:type="dxa" w:w="4464"/>
            <w:shd w:val="clear" w:color="auto" w:fill="EEF2FF"/>
          </w:tcPr>
          <w:p>
            <w:r>
              <w:rPr>
                <w:rFonts w:ascii="Calibri" w:hAnsi="Calibri"/>
                <w:sz w:val="20"/>
              </w:rPr>
              <w:t>Branch code: Alex, Giza, Cairo</w:t>
            </w:r>
          </w:p>
        </w:tc>
      </w:tr>
      <w:tr>
        <w:tc>
          <w:tcPr>
            <w:tcW w:type="dxa" w:w="2304"/>
          </w:tcPr>
          <w:p>
            <w:r>
              <w:rPr>
                <w:rFonts w:ascii="Calibri" w:hAnsi="Calibri"/>
                <w:sz w:val="20"/>
              </w:rPr>
              <w:t>City</w:t>
            </w:r>
          </w:p>
        </w:tc>
        <w:tc>
          <w:tcPr>
            <w:tcW w:type="dxa" w:w="1872"/>
          </w:tcPr>
          <w:p>
            <w:r>
              <w:rPr>
                <w:rFonts w:ascii="Calibri" w:hAnsi="Calibri"/>
                <w:sz w:val="20"/>
              </w:rPr>
              <w:t>String (object)</w:t>
            </w:r>
          </w:p>
        </w:tc>
        <w:tc>
          <w:tcPr>
            <w:tcW w:type="dxa" w:w="1440"/>
          </w:tcPr>
          <w:p>
            <w:r>
              <w:rPr>
                <w:rFonts w:ascii="Calibri" w:hAnsi="Calibri"/>
                <w:sz w:val="20"/>
              </w:rPr>
              <w:t>Categorical</w:t>
            </w:r>
          </w:p>
        </w:tc>
        <w:tc>
          <w:tcPr>
            <w:tcW w:type="dxa" w:w="4464"/>
          </w:tcPr>
          <w:p>
            <w:r>
              <w:rPr>
                <w:rFonts w:ascii="Calibri" w:hAnsi="Calibri"/>
                <w:sz w:val="20"/>
              </w:rPr>
              <w:t>City: Yangon, Naypyitaw, Mandalay</w:t>
            </w:r>
          </w:p>
        </w:tc>
      </w:tr>
      <w:tr>
        <w:tc>
          <w:tcPr>
            <w:tcW w:type="dxa" w:w="2304"/>
            <w:shd w:val="clear" w:color="auto" w:fill="EEF2FF"/>
          </w:tcPr>
          <w:p>
            <w:r>
              <w:rPr>
                <w:rFonts w:ascii="Calibri" w:hAnsi="Calibri"/>
                <w:sz w:val="20"/>
              </w:rPr>
              <w:t>Customer type</w:t>
            </w:r>
          </w:p>
        </w:tc>
        <w:tc>
          <w:tcPr>
            <w:tcW w:type="dxa" w:w="1872"/>
            <w:shd w:val="clear" w:color="auto" w:fill="EEF2FF"/>
          </w:tcPr>
          <w:p>
            <w:r>
              <w:rPr>
                <w:rFonts w:ascii="Calibri" w:hAnsi="Calibri"/>
                <w:sz w:val="20"/>
              </w:rPr>
              <w:t>String (object)</w:t>
            </w:r>
          </w:p>
        </w:tc>
        <w:tc>
          <w:tcPr>
            <w:tcW w:type="dxa" w:w="1440"/>
            <w:shd w:val="clear" w:color="auto" w:fill="EEF2FF"/>
          </w:tcPr>
          <w:p>
            <w:r>
              <w:rPr>
                <w:rFonts w:ascii="Calibri" w:hAnsi="Calibri"/>
                <w:sz w:val="20"/>
              </w:rPr>
              <w:t>Categorical</w:t>
            </w:r>
          </w:p>
        </w:tc>
        <w:tc>
          <w:tcPr>
            <w:tcW w:type="dxa" w:w="4464"/>
            <w:shd w:val="clear" w:color="auto" w:fill="EEF2FF"/>
          </w:tcPr>
          <w:p>
            <w:r>
              <w:rPr>
                <w:rFonts w:ascii="Calibri" w:hAnsi="Calibri"/>
                <w:sz w:val="20"/>
              </w:rPr>
              <w:t>Member or Normal customer</w:t>
            </w:r>
          </w:p>
        </w:tc>
      </w:tr>
      <w:tr>
        <w:tc>
          <w:tcPr>
            <w:tcW w:type="dxa" w:w="2304"/>
          </w:tcPr>
          <w:p>
            <w:r>
              <w:rPr>
                <w:rFonts w:ascii="Calibri" w:hAnsi="Calibri"/>
                <w:sz w:val="20"/>
              </w:rPr>
              <w:t>Gender</w:t>
            </w:r>
          </w:p>
        </w:tc>
        <w:tc>
          <w:tcPr>
            <w:tcW w:type="dxa" w:w="1872"/>
          </w:tcPr>
          <w:p>
            <w:r>
              <w:rPr>
                <w:rFonts w:ascii="Calibri" w:hAnsi="Calibri"/>
                <w:sz w:val="20"/>
              </w:rPr>
              <w:t>String (object)</w:t>
            </w:r>
          </w:p>
        </w:tc>
        <w:tc>
          <w:tcPr>
            <w:tcW w:type="dxa" w:w="1440"/>
          </w:tcPr>
          <w:p>
            <w:r>
              <w:rPr>
                <w:rFonts w:ascii="Calibri" w:hAnsi="Calibri"/>
                <w:sz w:val="20"/>
              </w:rPr>
              <w:t>Categorical</w:t>
            </w:r>
          </w:p>
        </w:tc>
        <w:tc>
          <w:tcPr>
            <w:tcW w:type="dxa" w:w="4464"/>
          </w:tcPr>
          <w:p>
            <w:r>
              <w:rPr>
                <w:rFonts w:ascii="Calibri" w:hAnsi="Calibri"/>
                <w:sz w:val="20"/>
              </w:rPr>
              <w:t>Female or Male</w:t>
            </w:r>
          </w:p>
        </w:tc>
      </w:tr>
      <w:tr>
        <w:tc>
          <w:tcPr>
            <w:tcW w:type="dxa" w:w="2304"/>
            <w:shd w:val="clear" w:color="auto" w:fill="EEF2FF"/>
          </w:tcPr>
          <w:p>
            <w:r>
              <w:rPr>
                <w:rFonts w:ascii="Calibri" w:hAnsi="Calibri"/>
                <w:sz w:val="20"/>
              </w:rPr>
              <w:t>Product line</w:t>
            </w:r>
          </w:p>
        </w:tc>
        <w:tc>
          <w:tcPr>
            <w:tcW w:type="dxa" w:w="1872"/>
            <w:shd w:val="clear" w:color="auto" w:fill="EEF2FF"/>
          </w:tcPr>
          <w:p>
            <w:r>
              <w:rPr>
                <w:rFonts w:ascii="Calibri" w:hAnsi="Calibri"/>
                <w:sz w:val="20"/>
              </w:rPr>
              <w:t>String (object)</w:t>
            </w:r>
          </w:p>
        </w:tc>
        <w:tc>
          <w:tcPr>
            <w:tcW w:type="dxa" w:w="1440"/>
            <w:shd w:val="clear" w:color="auto" w:fill="EEF2FF"/>
          </w:tcPr>
          <w:p>
            <w:r>
              <w:rPr>
                <w:rFonts w:ascii="Calibri" w:hAnsi="Calibri"/>
                <w:sz w:val="20"/>
              </w:rPr>
              <w:t>Categorical</w:t>
            </w:r>
          </w:p>
        </w:tc>
        <w:tc>
          <w:tcPr>
            <w:tcW w:type="dxa" w:w="4464"/>
            <w:shd w:val="clear" w:color="auto" w:fill="EEF2FF"/>
          </w:tcPr>
          <w:p>
            <w:r>
              <w:rPr>
                <w:rFonts w:ascii="Calibri" w:hAnsi="Calibri"/>
                <w:sz w:val="20"/>
              </w:rPr>
              <w:t>One of six product categories</w:t>
            </w:r>
          </w:p>
        </w:tc>
      </w:tr>
      <w:tr>
        <w:tc>
          <w:tcPr>
            <w:tcW w:type="dxa" w:w="2304"/>
          </w:tcPr>
          <w:p>
            <w:r>
              <w:rPr>
                <w:rFonts w:ascii="Calibri" w:hAnsi="Calibri"/>
                <w:sz w:val="20"/>
              </w:rPr>
              <w:t>Unit price</w:t>
            </w:r>
          </w:p>
        </w:tc>
        <w:tc>
          <w:tcPr>
            <w:tcW w:type="dxa" w:w="1872"/>
          </w:tcPr>
          <w:p>
            <w:r>
              <w:rPr>
                <w:rFonts w:ascii="Calibri" w:hAnsi="Calibri"/>
                <w:sz w:val="20"/>
              </w:rPr>
              <w:t>Float (float64)</w:t>
            </w:r>
          </w:p>
        </w:tc>
        <w:tc>
          <w:tcPr>
            <w:tcW w:type="dxa" w:w="1440"/>
          </w:tcPr>
          <w:p>
            <w:r>
              <w:rPr>
                <w:rFonts w:ascii="Calibri" w:hAnsi="Calibri"/>
                <w:sz w:val="20"/>
              </w:rPr>
              <w:t>Numerical</w:t>
            </w:r>
          </w:p>
        </w:tc>
        <w:tc>
          <w:tcPr>
            <w:tcW w:type="dxa" w:w="4464"/>
          </w:tcPr>
          <w:p>
            <w:r>
              <w:rPr>
                <w:rFonts w:ascii="Calibri" w:hAnsi="Calibri"/>
                <w:sz w:val="20"/>
              </w:rPr>
              <w:t>Price per unit in USD (range: $10.08 – $99.96)</w:t>
            </w:r>
          </w:p>
        </w:tc>
      </w:tr>
      <w:tr>
        <w:tc>
          <w:tcPr>
            <w:tcW w:type="dxa" w:w="2304"/>
            <w:shd w:val="clear" w:color="auto" w:fill="EEF2FF"/>
          </w:tcPr>
          <w:p>
            <w:r>
              <w:rPr>
                <w:rFonts w:ascii="Calibri" w:hAnsi="Calibri"/>
                <w:sz w:val="20"/>
              </w:rPr>
              <w:t>Quantity</w:t>
            </w:r>
          </w:p>
        </w:tc>
        <w:tc>
          <w:tcPr>
            <w:tcW w:type="dxa" w:w="1872"/>
            <w:shd w:val="clear" w:color="auto" w:fill="EEF2FF"/>
          </w:tcPr>
          <w:p>
            <w:r>
              <w:rPr>
                <w:rFonts w:ascii="Calibri" w:hAnsi="Calibri"/>
                <w:sz w:val="20"/>
              </w:rPr>
              <w:t>Integer (int64)</w:t>
            </w:r>
          </w:p>
        </w:tc>
        <w:tc>
          <w:tcPr>
            <w:tcW w:type="dxa" w:w="1440"/>
            <w:shd w:val="clear" w:color="auto" w:fill="EEF2FF"/>
          </w:tcPr>
          <w:p>
            <w:r>
              <w:rPr>
                <w:rFonts w:ascii="Calibri" w:hAnsi="Calibri"/>
                <w:sz w:val="20"/>
              </w:rPr>
              <w:t>Numerical</w:t>
            </w:r>
          </w:p>
        </w:tc>
        <w:tc>
          <w:tcPr>
            <w:tcW w:type="dxa" w:w="4464"/>
            <w:shd w:val="clear" w:color="auto" w:fill="EEF2FF"/>
          </w:tcPr>
          <w:p>
            <w:r>
              <w:rPr>
                <w:rFonts w:ascii="Calibri" w:hAnsi="Calibri"/>
                <w:sz w:val="20"/>
              </w:rPr>
              <w:t>Number of units purchased per transaction (1–10)</w:t>
            </w:r>
          </w:p>
        </w:tc>
      </w:tr>
      <w:tr>
        <w:tc>
          <w:tcPr>
            <w:tcW w:type="dxa" w:w="2304"/>
          </w:tcPr>
          <w:p>
            <w:r>
              <w:rPr>
                <w:rFonts w:ascii="Calibri" w:hAnsi="Calibri"/>
                <w:sz w:val="20"/>
              </w:rPr>
              <w:t>Tax 5%</w:t>
            </w:r>
          </w:p>
        </w:tc>
        <w:tc>
          <w:tcPr>
            <w:tcW w:type="dxa" w:w="1872"/>
          </w:tcPr>
          <w:p>
            <w:r>
              <w:rPr>
                <w:rFonts w:ascii="Calibri" w:hAnsi="Calibri"/>
                <w:sz w:val="20"/>
              </w:rPr>
              <w:t>Float (float64)</w:t>
            </w:r>
          </w:p>
        </w:tc>
        <w:tc>
          <w:tcPr>
            <w:tcW w:type="dxa" w:w="1440"/>
          </w:tcPr>
          <w:p>
            <w:r>
              <w:rPr>
                <w:rFonts w:ascii="Calibri" w:hAnsi="Calibri"/>
                <w:sz w:val="20"/>
              </w:rPr>
              <w:t>Numerical</w:t>
            </w:r>
          </w:p>
        </w:tc>
        <w:tc>
          <w:tcPr>
            <w:tcW w:type="dxa" w:w="4464"/>
          </w:tcPr>
          <w:p>
            <w:r>
              <w:rPr>
                <w:rFonts w:ascii="Calibri" w:hAnsi="Calibri"/>
                <w:sz w:val="20"/>
              </w:rPr>
              <w:t>5% tax applied on the cost of goods sold</w:t>
            </w:r>
          </w:p>
        </w:tc>
      </w:tr>
      <w:tr>
        <w:tc>
          <w:tcPr>
            <w:tcW w:type="dxa" w:w="2304"/>
            <w:shd w:val="clear" w:color="auto" w:fill="EEF2FF"/>
          </w:tcPr>
          <w:p>
            <w:r>
              <w:rPr>
                <w:rFonts w:ascii="Calibri" w:hAnsi="Calibri"/>
                <w:sz w:val="20"/>
              </w:rPr>
              <w:t>Sales</w:t>
            </w:r>
          </w:p>
        </w:tc>
        <w:tc>
          <w:tcPr>
            <w:tcW w:type="dxa" w:w="1872"/>
            <w:shd w:val="clear" w:color="auto" w:fill="EEF2FF"/>
          </w:tcPr>
          <w:p>
            <w:r>
              <w:rPr>
                <w:rFonts w:ascii="Calibri" w:hAnsi="Calibri"/>
                <w:sz w:val="20"/>
              </w:rPr>
              <w:t>Float (float64)</w:t>
            </w:r>
          </w:p>
        </w:tc>
        <w:tc>
          <w:tcPr>
            <w:tcW w:type="dxa" w:w="1440"/>
            <w:shd w:val="clear" w:color="auto" w:fill="EEF2FF"/>
          </w:tcPr>
          <w:p>
            <w:r>
              <w:rPr>
                <w:rFonts w:ascii="Calibri" w:hAnsi="Calibri"/>
                <w:sz w:val="20"/>
              </w:rPr>
              <w:t>Numerical</w:t>
            </w:r>
          </w:p>
        </w:tc>
        <w:tc>
          <w:tcPr>
            <w:tcW w:type="dxa" w:w="4464"/>
            <w:shd w:val="clear" w:color="auto" w:fill="EEF2FF"/>
          </w:tcPr>
          <w:p>
            <w:r>
              <w:rPr>
                <w:rFonts w:ascii="Calibri" w:hAnsi="Calibri"/>
                <w:sz w:val="20"/>
              </w:rPr>
              <w:t>Total transaction value including tax</w:t>
            </w:r>
          </w:p>
        </w:tc>
      </w:tr>
      <w:tr>
        <w:tc>
          <w:tcPr>
            <w:tcW w:type="dxa" w:w="2304"/>
          </w:tcPr>
          <w:p>
            <w:r>
              <w:rPr>
                <w:rFonts w:ascii="Calibri" w:hAnsi="Calibri"/>
                <w:sz w:val="20"/>
              </w:rPr>
              <w:t>Date</w:t>
            </w:r>
          </w:p>
        </w:tc>
        <w:tc>
          <w:tcPr>
            <w:tcW w:type="dxa" w:w="1872"/>
          </w:tcPr>
          <w:p>
            <w:r>
              <w:rPr>
                <w:rFonts w:ascii="Calibri" w:hAnsi="Calibri"/>
                <w:sz w:val="20"/>
              </w:rPr>
              <w:t>String → Date</w:t>
            </w:r>
          </w:p>
        </w:tc>
        <w:tc>
          <w:tcPr>
            <w:tcW w:type="dxa" w:w="1440"/>
          </w:tcPr>
          <w:p>
            <w:r>
              <w:rPr>
                <w:rFonts w:ascii="Calibri" w:hAnsi="Calibri"/>
                <w:sz w:val="20"/>
              </w:rPr>
              <w:t>Temporal</w:t>
            </w:r>
          </w:p>
        </w:tc>
        <w:tc>
          <w:tcPr>
            <w:tcW w:type="dxa" w:w="4464"/>
          </w:tcPr>
          <w:p>
            <w:r>
              <w:rPr>
                <w:rFonts w:ascii="Calibri" w:hAnsi="Calibri"/>
                <w:sz w:val="20"/>
              </w:rPr>
              <w:t>Transaction date (January – March 2019)</w:t>
            </w:r>
          </w:p>
        </w:tc>
      </w:tr>
      <w:tr>
        <w:tc>
          <w:tcPr>
            <w:tcW w:type="dxa" w:w="2304"/>
            <w:shd w:val="clear" w:color="auto" w:fill="EEF2FF"/>
          </w:tcPr>
          <w:p>
            <w:r>
              <w:rPr>
                <w:rFonts w:ascii="Calibri" w:hAnsi="Calibri"/>
                <w:sz w:val="20"/>
              </w:rPr>
              <w:t>Time</w:t>
            </w:r>
          </w:p>
        </w:tc>
        <w:tc>
          <w:tcPr>
            <w:tcW w:type="dxa" w:w="1872"/>
            <w:shd w:val="clear" w:color="auto" w:fill="EEF2FF"/>
          </w:tcPr>
          <w:p>
            <w:r>
              <w:rPr>
                <w:rFonts w:ascii="Calibri" w:hAnsi="Calibri"/>
                <w:sz w:val="20"/>
              </w:rPr>
              <w:t>String → Time</w:t>
            </w:r>
          </w:p>
        </w:tc>
        <w:tc>
          <w:tcPr>
            <w:tcW w:type="dxa" w:w="1440"/>
            <w:shd w:val="clear" w:color="auto" w:fill="EEF2FF"/>
          </w:tcPr>
          <w:p>
            <w:r>
              <w:rPr>
                <w:rFonts w:ascii="Calibri" w:hAnsi="Calibri"/>
                <w:sz w:val="20"/>
              </w:rPr>
              <w:t>Temporal</w:t>
            </w:r>
          </w:p>
        </w:tc>
        <w:tc>
          <w:tcPr>
            <w:tcW w:type="dxa" w:w="4464"/>
            <w:shd w:val="clear" w:color="auto" w:fill="EEF2FF"/>
          </w:tcPr>
          <w:p>
            <w:r>
              <w:rPr>
                <w:rFonts w:ascii="Calibri" w:hAnsi="Calibri"/>
                <w:sz w:val="20"/>
              </w:rPr>
              <w:t>Transaction time (HH:MM:SS AM/PM)</w:t>
            </w:r>
          </w:p>
        </w:tc>
      </w:tr>
      <w:tr>
        <w:tc>
          <w:tcPr>
            <w:tcW w:type="dxa" w:w="2304"/>
          </w:tcPr>
          <w:p>
            <w:r>
              <w:rPr>
                <w:rFonts w:ascii="Calibri" w:hAnsi="Calibri"/>
                <w:sz w:val="20"/>
              </w:rPr>
              <w:t>Payment</w:t>
            </w:r>
          </w:p>
        </w:tc>
        <w:tc>
          <w:tcPr>
            <w:tcW w:type="dxa" w:w="1872"/>
          </w:tcPr>
          <w:p>
            <w:r>
              <w:rPr>
                <w:rFonts w:ascii="Calibri" w:hAnsi="Calibri"/>
                <w:sz w:val="20"/>
              </w:rPr>
              <w:t>String (object)</w:t>
            </w:r>
          </w:p>
        </w:tc>
        <w:tc>
          <w:tcPr>
            <w:tcW w:type="dxa" w:w="1440"/>
          </w:tcPr>
          <w:p>
            <w:r>
              <w:rPr>
                <w:rFonts w:ascii="Calibri" w:hAnsi="Calibri"/>
                <w:sz w:val="20"/>
              </w:rPr>
              <w:t>Categorical</w:t>
            </w:r>
          </w:p>
        </w:tc>
        <w:tc>
          <w:tcPr>
            <w:tcW w:type="dxa" w:w="4464"/>
          </w:tcPr>
          <w:p>
            <w:r>
              <w:rPr>
                <w:rFonts w:ascii="Calibri" w:hAnsi="Calibri"/>
                <w:sz w:val="20"/>
              </w:rPr>
              <w:t>Payment method: Ewallet, Cash, Credit card</w:t>
            </w:r>
          </w:p>
        </w:tc>
      </w:tr>
      <w:tr>
        <w:tc>
          <w:tcPr>
            <w:tcW w:type="dxa" w:w="2304"/>
            <w:shd w:val="clear" w:color="auto" w:fill="EEF2FF"/>
          </w:tcPr>
          <w:p>
            <w:r>
              <w:rPr>
                <w:rFonts w:ascii="Calibri" w:hAnsi="Calibri"/>
                <w:sz w:val="20"/>
              </w:rPr>
              <w:t>cogs</w:t>
            </w:r>
          </w:p>
        </w:tc>
        <w:tc>
          <w:tcPr>
            <w:tcW w:type="dxa" w:w="1872"/>
            <w:shd w:val="clear" w:color="auto" w:fill="EEF2FF"/>
          </w:tcPr>
          <w:p>
            <w:r>
              <w:rPr>
                <w:rFonts w:ascii="Calibri" w:hAnsi="Calibri"/>
                <w:sz w:val="20"/>
              </w:rPr>
              <w:t>Float (float64)</w:t>
            </w:r>
          </w:p>
        </w:tc>
        <w:tc>
          <w:tcPr>
            <w:tcW w:type="dxa" w:w="1440"/>
            <w:shd w:val="clear" w:color="auto" w:fill="EEF2FF"/>
          </w:tcPr>
          <w:p>
            <w:r>
              <w:rPr>
                <w:rFonts w:ascii="Calibri" w:hAnsi="Calibri"/>
                <w:sz w:val="20"/>
              </w:rPr>
              <w:t>Numerical</w:t>
            </w:r>
          </w:p>
        </w:tc>
        <w:tc>
          <w:tcPr>
            <w:tcW w:type="dxa" w:w="4464"/>
            <w:shd w:val="clear" w:color="auto" w:fill="EEF2FF"/>
          </w:tcPr>
          <w:p>
            <w:r>
              <w:rPr>
                <w:rFonts w:ascii="Calibri" w:hAnsi="Calibri"/>
                <w:sz w:val="20"/>
              </w:rPr>
              <w:t>Cost of Goods Sold (Sales minus gross income)</w:t>
            </w:r>
          </w:p>
        </w:tc>
      </w:tr>
      <w:tr>
        <w:tc>
          <w:tcPr>
            <w:tcW w:type="dxa" w:w="2304"/>
          </w:tcPr>
          <w:p>
            <w:r>
              <w:rPr>
                <w:rFonts w:ascii="Calibri" w:hAnsi="Calibri"/>
                <w:sz w:val="20"/>
              </w:rPr>
              <w:t>gross margin percentage</w:t>
            </w:r>
          </w:p>
        </w:tc>
        <w:tc>
          <w:tcPr>
            <w:tcW w:type="dxa" w:w="1872"/>
          </w:tcPr>
          <w:p>
            <w:r>
              <w:rPr>
                <w:rFonts w:ascii="Calibri" w:hAnsi="Calibri"/>
                <w:sz w:val="20"/>
              </w:rPr>
              <w:t>Float (float64)</w:t>
            </w:r>
          </w:p>
        </w:tc>
        <w:tc>
          <w:tcPr>
            <w:tcW w:type="dxa" w:w="1440"/>
          </w:tcPr>
          <w:p>
            <w:r>
              <w:rPr>
                <w:rFonts w:ascii="Calibri" w:hAnsi="Calibri"/>
                <w:sz w:val="20"/>
              </w:rPr>
              <w:t>Numerical</w:t>
            </w:r>
          </w:p>
        </w:tc>
        <w:tc>
          <w:tcPr>
            <w:tcW w:type="dxa" w:w="4464"/>
          </w:tcPr>
          <w:p>
            <w:r>
              <w:rPr>
                <w:rFonts w:ascii="Calibri" w:hAnsi="Calibri"/>
                <w:sz w:val="20"/>
              </w:rPr>
              <w:t>Fixed gross margin: ~4.76% for all transactions</w:t>
            </w:r>
          </w:p>
        </w:tc>
      </w:tr>
      <w:tr>
        <w:tc>
          <w:tcPr>
            <w:tcW w:type="dxa" w:w="2304"/>
            <w:shd w:val="clear" w:color="auto" w:fill="EEF2FF"/>
          </w:tcPr>
          <w:p>
            <w:r>
              <w:rPr>
                <w:rFonts w:ascii="Calibri" w:hAnsi="Calibri"/>
                <w:sz w:val="20"/>
              </w:rPr>
              <w:t>gross income</w:t>
            </w:r>
          </w:p>
        </w:tc>
        <w:tc>
          <w:tcPr>
            <w:tcW w:type="dxa" w:w="1872"/>
            <w:shd w:val="clear" w:color="auto" w:fill="EEF2FF"/>
          </w:tcPr>
          <w:p>
            <w:r>
              <w:rPr>
                <w:rFonts w:ascii="Calibri" w:hAnsi="Calibri"/>
                <w:sz w:val="20"/>
              </w:rPr>
              <w:t>Float (float64)</w:t>
            </w:r>
          </w:p>
        </w:tc>
        <w:tc>
          <w:tcPr>
            <w:tcW w:type="dxa" w:w="1440"/>
            <w:shd w:val="clear" w:color="auto" w:fill="EEF2FF"/>
          </w:tcPr>
          <w:p>
            <w:r>
              <w:rPr>
                <w:rFonts w:ascii="Calibri" w:hAnsi="Calibri"/>
                <w:sz w:val="20"/>
              </w:rPr>
              <w:t>Numerical</w:t>
            </w:r>
          </w:p>
        </w:tc>
        <w:tc>
          <w:tcPr>
            <w:tcW w:type="dxa" w:w="4464"/>
            <w:shd w:val="clear" w:color="auto" w:fill="EEF2FF"/>
          </w:tcPr>
          <w:p>
            <w:r>
              <w:rPr>
                <w:rFonts w:ascii="Calibri" w:hAnsi="Calibri"/>
                <w:sz w:val="20"/>
              </w:rPr>
              <w:t>Gross income earned per transaction (= Tax 5% amount)</w:t>
            </w:r>
          </w:p>
        </w:tc>
      </w:tr>
      <w:tr>
        <w:tc>
          <w:tcPr>
            <w:tcW w:type="dxa" w:w="2304"/>
          </w:tcPr>
          <w:p>
            <w:r>
              <w:rPr>
                <w:rFonts w:ascii="Calibri" w:hAnsi="Calibri"/>
                <w:sz w:val="20"/>
              </w:rPr>
              <w:t>Rating</w:t>
            </w:r>
          </w:p>
        </w:tc>
        <w:tc>
          <w:tcPr>
            <w:tcW w:type="dxa" w:w="1872"/>
          </w:tcPr>
          <w:p>
            <w:r>
              <w:rPr>
                <w:rFonts w:ascii="Calibri" w:hAnsi="Calibri"/>
                <w:sz w:val="20"/>
              </w:rPr>
              <w:t>Float (float64)</w:t>
            </w:r>
          </w:p>
        </w:tc>
        <w:tc>
          <w:tcPr>
            <w:tcW w:type="dxa" w:w="1440"/>
          </w:tcPr>
          <w:p>
            <w:r>
              <w:rPr>
                <w:rFonts w:ascii="Calibri" w:hAnsi="Calibri"/>
                <w:sz w:val="20"/>
              </w:rPr>
              <w:t>Numerical</w:t>
            </w:r>
          </w:p>
        </w:tc>
        <w:tc>
          <w:tcPr>
            <w:tcW w:type="dxa" w:w="4464"/>
          </w:tcPr>
          <w:p>
            <w:r>
              <w:rPr>
                <w:rFonts w:ascii="Calibri" w:hAnsi="Calibri"/>
                <w:sz w:val="20"/>
              </w:rPr>
              <w:t>Customer satisfaction rating (4.0 – 10.0 scale)</w:t>
            </w:r>
          </w:p>
        </w:tc>
      </w:tr>
    </w:tbl>
    <w:p/>
    <w:p>
      <w:pPr>
        <w:spacing w:after="160"/>
        <w:jc w:val="center"/>
      </w:pPr>
      <w:r>
        <w:rPr>
          <w:rFonts w:ascii="Calibri" w:hAnsi="Calibri"/>
          <w:i/>
          <w:color w:val="555555"/>
          <w:sz w:val="18"/>
        </w:rPr>
        <w:t>Table 5.1: Dataset Column Dictionary (SuperMarket Analysis.csv)</w:t>
      </w:r>
    </w:p>
    <w:p>
      <w:pPr>
        <w:pStyle w:val="Heading2"/>
        <w:spacing w:before="240" w:after="80"/>
      </w:pPr>
      <w:r>
        <w:rPr>
          <w:color w:val="2C3E7A"/>
        </w:rPr>
        <w:t>5.3 Dataset Statistics Summary</w:t>
      </w:r>
    </w:p>
    <w:tbl>
      <w:tblPr>
        <w:tblStyle w:val="TableGrid"/>
        <w:tblW w:type="auto" w:w="0"/>
        <w:jc w:val="center"/>
        <w:tblLook w:firstColumn="1" w:firstRow="1" w:lastColumn="0" w:lastRow="0" w:noHBand="0" w:noVBand="1" w:val="04A0"/>
      </w:tblPr>
      <w:tblGrid>
        <w:gridCol w:w="4153"/>
        <w:gridCol w:w="4153"/>
      </w:tblGrid>
      <w:tr>
        <w:tc>
          <w:tcPr>
            <w:tcW w:type="dxa" w:w="5040"/>
            <w:shd w:val="clear" w:color="auto" w:fill="1A1A6E"/>
            <w:vAlign w:val="center"/>
          </w:tcPr>
          <w:p>
            <w:pPr>
              <w:jc w:val="center"/>
            </w:pPr>
            <w:r>
              <w:rPr>
                <w:b/>
                <w:color w:val="FFFFFF"/>
                <w:sz w:val="20"/>
              </w:rPr>
              <w:t>Metric</w:t>
            </w:r>
          </w:p>
        </w:tc>
        <w:tc>
          <w:tcPr>
            <w:tcW w:type="dxa" w:w="5040"/>
            <w:shd w:val="clear" w:color="auto" w:fill="1A1A6E"/>
            <w:vAlign w:val="center"/>
          </w:tcPr>
          <w:p>
            <w:pPr>
              <w:jc w:val="center"/>
            </w:pPr>
            <w:r>
              <w:rPr>
                <w:b/>
                <w:color w:val="FFFFFF"/>
                <w:sz w:val="20"/>
              </w:rPr>
              <w:t>Value</w:t>
            </w:r>
          </w:p>
        </w:tc>
      </w:tr>
      <w:tr>
        <w:tc>
          <w:tcPr>
            <w:tcW w:type="dxa" w:w="5040"/>
          </w:tcPr>
          <w:p>
            <w:r>
              <w:rPr>
                <w:rFonts w:ascii="Calibri" w:hAnsi="Calibri"/>
                <w:sz w:val="20"/>
              </w:rPr>
              <w:t>Total Rows (Transactions)</w:t>
            </w:r>
          </w:p>
        </w:tc>
        <w:tc>
          <w:tcPr>
            <w:tcW w:type="dxa" w:w="5040"/>
          </w:tcPr>
          <w:p>
            <w:r>
              <w:rPr>
                <w:rFonts w:ascii="Calibri" w:hAnsi="Calibri"/>
                <w:sz w:val="20"/>
              </w:rPr>
              <w:t>1,000</w:t>
            </w:r>
          </w:p>
        </w:tc>
      </w:tr>
      <w:tr>
        <w:tc>
          <w:tcPr>
            <w:tcW w:type="dxa" w:w="5040"/>
            <w:shd w:val="clear" w:color="auto" w:fill="EEF2FF"/>
          </w:tcPr>
          <w:p>
            <w:r>
              <w:rPr>
                <w:rFonts w:ascii="Calibri" w:hAnsi="Calibri"/>
                <w:sz w:val="20"/>
              </w:rPr>
              <w:t>Total Columns</w:t>
            </w:r>
          </w:p>
        </w:tc>
        <w:tc>
          <w:tcPr>
            <w:tcW w:type="dxa" w:w="5040"/>
            <w:shd w:val="clear" w:color="auto" w:fill="EEF2FF"/>
          </w:tcPr>
          <w:p>
            <w:r>
              <w:rPr>
                <w:rFonts w:ascii="Calibri" w:hAnsi="Calibri"/>
                <w:sz w:val="20"/>
              </w:rPr>
              <w:t>17</w:t>
            </w:r>
          </w:p>
        </w:tc>
      </w:tr>
      <w:tr>
        <w:tc>
          <w:tcPr>
            <w:tcW w:type="dxa" w:w="5040"/>
          </w:tcPr>
          <w:p>
            <w:r>
              <w:rPr>
                <w:rFonts w:ascii="Calibri" w:hAnsi="Calibri"/>
                <w:sz w:val="20"/>
              </w:rPr>
              <w:t>Date Range</w:t>
            </w:r>
          </w:p>
        </w:tc>
        <w:tc>
          <w:tcPr>
            <w:tcW w:type="dxa" w:w="5040"/>
          </w:tcPr>
          <w:p>
            <w:r>
              <w:rPr>
                <w:rFonts w:ascii="Calibri" w:hAnsi="Calibri"/>
                <w:sz w:val="20"/>
              </w:rPr>
              <w:t>January 01, 2019 to March 30, 2019</w:t>
            </w:r>
          </w:p>
        </w:tc>
      </w:tr>
      <w:tr>
        <w:tc>
          <w:tcPr>
            <w:tcW w:type="dxa" w:w="5040"/>
            <w:shd w:val="clear" w:color="auto" w:fill="EEF2FF"/>
          </w:tcPr>
          <w:p>
            <w:r>
              <w:rPr>
                <w:rFonts w:ascii="Calibri" w:hAnsi="Calibri"/>
                <w:sz w:val="20"/>
              </w:rPr>
              <w:t>Missing Values</w:t>
            </w:r>
          </w:p>
        </w:tc>
        <w:tc>
          <w:tcPr>
            <w:tcW w:type="dxa" w:w="5040"/>
            <w:shd w:val="clear" w:color="auto" w:fill="EEF2FF"/>
          </w:tcPr>
          <w:p>
            <w:r>
              <w:rPr>
                <w:rFonts w:ascii="Calibri" w:hAnsi="Calibri"/>
                <w:sz w:val="20"/>
              </w:rPr>
              <w:t>0 (0%)</w:t>
            </w:r>
          </w:p>
        </w:tc>
      </w:tr>
      <w:tr>
        <w:tc>
          <w:tcPr>
            <w:tcW w:type="dxa" w:w="5040"/>
          </w:tcPr>
          <w:p>
            <w:r>
              <w:rPr>
                <w:rFonts w:ascii="Calibri" w:hAnsi="Calibri"/>
                <w:sz w:val="20"/>
              </w:rPr>
              <w:t>Duplicate Rows</w:t>
            </w:r>
          </w:p>
        </w:tc>
        <w:tc>
          <w:tcPr>
            <w:tcW w:type="dxa" w:w="5040"/>
          </w:tcPr>
          <w:p>
            <w:r>
              <w:rPr>
                <w:rFonts w:ascii="Calibri" w:hAnsi="Calibri"/>
                <w:sz w:val="20"/>
              </w:rPr>
              <w:t>0</w:t>
            </w:r>
          </w:p>
        </w:tc>
      </w:tr>
      <w:tr>
        <w:tc>
          <w:tcPr>
            <w:tcW w:type="dxa" w:w="5040"/>
            <w:shd w:val="clear" w:color="auto" w:fill="EEF2FF"/>
          </w:tcPr>
          <w:p>
            <w:r>
              <w:rPr>
                <w:rFonts w:ascii="Calibri" w:hAnsi="Calibri"/>
                <w:sz w:val="20"/>
              </w:rPr>
              <w:t>Branches</w:t>
            </w:r>
          </w:p>
        </w:tc>
        <w:tc>
          <w:tcPr>
            <w:tcW w:type="dxa" w:w="5040"/>
            <w:shd w:val="clear" w:color="auto" w:fill="EEF2FF"/>
          </w:tcPr>
          <w:p>
            <w:r>
              <w:rPr>
                <w:rFonts w:ascii="Calibri" w:hAnsi="Calibri"/>
                <w:sz w:val="20"/>
              </w:rPr>
              <w:t>3 (Alex, Giza, Cairo)</w:t>
            </w:r>
          </w:p>
        </w:tc>
      </w:tr>
      <w:tr>
        <w:tc>
          <w:tcPr>
            <w:tcW w:type="dxa" w:w="5040"/>
          </w:tcPr>
          <w:p>
            <w:r>
              <w:rPr>
                <w:rFonts w:ascii="Calibri" w:hAnsi="Calibri"/>
                <w:sz w:val="20"/>
              </w:rPr>
              <w:t>Cities</w:t>
            </w:r>
          </w:p>
        </w:tc>
        <w:tc>
          <w:tcPr>
            <w:tcW w:type="dxa" w:w="5040"/>
          </w:tcPr>
          <w:p>
            <w:r>
              <w:rPr>
                <w:rFonts w:ascii="Calibri" w:hAnsi="Calibri"/>
                <w:sz w:val="20"/>
              </w:rPr>
              <w:t>3 (Yangon, Naypyitaw, Mandalay)</w:t>
            </w:r>
          </w:p>
        </w:tc>
      </w:tr>
      <w:tr>
        <w:tc>
          <w:tcPr>
            <w:tcW w:type="dxa" w:w="5040"/>
            <w:shd w:val="clear" w:color="auto" w:fill="EEF2FF"/>
          </w:tcPr>
          <w:p>
            <w:r>
              <w:rPr>
                <w:rFonts w:ascii="Calibri" w:hAnsi="Calibri"/>
                <w:sz w:val="20"/>
              </w:rPr>
              <w:t>Product Lines</w:t>
            </w:r>
          </w:p>
        </w:tc>
        <w:tc>
          <w:tcPr>
            <w:tcW w:type="dxa" w:w="5040"/>
            <w:shd w:val="clear" w:color="auto" w:fill="EEF2FF"/>
          </w:tcPr>
          <w:p>
            <w:r>
              <w:rPr>
                <w:rFonts w:ascii="Calibri" w:hAnsi="Calibri"/>
                <w:sz w:val="20"/>
              </w:rPr>
              <w:t>6</w:t>
            </w:r>
          </w:p>
        </w:tc>
      </w:tr>
      <w:tr>
        <w:tc>
          <w:tcPr>
            <w:tcW w:type="dxa" w:w="5040"/>
          </w:tcPr>
          <w:p>
            <w:r>
              <w:rPr>
                <w:rFonts w:ascii="Calibri" w:hAnsi="Calibri"/>
                <w:sz w:val="20"/>
              </w:rPr>
              <w:t>Customer Types</w:t>
            </w:r>
          </w:p>
        </w:tc>
        <w:tc>
          <w:tcPr>
            <w:tcW w:type="dxa" w:w="5040"/>
          </w:tcPr>
          <w:p>
            <w:r>
              <w:rPr>
                <w:rFonts w:ascii="Calibri" w:hAnsi="Calibri"/>
                <w:sz w:val="20"/>
              </w:rPr>
              <w:t>2 (Member, Normal)</w:t>
            </w:r>
          </w:p>
        </w:tc>
      </w:tr>
      <w:tr>
        <w:tc>
          <w:tcPr>
            <w:tcW w:type="dxa" w:w="5040"/>
            <w:shd w:val="clear" w:color="auto" w:fill="EEF2FF"/>
          </w:tcPr>
          <w:p>
            <w:r>
              <w:rPr>
                <w:rFonts w:ascii="Calibri" w:hAnsi="Calibri"/>
                <w:sz w:val="20"/>
              </w:rPr>
              <w:t>Genders</w:t>
            </w:r>
          </w:p>
        </w:tc>
        <w:tc>
          <w:tcPr>
            <w:tcW w:type="dxa" w:w="5040"/>
            <w:shd w:val="clear" w:color="auto" w:fill="EEF2FF"/>
          </w:tcPr>
          <w:p>
            <w:r>
              <w:rPr>
                <w:rFonts w:ascii="Calibri" w:hAnsi="Calibri"/>
                <w:sz w:val="20"/>
              </w:rPr>
              <w:t>2 (Female, Male)</w:t>
            </w:r>
          </w:p>
        </w:tc>
      </w:tr>
      <w:tr>
        <w:tc>
          <w:tcPr>
            <w:tcW w:type="dxa" w:w="5040"/>
          </w:tcPr>
          <w:p>
            <w:r>
              <w:rPr>
                <w:rFonts w:ascii="Calibri" w:hAnsi="Calibri"/>
                <w:sz w:val="20"/>
              </w:rPr>
              <w:t>Payment Methods</w:t>
            </w:r>
          </w:p>
        </w:tc>
        <w:tc>
          <w:tcPr>
            <w:tcW w:type="dxa" w:w="5040"/>
          </w:tcPr>
          <w:p>
            <w:r>
              <w:rPr>
                <w:rFonts w:ascii="Calibri" w:hAnsi="Calibri"/>
                <w:sz w:val="20"/>
              </w:rPr>
              <w:t>3 (Ewallet, Cash, Credit card)</w:t>
            </w:r>
          </w:p>
        </w:tc>
      </w:tr>
      <w:tr>
        <w:tc>
          <w:tcPr>
            <w:tcW w:type="dxa" w:w="5040"/>
            <w:shd w:val="clear" w:color="auto" w:fill="EEF2FF"/>
          </w:tcPr>
          <w:p>
            <w:r>
              <w:rPr>
                <w:rFonts w:ascii="Calibri" w:hAnsi="Calibri"/>
                <w:sz w:val="20"/>
              </w:rPr>
              <w:t>Unit Price Range</w:t>
            </w:r>
          </w:p>
        </w:tc>
        <w:tc>
          <w:tcPr>
            <w:tcW w:type="dxa" w:w="5040"/>
            <w:shd w:val="clear" w:color="auto" w:fill="EEF2FF"/>
          </w:tcPr>
          <w:p>
            <w:r>
              <w:rPr>
                <w:rFonts w:ascii="Calibri" w:hAnsi="Calibri"/>
                <w:sz w:val="20"/>
              </w:rPr>
              <w:t>$10.08 – $99.96</w:t>
            </w:r>
          </w:p>
        </w:tc>
      </w:tr>
      <w:tr>
        <w:tc>
          <w:tcPr>
            <w:tcW w:type="dxa" w:w="5040"/>
          </w:tcPr>
          <w:p>
            <w:r>
              <w:rPr>
                <w:rFonts w:ascii="Calibri" w:hAnsi="Calibri"/>
                <w:sz w:val="20"/>
              </w:rPr>
              <w:t>Total Sales (All Transactions)</w:t>
            </w:r>
          </w:p>
        </w:tc>
        <w:tc>
          <w:tcPr>
            <w:tcW w:type="dxa" w:w="5040"/>
          </w:tcPr>
          <w:p>
            <w:r>
              <w:rPr>
                <w:rFonts w:ascii="Calibri" w:hAnsi="Calibri"/>
                <w:sz w:val="20"/>
              </w:rPr>
              <w:t>$322,966.75</w:t>
            </w:r>
          </w:p>
        </w:tc>
      </w:tr>
      <w:tr>
        <w:tc>
          <w:tcPr>
            <w:tcW w:type="dxa" w:w="5040"/>
            <w:shd w:val="clear" w:color="auto" w:fill="EEF2FF"/>
          </w:tcPr>
          <w:p>
            <w:r>
              <w:rPr>
                <w:rFonts w:ascii="Calibri" w:hAnsi="Calibri"/>
                <w:sz w:val="20"/>
              </w:rPr>
              <w:t>Total Gross Income</w:t>
            </w:r>
          </w:p>
        </w:tc>
        <w:tc>
          <w:tcPr>
            <w:tcW w:type="dxa" w:w="5040"/>
            <w:shd w:val="clear" w:color="auto" w:fill="EEF2FF"/>
          </w:tcPr>
          <w:p>
            <w:r>
              <w:rPr>
                <w:rFonts w:ascii="Calibri" w:hAnsi="Calibri"/>
                <w:sz w:val="20"/>
              </w:rPr>
              <w:t>$15,379.37</w:t>
            </w:r>
          </w:p>
        </w:tc>
      </w:tr>
      <w:tr>
        <w:tc>
          <w:tcPr>
            <w:tcW w:type="dxa" w:w="5040"/>
          </w:tcPr>
          <w:p>
            <w:r>
              <w:rPr>
                <w:rFonts w:ascii="Calibri" w:hAnsi="Calibri"/>
                <w:sz w:val="20"/>
              </w:rPr>
              <w:t>Total COGS</w:t>
            </w:r>
          </w:p>
        </w:tc>
        <w:tc>
          <w:tcPr>
            <w:tcW w:type="dxa" w:w="5040"/>
          </w:tcPr>
          <w:p>
            <w:r>
              <w:rPr>
                <w:rFonts w:ascii="Calibri" w:hAnsi="Calibri"/>
                <w:sz w:val="20"/>
              </w:rPr>
              <w:t>$307,587.38</w:t>
            </w:r>
          </w:p>
        </w:tc>
      </w:tr>
      <w:tr>
        <w:tc>
          <w:tcPr>
            <w:tcW w:type="dxa" w:w="5040"/>
            <w:shd w:val="clear" w:color="auto" w:fill="EEF2FF"/>
          </w:tcPr>
          <w:p>
            <w:r>
              <w:rPr>
                <w:rFonts w:ascii="Calibri" w:hAnsi="Calibri"/>
                <w:sz w:val="20"/>
              </w:rPr>
              <w:t>Gross Margin % (Fixed)</w:t>
            </w:r>
          </w:p>
        </w:tc>
        <w:tc>
          <w:tcPr>
            <w:tcW w:type="dxa" w:w="5040"/>
            <w:shd w:val="clear" w:color="auto" w:fill="EEF2FF"/>
          </w:tcPr>
          <w:p>
            <w:r>
              <w:rPr>
                <w:rFonts w:ascii="Calibri" w:hAnsi="Calibri"/>
                <w:sz w:val="20"/>
              </w:rPr>
              <w:t>4.7619%</w:t>
            </w:r>
          </w:p>
        </w:tc>
      </w:tr>
      <w:tr>
        <w:tc>
          <w:tcPr>
            <w:tcW w:type="dxa" w:w="5040"/>
          </w:tcPr>
          <w:p>
            <w:r>
              <w:rPr>
                <w:rFonts w:ascii="Calibri" w:hAnsi="Calibri"/>
                <w:sz w:val="20"/>
              </w:rPr>
              <w:t>Total Quantity Sold</w:t>
            </w:r>
          </w:p>
        </w:tc>
        <w:tc>
          <w:tcPr>
            <w:tcW w:type="dxa" w:w="5040"/>
          </w:tcPr>
          <w:p>
            <w:r>
              <w:rPr>
                <w:rFonts w:ascii="Calibri" w:hAnsi="Calibri"/>
                <w:sz w:val="20"/>
              </w:rPr>
              <w:t>5,510 units</w:t>
            </w:r>
          </w:p>
        </w:tc>
      </w:tr>
      <w:tr>
        <w:tc>
          <w:tcPr>
            <w:tcW w:type="dxa" w:w="5040"/>
            <w:shd w:val="clear" w:color="auto" w:fill="EEF2FF"/>
          </w:tcPr>
          <w:p>
            <w:r>
              <w:rPr>
                <w:rFonts w:ascii="Calibri" w:hAnsi="Calibri"/>
                <w:sz w:val="20"/>
              </w:rPr>
              <w:t>Average Rating</w:t>
            </w:r>
          </w:p>
        </w:tc>
        <w:tc>
          <w:tcPr>
            <w:tcW w:type="dxa" w:w="5040"/>
            <w:shd w:val="clear" w:color="auto" w:fill="EEF2FF"/>
          </w:tcPr>
          <w:p>
            <w:r>
              <w:rPr>
                <w:rFonts w:ascii="Calibri" w:hAnsi="Calibri"/>
                <w:sz w:val="20"/>
              </w:rPr>
              <w:t>6.97 / 10</w:t>
            </w:r>
          </w:p>
        </w:tc>
      </w:tr>
    </w:tbl>
    <w:p/>
    <w:p>
      <w:pPr>
        <w:spacing w:after="160"/>
        <w:jc w:val="center"/>
      </w:pPr>
      <w:r>
        <w:rPr>
          <w:rFonts w:ascii="Calibri" w:hAnsi="Calibri"/>
          <w:i/>
          <w:color w:val="555555"/>
          <w:sz w:val="18"/>
        </w:rPr>
        <w:t>Table 5.2: Key Dataset Statistics (Calculated from actual CSV)</w:t>
      </w:r>
    </w:p>
    <w:p>
      <w:r>
        <w:br w:type="page"/>
      </w:r>
    </w:p>
    <w:p>
      <w:pPr>
        <w:pStyle w:val="Heading1"/>
        <w:spacing w:before="360" w:after="120"/>
      </w:pPr>
      <w:r>
        <w:rPr>
          <w:color w:val="1A1A6E"/>
        </w:rPr>
        <w:t>6. Technologies Used</w:t>
      </w:r>
    </w:p>
    <w:p>
      <w:pPr>
        <w:spacing w:after="120" w:line="360" w:lineRule="auto"/>
      </w:pPr>
      <w:r>
        <w:rPr>
          <w:rFonts w:ascii="Calibri" w:hAnsi="Calibri"/>
          <w:b w:val="0"/>
          <w:i w:val="0"/>
          <w:sz w:val="22"/>
        </w:rPr>
        <w:t>The project uses the following technologies, as declared in requirements.txt and the source code:</w:t>
      </w:r>
    </w:p>
    <w:tbl>
      <w:tblPr>
        <w:tblStyle w:val="TableGrid"/>
        <w:tblW w:type="auto" w:w="0"/>
        <w:jc w:val="center"/>
        <w:tblLook w:firstColumn="1" w:firstRow="1" w:lastColumn="0" w:lastRow="0" w:noHBand="0" w:noVBand="1" w:val="04A0"/>
      </w:tblPr>
      <w:tblGrid>
        <w:gridCol w:w="2769"/>
        <w:gridCol w:w="2769"/>
        <w:gridCol w:w="2769"/>
      </w:tblGrid>
      <w:tr>
        <w:tc>
          <w:tcPr>
            <w:tcW w:type="dxa" w:w="2592"/>
            <w:shd w:val="clear" w:color="auto" w:fill="1A1A6E"/>
            <w:vAlign w:val="center"/>
          </w:tcPr>
          <w:p>
            <w:pPr>
              <w:jc w:val="center"/>
            </w:pPr>
            <w:r>
              <w:rPr>
                <w:b/>
                <w:color w:val="FFFFFF"/>
                <w:sz w:val="20"/>
              </w:rPr>
              <w:t>Technology</w:t>
            </w:r>
          </w:p>
        </w:tc>
        <w:tc>
          <w:tcPr>
            <w:tcW w:type="dxa" w:w="2592"/>
            <w:shd w:val="clear" w:color="auto" w:fill="1A1A6E"/>
            <w:vAlign w:val="center"/>
          </w:tcPr>
          <w:p>
            <w:pPr>
              <w:jc w:val="center"/>
            </w:pPr>
            <w:r>
              <w:rPr>
                <w:b/>
                <w:color w:val="FFFFFF"/>
                <w:sz w:val="20"/>
              </w:rPr>
              <w:t>Version (requirements.txt)</w:t>
            </w:r>
          </w:p>
        </w:tc>
        <w:tc>
          <w:tcPr>
            <w:tcW w:type="dxa" w:w="4896"/>
            <w:shd w:val="clear" w:color="auto" w:fill="1A1A6E"/>
            <w:vAlign w:val="center"/>
          </w:tcPr>
          <w:p>
            <w:pPr>
              <w:jc w:val="center"/>
            </w:pPr>
            <w:r>
              <w:rPr>
                <w:b/>
                <w:color w:val="FFFFFF"/>
                <w:sz w:val="20"/>
              </w:rPr>
              <w:t>Role in Project</w:t>
            </w:r>
          </w:p>
        </w:tc>
      </w:tr>
      <w:tr>
        <w:tc>
          <w:tcPr>
            <w:tcW w:type="dxa" w:w="2592"/>
          </w:tcPr>
          <w:p>
            <w:r>
              <w:rPr>
                <w:rFonts w:ascii="Calibri" w:hAnsi="Calibri"/>
                <w:sz w:val="20"/>
              </w:rPr>
              <w:t>Python</w:t>
            </w:r>
          </w:p>
        </w:tc>
        <w:tc>
          <w:tcPr>
            <w:tcW w:type="dxa" w:w="2592"/>
          </w:tcPr>
          <w:p>
            <w:r>
              <w:rPr>
                <w:rFonts w:ascii="Calibri" w:hAnsi="Calibri"/>
                <w:sz w:val="20"/>
              </w:rPr>
              <w:t>3.9+</w:t>
            </w:r>
          </w:p>
        </w:tc>
        <w:tc>
          <w:tcPr>
            <w:tcW w:type="dxa" w:w="4896"/>
          </w:tcPr>
          <w:p>
            <w:r>
              <w:rPr>
                <w:rFonts w:ascii="Calibri" w:hAnsi="Calibri"/>
                <w:sz w:val="20"/>
              </w:rPr>
              <w:t>Core programming language</w:t>
            </w:r>
          </w:p>
        </w:tc>
      </w:tr>
      <w:tr>
        <w:tc>
          <w:tcPr>
            <w:tcW w:type="dxa" w:w="2592"/>
            <w:shd w:val="clear" w:color="auto" w:fill="EEF2FF"/>
          </w:tcPr>
          <w:p>
            <w:r>
              <w:rPr>
                <w:rFonts w:ascii="Calibri" w:hAnsi="Calibri"/>
                <w:sz w:val="20"/>
              </w:rPr>
              <w:t>Streamlit</w:t>
            </w:r>
          </w:p>
        </w:tc>
        <w:tc>
          <w:tcPr>
            <w:tcW w:type="dxa" w:w="2592"/>
            <w:shd w:val="clear" w:color="auto" w:fill="EEF2FF"/>
          </w:tcPr>
          <w:p>
            <w:r>
              <w:rPr>
                <w:rFonts w:ascii="Calibri" w:hAnsi="Calibri"/>
                <w:sz w:val="20"/>
              </w:rPr>
              <w:t>≥ 1.32.0</w:t>
            </w:r>
          </w:p>
        </w:tc>
        <w:tc>
          <w:tcPr>
            <w:tcW w:type="dxa" w:w="4896"/>
            <w:shd w:val="clear" w:color="auto" w:fill="EEF2FF"/>
          </w:tcPr>
          <w:p>
            <w:r>
              <w:rPr>
                <w:rFonts w:ascii="Calibri" w:hAnsi="Calibri"/>
                <w:sz w:val="20"/>
              </w:rPr>
              <w:t>Web dashboard framework — interactive UI, tabs, sidebar, widgets</w:t>
            </w:r>
          </w:p>
        </w:tc>
      </w:tr>
      <w:tr>
        <w:tc>
          <w:tcPr>
            <w:tcW w:type="dxa" w:w="2592"/>
          </w:tcPr>
          <w:p>
            <w:r>
              <w:rPr>
                <w:rFonts w:ascii="Calibri" w:hAnsi="Calibri"/>
                <w:sz w:val="20"/>
              </w:rPr>
              <w:t>Pandas</w:t>
            </w:r>
          </w:p>
        </w:tc>
        <w:tc>
          <w:tcPr>
            <w:tcW w:type="dxa" w:w="2592"/>
          </w:tcPr>
          <w:p>
            <w:r>
              <w:rPr>
                <w:rFonts w:ascii="Calibri" w:hAnsi="Calibri"/>
                <w:sz w:val="20"/>
              </w:rPr>
              <w:t>≥ 2.0.0</w:t>
            </w:r>
          </w:p>
        </w:tc>
        <w:tc>
          <w:tcPr>
            <w:tcW w:type="dxa" w:w="4896"/>
          </w:tcPr>
          <w:p>
            <w:r>
              <w:rPr>
                <w:rFonts w:ascii="Calibri" w:hAnsi="Calibri"/>
                <w:sz w:val="20"/>
              </w:rPr>
              <w:t>Data loading, cleaning, manipulation, and aggregation</w:t>
            </w:r>
          </w:p>
        </w:tc>
      </w:tr>
      <w:tr>
        <w:tc>
          <w:tcPr>
            <w:tcW w:type="dxa" w:w="2592"/>
            <w:shd w:val="clear" w:color="auto" w:fill="EEF2FF"/>
          </w:tcPr>
          <w:p>
            <w:r>
              <w:rPr>
                <w:rFonts w:ascii="Calibri" w:hAnsi="Calibri"/>
                <w:sz w:val="20"/>
              </w:rPr>
              <w:t>NumPy</w:t>
            </w:r>
          </w:p>
        </w:tc>
        <w:tc>
          <w:tcPr>
            <w:tcW w:type="dxa" w:w="2592"/>
            <w:shd w:val="clear" w:color="auto" w:fill="EEF2FF"/>
          </w:tcPr>
          <w:p>
            <w:r>
              <w:rPr>
                <w:rFonts w:ascii="Calibri" w:hAnsi="Calibri"/>
                <w:sz w:val="20"/>
              </w:rPr>
              <w:t>≥ 1.24.0</w:t>
            </w:r>
          </w:p>
        </w:tc>
        <w:tc>
          <w:tcPr>
            <w:tcW w:type="dxa" w:w="4896"/>
            <w:shd w:val="clear" w:color="auto" w:fill="EEF2FF"/>
          </w:tcPr>
          <w:p>
            <w:r>
              <w:rPr>
                <w:rFonts w:ascii="Calibri" w:hAnsi="Calibri"/>
                <w:sz w:val="20"/>
              </w:rPr>
              <w:t>Numerical computations and array operations</w:t>
            </w:r>
          </w:p>
        </w:tc>
      </w:tr>
      <w:tr>
        <w:tc>
          <w:tcPr>
            <w:tcW w:type="dxa" w:w="2592"/>
          </w:tcPr>
          <w:p>
            <w:r>
              <w:rPr>
                <w:rFonts w:ascii="Calibri" w:hAnsi="Calibri"/>
                <w:sz w:val="20"/>
              </w:rPr>
              <w:t>Plotly Express</w:t>
            </w:r>
          </w:p>
        </w:tc>
        <w:tc>
          <w:tcPr>
            <w:tcW w:type="dxa" w:w="2592"/>
          </w:tcPr>
          <w:p>
            <w:r>
              <w:rPr>
                <w:rFonts w:ascii="Calibri" w:hAnsi="Calibri"/>
                <w:sz w:val="20"/>
              </w:rPr>
              <w:t>≥ 5.18.0</w:t>
            </w:r>
          </w:p>
        </w:tc>
        <w:tc>
          <w:tcPr>
            <w:tcW w:type="dxa" w:w="4896"/>
          </w:tcPr>
          <w:p>
            <w:r>
              <w:rPr>
                <w:rFonts w:ascii="Calibri" w:hAnsi="Calibri"/>
                <w:sz w:val="20"/>
              </w:rPr>
              <w:t>High-level interactive chart generation</w:t>
            </w:r>
          </w:p>
        </w:tc>
      </w:tr>
      <w:tr>
        <w:tc>
          <w:tcPr>
            <w:tcW w:type="dxa" w:w="2592"/>
            <w:shd w:val="clear" w:color="auto" w:fill="EEF2FF"/>
          </w:tcPr>
          <w:p>
            <w:r>
              <w:rPr>
                <w:rFonts w:ascii="Calibri" w:hAnsi="Calibri"/>
                <w:sz w:val="20"/>
              </w:rPr>
              <w:t>Plotly Graph Objects</w:t>
            </w:r>
          </w:p>
        </w:tc>
        <w:tc>
          <w:tcPr>
            <w:tcW w:type="dxa" w:w="2592"/>
            <w:shd w:val="clear" w:color="auto" w:fill="EEF2FF"/>
          </w:tcPr>
          <w:p>
            <w:r>
              <w:rPr>
                <w:rFonts w:ascii="Calibri" w:hAnsi="Calibri"/>
                <w:sz w:val="20"/>
              </w:rPr>
              <w:t>≥ 5.18.0</w:t>
            </w:r>
          </w:p>
        </w:tc>
        <w:tc>
          <w:tcPr>
            <w:tcW w:type="dxa" w:w="4896"/>
            <w:shd w:val="clear" w:color="auto" w:fill="EEF2FF"/>
          </w:tcPr>
          <w:p>
            <w:r>
              <w:rPr>
                <w:rFonts w:ascii="Calibri" w:hAnsi="Calibri"/>
                <w:sz w:val="20"/>
              </w:rPr>
              <w:t>Low-level chart construction (Pareto, subplots, heatmap)</w:t>
            </w:r>
          </w:p>
        </w:tc>
      </w:tr>
      <w:tr>
        <w:tc>
          <w:tcPr>
            <w:tcW w:type="dxa" w:w="2592"/>
          </w:tcPr>
          <w:p>
            <w:r>
              <w:rPr>
                <w:rFonts w:ascii="Calibri" w:hAnsi="Calibri"/>
                <w:sz w:val="20"/>
              </w:rPr>
              <w:t>scikit-learn</w:t>
            </w:r>
          </w:p>
        </w:tc>
        <w:tc>
          <w:tcPr>
            <w:tcW w:type="dxa" w:w="2592"/>
          </w:tcPr>
          <w:p>
            <w:r>
              <w:rPr>
                <w:rFonts w:ascii="Calibri" w:hAnsi="Calibri"/>
                <w:sz w:val="20"/>
              </w:rPr>
              <w:t>≥ 1.3.0</w:t>
            </w:r>
          </w:p>
        </w:tc>
        <w:tc>
          <w:tcPr>
            <w:tcW w:type="dxa" w:w="4896"/>
          </w:tcPr>
          <w:p>
            <w:r>
              <w:rPr>
                <w:rFonts w:ascii="Calibri" w:hAnsi="Calibri"/>
                <w:sz w:val="20"/>
              </w:rPr>
              <w:t>MinMaxScaler used in branch performance visualisation</w:t>
            </w:r>
          </w:p>
        </w:tc>
      </w:tr>
      <w:tr>
        <w:tc>
          <w:tcPr>
            <w:tcW w:type="dxa" w:w="2592"/>
            <w:shd w:val="clear" w:color="auto" w:fill="EEF2FF"/>
          </w:tcPr>
          <w:p>
            <w:r>
              <w:rPr>
                <w:rFonts w:ascii="Calibri" w:hAnsi="Calibri"/>
                <w:sz w:val="20"/>
              </w:rPr>
              <w:t>statsmodels</w:t>
            </w:r>
          </w:p>
        </w:tc>
        <w:tc>
          <w:tcPr>
            <w:tcW w:type="dxa" w:w="2592"/>
            <w:shd w:val="clear" w:color="auto" w:fill="EEF2FF"/>
          </w:tcPr>
          <w:p>
            <w:r>
              <w:rPr>
                <w:rFonts w:ascii="Calibri" w:hAnsi="Calibri"/>
                <w:sz w:val="20"/>
              </w:rPr>
              <w:t>≥ 0.14.0</w:t>
            </w:r>
          </w:p>
        </w:tc>
        <w:tc>
          <w:tcPr>
            <w:tcW w:type="dxa" w:w="4896"/>
            <w:shd w:val="clear" w:color="auto" w:fill="EEF2FF"/>
          </w:tcPr>
          <w:p>
            <w:r>
              <w:rPr>
                <w:rFonts w:ascii="Calibri" w:hAnsi="Calibri"/>
                <w:sz w:val="20"/>
              </w:rPr>
              <w:t>Included in requirements for potential trendline support</w:t>
            </w:r>
          </w:p>
        </w:tc>
      </w:tr>
    </w:tbl>
    <w:p/>
    <w:p>
      <w:pPr>
        <w:spacing w:after="160"/>
        <w:jc w:val="center"/>
      </w:pPr>
      <w:r>
        <w:rPr>
          <w:rFonts w:ascii="Calibri" w:hAnsi="Calibri"/>
          <w:i/>
          <w:color w:val="555555"/>
          <w:sz w:val="18"/>
        </w:rPr>
        <w:t>Table 6.1: Technologies and Libraries Used</w:t>
      </w:r>
    </w:p>
    <w:p>
      <w:pPr>
        <w:spacing w:after="120" w:line="360" w:lineRule="auto"/>
      </w:pPr>
      <w:r>
        <w:rPr>
          <w:rFonts w:ascii="Calibri" w:hAnsi="Calibri"/>
          <w:b w:val="0"/>
          <w:i w:val="0"/>
          <w:sz w:val="22"/>
        </w:rPr>
        <w:t>The dashboard is entirely browser-based and runs locally via the Streamlit development server. No database server, cloud service, or additional infrastructure is required to run the application.</w:t>
      </w:r>
    </w:p>
    <w:p>
      <w:pPr>
        <w:pStyle w:val="Heading1"/>
        <w:spacing w:before="360" w:after="120"/>
      </w:pPr>
      <w:r>
        <w:rPr>
          <w:color w:val="1A1A6E"/>
        </w:rPr>
        <w:t>7. System Requirements</w:t>
      </w:r>
    </w:p>
    <w:p>
      <w:pPr>
        <w:pStyle w:val="Heading2"/>
        <w:spacing w:before="240" w:after="80"/>
      </w:pPr>
      <w:r>
        <w:rPr>
          <w:color w:val="2C3E7A"/>
        </w:rPr>
        <w:t>7.1 Software Requirements</w:t>
      </w:r>
    </w:p>
    <w:tbl>
      <w:tblPr>
        <w:tblStyle w:val="TableGrid"/>
        <w:tblW w:type="auto" w:w="0"/>
        <w:jc w:val="center"/>
        <w:tblLook w:firstColumn="1" w:firstRow="1" w:lastColumn="0" w:lastRow="0" w:noHBand="0" w:noVBand="1" w:val="04A0"/>
      </w:tblPr>
      <w:tblGrid>
        <w:gridCol w:w="4153"/>
        <w:gridCol w:w="4153"/>
      </w:tblGrid>
      <w:tr>
        <w:tc>
          <w:tcPr>
            <w:tcW w:type="dxa" w:w="3600"/>
            <w:shd w:val="clear" w:color="auto" w:fill="1A1A6E"/>
            <w:vAlign w:val="center"/>
          </w:tcPr>
          <w:p>
            <w:pPr>
              <w:jc w:val="center"/>
            </w:pPr>
            <w:r>
              <w:rPr>
                <w:b/>
                <w:color w:val="FFFFFF"/>
                <w:sz w:val="20"/>
              </w:rPr>
              <w:t>Component</w:t>
            </w:r>
          </w:p>
        </w:tc>
        <w:tc>
          <w:tcPr>
            <w:tcW w:type="dxa" w:w="6480"/>
            <w:shd w:val="clear" w:color="auto" w:fill="1A1A6E"/>
            <w:vAlign w:val="center"/>
          </w:tcPr>
          <w:p>
            <w:pPr>
              <w:jc w:val="center"/>
            </w:pPr>
            <w:r>
              <w:rPr>
                <w:b/>
                <w:color w:val="FFFFFF"/>
                <w:sz w:val="20"/>
              </w:rPr>
              <w:t>Requirement</w:t>
            </w:r>
          </w:p>
        </w:tc>
      </w:tr>
      <w:tr>
        <w:tc>
          <w:tcPr>
            <w:tcW w:type="dxa" w:w="3600"/>
          </w:tcPr>
          <w:p>
            <w:r>
              <w:rPr>
                <w:rFonts w:ascii="Calibri" w:hAnsi="Calibri"/>
                <w:sz w:val="20"/>
              </w:rPr>
              <w:t>Operating System</w:t>
            </w:r>
          </w:p>
        </w:tc>
        <w:tc>
          <w:tcPr>
            <w:tcW w:type="dxa" w:w="6480"/>
          </w:tcPr>
          <w:p>
            <w:r>
              <w:rPr>
                <w:rFonts w:ascii="Calibri" w:hAnsi="Calibri"/>
                <w:sz w:val="20"/>
              </w:rPr>
              <w:t>Windows 10/11, macOS 12+, or Linux (Ubuntu 20.04+)</w:t>
            </w:r>
          </w:p>
        </w:tc>
      </w:tr>
      <w:tr>
        <w:tc>
          <w:tcPr>
            <w:tcW w:type="dxa" w:w="3600"/>
            <w:shd w:val="clear" w:color="auto" w:fill="EEF2FF"/>
          </w:tcPr>
          <w:p>
            <w:r>
              <w:rPr>
                <w:rFonts w:ascii="Calibri" w:hAnsi="Calibri"/>
                <w:sz w:val="20"/>
              </w:rPr>
              <w:t>Python</w:t>
            </w:r>
          </w:p>
        </w:tc>
        <w:tc>
          <w:tcPr>
            <w:tcW w:type="dxa" w:w="6480"/>
            <w:shd w:val="clear" w:color="auto" w:fill="EEF2FF"/>
          </w:tcPr>
          <w:p>
            <w:r>
              <w:rPr>
                <w:rFonts w:ascii="Calibri" w:hAnsi="Calibri"/>
                <w:sz w:val="20"/>
              </w:rPr>
              <w:t>Version 3.9 or higher</w:t>
            </w:r>
          </w:p>
        </w:tc>
      </w:tr>
      <w:tr>
        <w:tc>
          <w:tcPr>
            <w:tcW w:type="dxa" w:w="3600"/>
          </w:tcPr>
          <w:p>
            <w:r>
              <w:rPr>
                <w:rFonts w:ascii="Calibri" w:hAnsi="Calibri"/>
                <w:sz w:val="20"/>
              </w:rPr>
              <w:t>Streamlit</w:t>
            </w:r>
          </w:p>
        </w:tc>
        <w:tc>
          <w:tcPr>
            <w:tcW w:type="dxa" w:w="6480"/>
          </w:tcPr>
          <w:p>
            <w:r>
              <w:rPr>
                <w:rFonts w:ascii="Calibri" w:hAnsi="Calibri"/>
                <w:sz w:val="20"/>
              </w:rPr>
              <w:t>Version 1.32.0 or higher</w:t>
            </w:r>
          </w:p>
        </w:tc>
      </w:tr>
      <w:tr>
        <w:tc>
          <w:tcPr>
            <w:tcW w:type="dxa" w:w="3600"/>
            <w:shd w:val="clear" w:color="auto" w:fill="EEF2FF"/>
          </w:tcPr>
          <w:p>
            <w:r>
              <w:rPr>
                <w:rFonts w:ascii="Calibri" w:hAnsi="Calibri"/>
                <w:sz w:val="20"/>
              </w:rPr>
              <w:t>Pandas</w:t>
            </w:r>
          </w:p>
        </w:tc>
        <w:tc>
          <w:tcPr>
            <w:tcW w:type="dxa" w:w="6480"/>
            <w:shd w:val="clear" w:color="auto" w:fill="EEF2FF"/>
          </w:tcPr>
          <w:p>
            <w:r>
              <w:rPr>
                <w:rFonts w:ascii="Calibri" w:hAnsi="Calibri"/>
                <w:sz w:val="20"/>
              </w:rPr>
              <w:t>Version 2.0.0 or higher</w:t>
            </w:r>
          </w:p>
        </w:tc>
      </w:tr>
      <w:tr>
        <w:tc>
          <w:tcPr>
            <w:tcW w:type="dxa" w:w="3600"/>
          </w:tcPr>
          <w:p>
            <w:r>
              <w:rPr>
                <w:rFonts w:ascii="Calibri" w:hAnsi="Calibri"/>
                <w:sz w:val="20"/>
              </w:rPr>
              <w:t>NumPy</w:t>
            </w:r>
          </w:p>
        </w:tc>
        <w:tc>
          <w:tcPr>
            <w:tcW w:type="dxa" w:w="6480"/>
          </w:tcPr>
          <w:p>
            <w:r>
              <w:rPr>
                <w:rFonts w:ascii="Calibri" w:hAnsi="Calibri"/>
                <w:sz w:val="20"/>
              </w:rPr>
              <w:t>Version 1.24.0 or higher</w:t>
            </w:r>
          </w:p>
        </w:tc>
      </w:tr>
      <w:tr>
        <w:tc>
          <w:tcPr>
            <w:tcW w:type="dxa" w:w="3600"/>
            <w:shd w:val="clear" w:color="auto" w:fill="EEF2FF"/>
          </w:tcPr>
          <w:p>
            <w:r>
              <w:rPr>
                <w:rFonts w:ascii="Calibri" w:hAnsi="Calibri"/>
                <w:sz w:val="20"/>
              </w:rPr>
              <w:t>Plotly</w:t>
            </w:r>
          </w:p>
        </w:tc>
        <w:tc>
          <w:tcPr>
            <w:tcW w:type="dxa" w:w="6480"/>
            <w:shd w:val="clear" w:color="auto" w:fill="EEF2FF"/>
          </w:tcPr>
          <w:p>
            <w:r>
              <w:rPr>
                <w:rFonts w:ascii="Calibri" w:hAnsi="Calibri"/>
                <w:sz w:val="20"/>
              </w:rPr>
              <w:t>Version 5.18.0 or higher</w:t>
            </w:r>
          </w:p>
        </w:tc>
      </w:tr>
      <w:tr>
        <w:tc>
          <w:tcPr>
            <w:tcW w:type="dxa" w:w="3600"/>
          </w:tcPr>
          <w:p>
            <w:r>
              <w:rPr>
                <w:rFonts w:ascii="Calibri" w:hAnsi="Calibri"/>
                <w:sz w:val="20"/>
              </w:rPr>
              <w:t>scikit-learn</w:t>
            </w:r>
          </w:p>
        </w:tc>
        <w:tc>
          <w:tcPr>
            <w:tcW w:type="dxa" w:w="6480"/>
          </w:tcPr>
          <w:p>
            <w:r>
              <w:rPr>
                <w:rFonts w:ascii="Calibri" w:hAnsi="Calibri"/>
                <w:sz w:val="20"/>
              </w:rPr>
              <w:t>Version 1.3.0 or higher</w:t>
            </w:r>
          </w:p>
        </w:tc>
      </w:tr>
      <w:tr>
        <w:tc>
          <w:tcPr>
            <w:tcW w:type="dxa" w:w="3600"/>
            <w:shd w:val="clear" w:color="auto" w:fill="EEF2FF"/>
          </w:tcPr>
          <w:p>
            <w:r>
              <w:rPr>
                <w:rFonts w:ascii="Calibri" w:hAnsi="Calibri"/>
                <w:sz w:val="20"/>
              </w:rPr>
              <w:t>statsmodels</w:t>
            </w:r>
          </w:p>
        </w:tc>
        <w:tc>
          <w:tcPr>
            <w:tcW w:type="dxa" w:w="6480"/>
            <w:shd w:val="clear" w:color="auto" w:fill="EEF2FF"/>
          </w:tcPr>
          <w:p>
            <w:r>
              <w:rPr>
                <w:rFonts w:ascii="Calibri" w:hAnsi="Calibri"/>
                <w:sz w:val="20"/>
              </w:rPr>
              <w:t>Version 0.14.0 or higher</w:t>
            </w:r>
          </w:p>
        </w:tc>
      </w:tr>
      <w:tr>
        <w:tc>
          <w:tcPr>
            <w:tcW w:type="dxa" w:w="3600"/>
          </w:tcPr>
          <w:p>
            <w:r>
              <w:rPr>
                <w:rFonts w:ascii="Calibri" w:hAnsi="Calibri"/>
                <w:sz w:val="20"/>
              </w:rPr>
              <w:t>Web Browser</w:t>
            </w:r>
          </w:p>
        </w:tc>
        <w:tc>
          <w:tcPr>
            <w:tcW w:type="dxa" w:w="6480"/>
          </w:tcPr>
          <w:p>
            <w:r>
              <w:rPr>
                <w:rFonts w:ascii="Calibri" w:hAnsi="Calibri"/>
                <w:sz w:val="20"/>
              </w:rPr>
              <w:t>Any modern browser: Chrome, Firefox, Edge, or Safari</w:t>
            </w:r>
          </w:p>
        </w:tc>
      </w:tr>
      <w:tr>
        <w:tc>
          <w:tcPr>
            <w:tcW w:type="dxa" w:w="3600"/>
            <w:shd w:val="clear" w:color="auto" w:fill="EEF2FF"/>
          </w:tcPr>
          <w:p>
            <w:r>
              <w:rPr>
                <w:rFonts w:ascii="Calibri" w:hAnsi="Calibri"/>
                <w:sz w:val="20"/>
              </w:rPr>
              <w:t>pip</w:t>
            </w:r>
          </w:p>
        </w:tc>
        <w:tc>
          <w:tcPr>
            <w:tcW w:type="dxa" w:w="6480"/>
            <w:shd w:val="clear" w:color="auto" w:fill="EEF2FF"/>
          </w:tcPr>
          <w:p>
            <w:r>
              <w:rPr>
                <w:rFonts w:ascii="Calibri" w:hAnsi="Calibri"/>
                <w:sz w:val="20"/>
              </w:rPr>
              <w:t>Latest version recommended for package management</w:t>
            </w:r>
          </w:p>
        </w:tc>
      </w:tr>
    </w:tbl>
    <w:p/>
    <w:p>
      <w:pPr>
        <w:spacing w:after="160"/>
        <w:jc w:val="center"/>
      </w:pPr>
      <w:r>
        <w:rPr>
          <w:rFonts w:ascii="Calibri" w:hAnsi="Calibri"/>
          <w:i/>
          <w:color w:val="555555"/>
          <w:sz w:val="18"/>
        </w:rPr>
        <w:t>Table 7.1: Software Requirements</w:t>
      </w:r>
    </w:p>
    <w:p>
      <w:pPr>
        <w:pStyle w:val="Heading2"/>
        <w:spacing w:before="240" w:after="80"/>
      </w:pPr>
      <w:r>
        <w:rPr>
          <w:color w:val="2C3E7A"/>
        </w:rPr>
        <w:t>7.2 Hardware Requirements (Minimum)</w:t>
      </w:r>
    </w:p>
    <w:tbl>
      <w:tblPr>
        <w:tblStyle w:val="TableGrid"/>
        <w:tblW w:type="auto" w:w="0"/>
        <w:jc w:val="center"/>
        <w:tblLook w:firstColumn="1" w:firstRow="1" w:lastColumn="0" w:lastRow="0" w:noHBand="0" w:noVBand="1" w:val="04A0"/>
      </w:tblPr>
      <w:tblGrid>
        <w:gridCol w:w="4153"/>
        <w:gridCol w:w="4153"/>
      </w:tblGrid>
      <w:tr>
        <w:tc>
          <w:tcPr>
            <w:tcW w:type="dxa" w:w="3600"/>
            <w:shd w:val="clear" w:color="auto" w:fill="1A1A6E"/>
            <w:vAlign w:val="center"/>
          </w:tcPr>
          <w:p>
            <w:pPr>
              <w:jc w:val="center"/>
            </w:pPr>
            <w:r>
              <w:rPr>
                <w:b/>
                <w:color w:val="FFFFFF"/>
                <w:sz w:val="20"/>
              </w:rPr>
              <w:t>Component</w:t>
            </w:r>
          </w:p>
        </w:tc>
        <w:tc>
          <w:tcPr>
            <w:tcW w:type="dxa" w:w="6480"/>
            <w:shd w:val="clear" w:color="auto" w:fill="1A1A6E"/>
            <w:vAlign w:val="center"/>
          </w:tcPr>
          <w:p>
            <w:pPr>
              <w:jc w:val="center"/>
            </w:pPr>
            <w:r>
              <w:rPr>
                <w:b/>
                <w:color w:val="FFFFFF"/>
                <w:sz w:val="20"/>
              </w:rPr>
              <w:t>Minimum Specification</w:t>
            </w:r>
          </w:p>
        </w:tc>
      </w:tr>
      <w:tr>
        <w:tc>
          <w:tcPr>
            <w:tcW w:type="dxa" w:w="3600"/>
          </w:tcPr>
          <w:p>
            <w:r>
              <w:rPr>
                <w:rFonts w:ascii="Calibri" w:hAnsi="Calibri"/>
                <w:sz w:val="20"/>
              </w:rPr>
              <w:t>Processor</w:t>
            </w:r>
          </w:p>
        </w:tc>
        <w:tc>
          <w:tcPr>
            <w:tcW w:type="dxa" w:w="6480"/>
          </w:tcPr>
          <w:p>
            <w:r>
              <w:rPr>
                <w:rFonts w:ascii="Calibri" w:hAnsi="Calibri"/>
                <w:sz w:val="20"/>
              </w:rPr>
              <w:t>Intel Core i3 or AMD equivalent (2.0 GHz+)</w:t>
            </w:r>
          </w:p>
        </w:tc>
      </w:tr>
      <w:tr>
        <w:tc>
          <w:tcPr>
            <w:tcW w:type="dxa" w:w="3600"/>
            <w:shd w:val="clear" w:color="auto" w:fill="EEF2FF"/>
          </w:tcPr>
          <w:p>
            <w:r>
              <w:rPr>
                <w:rFonts w:ascii="Calibri" w:hAnsi="Calibri"/>
                <w:sz w:val="20"/>
              </w:rPr>
              <w:t>RAM</w:t>
            </w:r>
          </w:p>
        </w:tc>
        <w:tc>
          <w:tcPr>
            <w:tcW w:type="dxa" w:w="6480"/>
            <w:shd w:val="clear" w:color="auto" w:fill="EEF2FF"/>
          </w:tcPr>
          <w:p>
            <w:r>
              <w:rPr>
                <w:rFonts w:ascii="Calibri" w:hAnsi="Calibri"/>
                <w:sz w:val="20"/>
              </w:rPr>
              <w:t>4 GB (8 GB recommended)</w:t>
            </w:r>
          </w:p>
        </w:tc>
      </w:tr>
      <w:tr>
        <w:tc>
          <w:tcPr>
            <w:tcW w:type="dxa" w:w="3600"/>
          </w:tcPr>
          <w:p>
            <w:r>
              <w:rPr>
                <w:rFonts w:ascii="Calibri" w:hAnsi="Calibri"/>
                <w:sz w:val="20"/>
              </w:rPr>
              <w:t>Storage</w:t>
            </w:r>
          </w:p>
        </w:tc>
        <w:tc>
          <w:tcPr>
            <w:tcW w:type="dxa" w:w="6480"/>
          </w:tcPr>
          <w:p>
            <w:r>
              <w:rPr>
                <w:rFonts w:ascii="Calibri" w:hAnsi="Calibri"/>
                <w:sz w:val="20"/>
              </w:rPr>
              <w:t>500 MB free disk space (for Python, packages, and project files)</w:t>
            </w:r>
          </w:p>
        </w:tc>
      </w:tr>
      <w:tr>
        <w:tc>
          <w:tcPr>
            <w:tcW w:type="dxa" w:w="3600"/>
            <w:shd w:val="clear" w:color="auto" w:fill="EEF2FF"/>
          </w:tcPr>
          <w:p>
            <w:r>
              <w:rPr>
                <w:rFonts w:ascii="Calibri" w:hAnsi="Calibri"/>
                <w:sz w:val="20"/>
              </w:rPr>
              <w:t>Display</w:t>
            </w:r>
          </w:p>
        </w:tc>
        <w:tc>
          <w:tcPr>
            <w:tcW w:type="dxa" w:w="6480"/>
            <w:shd w:val="clear" w:color="auto" w:fill="EEF2FF"/>
          </w:tcPr>
          <w:p>
            <w:r>
              <w:rPr>
                <w:rFonts w:ascii="Calibri" w:hAnsi="Calibri"/>
                <w:sz w:val="20"/>
              </w:rPr>
              <w:t>1280 × 720 resolution or higher</w:t>
            </w:r>
          </w:p>
        </w:tc>
      </w:tr>
      <w:tr>
        <w:tc>
          <w:tcPr>
            <w:tcW w:type="dxa" w:w="3600"/>
          </w:tcPr>
          <w:p>
            <w:r>
              <w:rPr>
                <w:rFonts w:ascii="Calibri" w:hAnsi="Calibri"/>
                <w:sz w:val="20"/>
              </w:rPr>
              <w:t>Network</w:t>
            </w:r>
          </w:p>
        </w:tc>
        <w:tc>
          <w:tcPr>
            <w:tcW w:type="dxa" w:w="6480"/>
          </w:tcPr>
          <w:p>
            <w:r>
              <w:rPr>
                <w:rFonts w:ascii="Calibri" w:hAnsi="Calibri"/>
                <w:sz w:val="20"/>
              </w:rPr>
              <w:t>Internet connection required only for first-time package installation</w:t>
            </w:r>
          </w:p>
        </w:tc>
      </w:tr>
    </w:tbl>
    <w:p/>
    <w:p>
      <w:pPr>
        <w:spacing w:after="160"/>
        <w:jc w:val="center"/>
      </w:pPr>
      <w:r>
        <w:rPr>
          <w:rFonts w:ascii="Calibri" w:hAnsi="Calibri"/>
          <w:i/>
          <w:color w:val="555555"/>
          <w:sz w:val="18"/>
        </w:rPr>
        <w:t>Table 7.2: Hardware Requirements</w:t>
      </w:r>
    </w:p>
    <w:p>
      <w:pPr>
        <w:pStyle w:val="Heading2"/>
        <w:spacing w:before="240" w:after="80"/>
      </w:pPr>
      <w:r>
        <w:rPr>
          <w:color w:val="2C3E7A"/>
        </w:rPr>
        <w:t>7.3 Installation and Startup</w:t>
      </w:r>
    </w:p>
    <w:p>
      <w:pPr>
        <w:spacing w:after="120" w:line="360" w:lineRule="auto"/>
      </w:pPr>
      <w:r>
        <w:rPr>
          <w:rFonts w:ascii="Calibri" w:hAnsi="Calibri"/>
          <w:b w:val="0"/>
          <w:i w:val="0"/>
          <w:sz w:val="22"/>
        </w:rPr>
        <w:t>To install and run the dashboard:</w:t>
      </w:r>
    </w:p>
    <w:p>
      <w:pPr>
        <w:pStyle w:val="ListBullet"/>
        <w:spacing w:after="60"/>
      </w:pPr>
      <w:r>
        <w:rPr>
          <w:rFonts w:ascii="Calibri" w:hAnsi="Calibri"/>
          <w:sz w:val="22"/>
        </w:rPr>
        <w:t>1. Clone or download the project folder.</w:t>
      </w:r>
    </w:p>
    <w:p>
      <w:pPr>
        <w:pStyle w:val="ListBullet"/>
        <w:spacing w:after="60"/>
      </w:pPr>
      <w:r>
        <w:rPr>
          <w:rFonts w:ascii="Calibri" w:hAnsi="Calibri"/>
          <w:sz w:val="22"/>
        </w:rPr>
        <w:t>2. Navigate to the supermarket-analytics/ directory.</w:t>
      </w:r>
    </w:p>
    <w:p>
      <w:pPr>
        <w:pStyle w:val="ListBullet"/>
        <w:spacing w:after="60"/>
      </w:pPr>
      <w:r>
        <w:rPr>
          <w:rFonts w:ascii="Calibri" w:hAnsi="Calibri"/>
          <w:sz w:val="22"/>
        </w:rPr>
        <w:t>3. (Optional) Create a virtual environment: python -m venv venv</w:t>
      </w:r>
    </w:p>
    <w:p>
      <w:pPr>
        <w:pStyle w:val="ListBullet"/>
        <w:spacing w:after="60"/>
      </w:pPr>
      <w:r>
        <w:rPr>
          <w:rFonts w:ascii="Calibri" w:hAnsi="Calibri"/>
          <w:sz w:val="22"/>
        </w:rPr>
        <w:t>4. Activate the virtual environment (Windows: .\venv\Scripts\activate)</w:t>
      </w:r>
    </w:p>
    <w:p>
      <w:pPr>
        <w:pStyle w:val="ListBullet"/>
        <w:spacing w:after="60"/>
      </w:pPr>
      <w:r>
        <w:rPr>
          <w:rFonts w:ascii="Calibri" w:hAnsi="Calibri"/>
          <w:sz w:val="22"/>
        </w:rPr>
        <w:t>5. Install all dependencies: pip install -r requirements.txt</w:t>
      </w:r>
    </w:p>
    <w:p>
      <w:pPr>
        <w:pStyle w:val="ListBullet"/>
        <w:spacing w:after="60"/>
      </w:pPr>
      <w:r>
        <w:rPr>
          <w:rFonts w:ascii="Calibri" w:hAnsi="Calibri"/>
          <w:sz w:val="22"/>
        </w:rPr>
        <w:t>6. Start the dashboard: streamlit run app.py</w:t>
      </w:r>
    </w:p>
    <w:p>
      <w:pPr>
        <w:pStyle w:val="ListBullet"/>
        <w:spacing w:after="60"/>
      </w:pPr>
      <w:r>
        <w:rPr>
          <w:rFonts w:ascii="Calibri" w:hAnsi="Calibri"/>
          <w:sz w:val="22"/>
        </w:rPr>
        <w:t>7. The dashboard opens automatically at http://localhost:8501 in the default browser.</w:t>
      </w:r>
    </w:p>
    <w:p>
      <w:r>
        <w:br w:type="page"/>
      </w:r>
    </w:p>
    <w:p>
      <w:pPr>
        <w:pStyle w:val="Heading1"/>
        <w:spacing w:before="360" w:after="120"/>
      </w:pPr>
      <w:r>
        <w:rPr>
          <w:color w:val="1A1A6E"/>
        </w:rPr>
        <w:t>8. Project Architecture</w:t>
      </w:r>
    </w:p>
    <w:p>
      <w:pPr>
        <w:spacing w:after="120" w:line="360" w:lineRule="auto"/>
      </w:pPr>
      <w:r>
        <w:rPr>
          <w:rFonts w:ascii="Calibri" w:hAnsi="Calibri"/>
          <w:b w:val="0"/>
          <w:i w:val="0"/>
          <w:sz w:val="22"/>
        </w:rPr>
        <w:t>The project follows a modular, layered architecture. Each layer has a dedicated responsibility, ensuring separation of concerns, code reusability, and maintainability. The data flows through the following pipeline:</w:t>
      </w:r>
    </w:p>
    <w:tbl>
      <w:tblPr>
        <w:tblStyle w:val="TableGrid"/>
        <w:tblW w:type="auto" w:w="0"/>
        <w:jc w:val="center"/>
        <w:tblLook w:firstColumn="1" w:firstRow="1" w:lastColumn="0" w:lastRow="0" w:noHBand="0" w:noVBand="1" w:val="04A0"/>
      </w:tblPr>
      <w:tblGrid>
        <w:gridCol w:w="4153"/>
        <w:gridCol w:w="4153"/>
      </w:tblGrid>
      <w:tr>
        <w:tc>
          <w:tcPr>
            <w:tcW w:type="dxa" w:w="3168"/>
          </w:tcPr>
          <w:p>
            <w:r>
              <w:rPr>
                <w:b/>
                <w:sz w:val="20"/>
              </w:rPr>
              <w:t>CSV Dataset</w:t>
            </w:r>
          </w:p>
        </w:tc>
        <w:tc>
          <w:tcPr>
            <w:tcW w:type="dxa" w:w="6912"/>
          </w:tcPr>
          <w:p>
            <w:r>
              <w:rPr>
                <w:sz w:val="20"/>
              </w:rPr>
              <w:t>Raw transaction data — SuperMarket Analysis.csv in the data/ directory.</w:t>
            </w:r>
          </w:p>
        </w:tc>
      </w:tr>
      <w:tr>
        <w:tc>
          <w:tcPr>
            <w:tcW w:type="dxa" w:w="3168"/>
            <w:shd w:val="clear" w:color="auto" w:fill="EEF2FF"/>
          </w:tcPr>
          <w:p>
            <w:r>
              <w:rPr>
                <w:b/>
                <w:sz w:val="20"/>
              </w:rPr>
              <w:t>Data Loading (data_loader.py)</w:t>
            </w:r>
          </w:p>
        </w:tc>
        <w:tc>
          <w:tcPr>
            <w:tcW w:type="dxa" w:w="6912"/>
            <w:shd w:val="clear" w:color="auto" w:fill="EEF2FF"/>
          </w:tcPr>
          <w:p>
            <w:r>
              <w:rPr>
                <w:sz w:val="20"/>
              </w:rPr>
              <w:t>Reads the CSV, strips column whitespace, applies column aliases, coerces numeric types, derives missing financial columns, and validates the schema.</w:t>
            </w:r>
          </w:p>
        </w:tc>
      </w:tr>
      <w:tr>
        <w:tc>
          <w:tcPr>
            <w:tcW w:type="dxa" w:w="3168"/>
          </w:tcPr>
          <w:p>
            <w:r>
              <w:rPr>
                <w:b/>
                <w:sz w:val="20"/>
              </w:rPr>
              <w:t>Data Cleaning (data_cleaning.py)</w:t>
            </w:r>
          </w:p>
        </w:tc>
        <w:tc>
          <w:tcPr>
            <w:tcW w:type="dxa" w:w="6912"/>
          </w:tcPr>
          <w:p>
            <w:r>
              <w:rPr>
                <w:sz w:val="20"/>
              </w:rPr>
              <w:t>Removes empty rows, parses Date and Time columns, derives temporal features (Year, Month, Day_Name, Week, Hour), removes duplicate Invoice IDs, drops rows with missing Sales or Unit price, strips string whitespace.</w:t>
            </w:r>
          </w:p>
        </w:tc>
      </w:tr>
      <w:tr>
        <w:tc>
          <w:tcPr>
            <w:tcW w:type="dxa" w:w="3168"/>
            <w:shd w:val="clear" w:color="auto" w:fill="EEF2FF"/>
          </w:tcPr>
          <w:p>
            <w:r>
              <w:rPr>
                <w:b/>
                <w:sz w:val="20"/>
              </w:rPr>
              <w:t>Analytics (analytics.py)</w:t>
            </w:r>
          </w:p>
        </w:tc>
        <w:tc>
          <w:tcPr>
            <w:tcW w:type="dxa" w:w="6912"/>
            <w:shd w:val="clear" w:color="auto" w:fill="EEF2FF"/>
          </w:tcPr>
          <w:p>
            <w:r>
              <w:rPr>
                <w:sz w:val="20"/>
              </w:rPr>
              <w:t>Computes KPIs, aggregates data by category columns, calculates distributions, hourly/daily/monthly breakdowns, payment, customer type, branch, and product line analyses.</w:t>
            </w:r>
          </w:p>
        </w:tc>
      </w:tr>
      <w:tr>
        <w:tc>
          <w:tcPr>
            <w:tcW w:type="dxa" w:w="3168"/>
          </w:tcPr>
          <w:p>
            <w:r>
              <w:rPr>
                <w:b/>
                <w:sz w:val="20"/>
              </w:rPr>
              <w:t>Business Insights (insights.py)</w:t>
            </w:r>
          </w:p>
        </w:tc>
        <w:tc>
          <w:tcPr>
            <w:tcW w:type="dxa" w:w="6912"/>
          </w:tcPr>
          <w:p>
            <w:r>
              <w:rPr>
                <w:sz w:val="20"/>
              </w:rPr>
              <w:t>Dynamically generates human-readable insight strings from the filtered DataFrame covering sales, time, customer, payment, price, gross income, rating, and quantity dimensions.</w:t>
            </w:r>
          </w:p>
        </w:tc>
      </w:tr>
      <w:tr>
        <w:tc>
          <w:tcPr>
            <w:tcW w:type="dxa" w:w="3168"/>
            <w:shd w:val="clear" w:color="auto" w:fill="EEF2FF"/>
          </w:tcPr>
          <w:p>
            <w:r>
              <w:rPr>
                <w:b/>
                <w:sz w:val="20"/>
              </w:rPr>
              <w:t>Visualisations (charts/visualizations.py)</w:t>
            </w:r>
          </w:p>
        </w:tc>
        <w:tc>
          <w:tcPr>
            <w:tcW w:type="dxa" w:w="6912"/>
            <w:shd w:val="clear" w:color="auto" w:fill="EEF2FF"/>
          </w:tcPr>
          <w:p>
            <w:r>
              <w:rPr>
                <w:sz w:val="20"/>
              </w:rPr>
              <w:t>Wraps all Plotly chart creation into reusable functions: sales trend, category bars, hourly/daily/monthly charts, price histogram, scatter plots, sunburst/pie/donut charts, rating histogram, correlation heatmap, Pareto chart, gross income trend.</w:t>
            </w:r>
          </w:p>
        </w:tc>
      </w:tr>
      <w:tr>
        <w:tc>
          <w:tcPr>
            <w:tcW w:type="dxa" w:w="3168"/>
          </w:tcPr>
          <w:p>
            <w:r>
              <w:rPr>
                <w:b/>
                <w:sz w:val="20"/>
              </w:rPr>
              <w:t>Streamlit Dashboard (app.py)</w:t>
            </w:r>
          </w:p>
        </w:tc>
        <w:tc>
          <w:tcPr>
            <w:tcW w:type="dxa" w:w="6912"/>
          </w:tcPr>
          <w:p>
            <w:r>
              <w:rPr>
                <w:sz w:val="20"/>
              </w:rPr>
              <w:t>Orchestrates the entire UI: sidebar with file upload and interactive filters, 11 analytics tabs, KPI cards, chart rendering, insight cards, data explorer, and CSV download.</w:t>
            </w:r>
          </w:p>
        </w:tc>
      </w:tr>
    </w:tbl>
    <w:p/>
    <w:p>
      <w:pPr>
        <w:spacing w:after="160"/>
        <w:jc w:val="center"/>
      </w:pPr>
      <w:r>
        <w:rPr>
          <w:rFonts w:ascii="Calibri" w:hAnsi="Calibri"/>
          <w:i/>
          <w:color w:val="555555"/>
          <w:sz w:val="18"/>
        </w:rPr>
        <w:t>Table 8.1: Project Module Architecture</w:t>
      </w:r>
    </w:p>
    <w:p>
      <w:pPr>
        <w:pStyle w:val="Heading2"/>
        <w:spacing w:before="240" w:after="80"/>
      </w:pPr>
      <w:r>
        <w:rPr>
          <w:color w:val="2C3E7A"/>
        </w:rPr>
        <w:t>8.1 File Structure</w:t>
      </w:r>
    </w:p>
    <w:p>
      <w:pPr>
        <w:spacing w:after="120" w:line="360" w:lineRule="auto"/>
      </w:pPr>
      <w:r>
        <w:rPr>
          <w:rFonts w:ascii="Calibri" w:hAnsi="Calibri"/>
          <w:b w:val="0"/>
          <w:i w:val="0"/>
          <w:sz w:val="22"/>
        </w:rPr>
        <w:t>The project is organised as follows:</w:t>
      </w:r>
    </w:p>
    <w:p>
      <w:pPr>
        <w:pStyle w:val="NoSpacing"/>
      </w:pPr>
      <w:r>
        <w:rPr>
          <w:rFonts w:ascii="Courier New" w:hAnsi="Courier New"/>
          <w:sz w:val="18"/>
        </w:rPr>
        <w:t>supermarket-analytics/</w:t>
        <w:br/>
        <w:t>├── app.py                    # Main Streamlit dashboard (583 lines)</w:t>
        <w:br/>
        <w:t>├── requirements.txt          # Python package dependencies</w:t>
        <w:br/>
        <w:t>├── README.md                 # Project documentation</w:t>
        <w:br/>
        <w:t>├── data/</w:t>
        <w:br/>
        <w:t>│   └── SuperMarket Analysis.csv   # Dataset (1,000 rows × 17 columns)</w:t>
        <w:br/>
        <w:t>├── utils/</w:t>
        <w:br/>
        <w:t>│   ├── __init__.py</w:t>
        <w:br/>
        <w:t>│   ├── data_loader.py        # CSV loading, schema validation, alias mapping</w:t>
        <w:br/>
        <w:t>│   ├── data_cleaning.py      # Cleaning pipeline and quality report</w:t>
        <w:br/>
        <w:t>│   ├── analytics.py          # KPI calculations and aggregation functions</w:t>
        <w:br/>
        <w:t>│   └── insights.py           # Dynamic business insight generator</w:t>
        <w:br/>
        <w:t>└── charts/</w:t>
        <w:br/>
        <w:t xml:space="preserve">    ├── __init__.py</w:t>
        <w:br/>
        <w:t xml:space="preserve">    └── visualizations.py     # All Plotly chart functions</w:t>
        <w:br/>
      </w:r>
    </w:p>
    <w:p/>
    <w:p>
      <w:r>
        <w:br w:type="page"/>
      </w:r>
    </w:p>
    <w:p>
      <w:pPr>
        <w:pStyle w:val="Heading1"/>
        <w:spacing w:before="360" w:after="120"/>
      </w:pPr>
      <w:r>
        <w:rPr>
          <w:color w:val="1A1A6E"/>
        </w:rPr>
        <w:t>9. Data Loading and Data Cleaning</w:t>
      </w:r>
    </w:p>
    <w:p>
      <w:pPr>
        <w:pStyle w:val="Heading2"/>
        <w:spacing w:before="240" w:after="80"/>
      </w:pPr>
      <w:r>
        <w:rPr>
          <w:color w:val="2C3E7A"/>
        </w:rPr>
        <w:t>9.1 Data Loading (utils/data_loader.py)</w:t>
      </w:r>
    </w:p>
    <w:p>
      <w:pPr>
        <w:spacing w:after="120" w:line="360" w:lineRule="auto"/>
      </w:pPr>
      <w:r>
        <w:rPr>
          <w:rFonts w:ascii="Calibri" w:hAnsi="Calibri"/>
          <w:b w:val="0"/>
          <w:i w:val="0"/>
          <w:sz w:val="22"/>
        </w:rPr>
        <w:t>The data_loader.py module provides three public functions: load_default_csv(), load_uploaded_csv(), and validate_schema(). The loading pipeline performs the following steps:</w:t>
      </w:r>
    </w:p>
    <w:p>
      <w:pPr>
        <w:pStyle w:val="ListBullet"/>
        <w:spacing w:after="60"/>
      </w:pPr>
      <w:r>
        <w:rPr>
          <w:rFonts w:ascii="Calibri" w:hAnsi="Calibri"/>
          <w:sz w:val="22"/>
        </w:rPr>
        <w:t>CSV Parsing: Reads the CSV file using pd.read_csv(). Raises a descriptive ValueError if the file cannot be parsed.</w:t>
      </w:r>
    </w:p>
    <w:p>
      <w:pPr>
        <w:pStyle w:val="ListBullet"/>
        <w:spacing w:after="60"/>
      </w:pPr>
      <w:r>
        <w:rPr>
          <w:rFonts w:ascii="Calibri" w:hAnsi="Calibri"/>
          <w:sz w:val="22"/>
        </w:rPr>
        <w:t>Column Name Normalisation: Strips leading/trailing whitespace from all column names. Applies a predefined COLUMN_ALIASES dictionary to map alternate column names (e.g., 'Total' → 'Sales', 'Price' → 'Unit price') to standard canonical names.</w:t>
      </w:r>
    </w:p>
    <w:p>
      <w:pPr>
        <w:pStyle w:val="ListBullet"/>
        <w:spacing w:after="60"/>
      </w:pPr>
      <w:r>
        <w:rPr>
          <w:rFonts w:ascii="Calibri" w:hAnsi="Calibri"/>
          <w:sz w:val="22"/>
        </w:rPr>
        <w:t>Numeric Type Coercion: Coerces Unit price, Quantity, Tax 5%, Sales, cogs, gross margin percentage, gross income, and Rating to numeric types using pd.to_numeric(errors='coerce').</w:t>
      </w:r>
    </w:p>
    <w:p>
      <w:pPr>
        <w:pStyle w:val="ListBullet"/>
        <w:spacing w:after="60"/>
      </w:pPr>
      <w:r>
        <w:rPr>
          <w:rFonts w:ascii="Calibri" w:hAnsi="Calibri"/>
          <w:sz w:val="22"/>
        </w:rPr>
        <w:t>Column Derivation: For datasets missing financial columns, derives Tax 5%, gross income, cogs, and gross margin percentage from available Sales data.</w:t>
      </w:r>
    </w:p>
    <w:p>
      <w:pPr>
        <w:pStyle w:val="ListBullet"/>
        <w:spacing w:after="60"/>
      </w:pPr>
      <w:r>
        <w:rPr>
          <w:rFonts w:ascii="Calibri" w:hAnsi="Calibri"/>
          <w:sz w:val="22"/>
        </w:rPr>
        <w:t>Default Column Generation: Auto-generates Invoice ID, City, Product line, Gender, Customer type, Payment, and Time columns if they are absent from an uploaded CSV, ensuring the application works with simplified datasets.</w:t>
      </w:r>
    </w:p>
    <w:p>
      <w:pPr>
        <w:pStyle w:val="ListBullet"/>
        <w:spacing w:after="60"/>
      </w:pPr>
      <w:r>
        <w:rPr>
          <w:rFonts w:ascii="Calibri" w:hAnsi="Calibri"/>
          <w:sz w:val="22"/>
        </w:rPr>
        <w:t>Schema Validation: validate_schema() checks for the presence of the minimum required columns: Invoice ID, Branch, Sales, Quantity, Rating, and Date.</w:t>
      </w:r>
    </w:p>
    <w:p>
      <w:pPr>
        <w:pStyle w:val="ListBullet"/>
        <w:spacing w:after="60"/>
      </w:pPr>
      <w:r>
        <w:rPr>
          <w:rFonts w:ascii="Calibri" w:hAnsi="Calibri"/>
          <w:sz w:val="22"/>
        </w:rPr>
        <w:t>Caching: The default CSV load is cached using @st.cache_data to avoid re-reading from disk on every user interaction.</w:t>
      </w:r>
    </w:p>
    <w:p>
      <w:pPr>
        <w:pStyle w:val="Heading2"/>
        <w:spacing w:before="240" w:after="80"/>
      </w:pPr>
      <w:r>
        <w:rPr>
          <w:color w:val="2C3E7A"/>
        </w:rPr>
        <w:t>9.2 Data Cleaning (utils/data_cleaning.py)</w:t>
      </w:r>
    </w:p>
    <w:p>
      <w:pPr>
        <w:spacing w:after="120" w:line="360" w:lineRule="auto"/>
      </w:pPr>
      <w:r>
        <w:rPr>
          <w:rFonts w:ascii="Calibri" w:hAnsi="Calibri"/>
          <w:b w:val="0"/>
          <w:i w:val="0"/>
          <w:sz w:val="22"/>
        </w:rPr>
        <w:t>The clean_dataframe() function applies the following cleaning steps and returns a (cleaned_df, cleaning_log) tuple:</w:t>
      </w:r>
    </w:p>
    <w:p>
      <w:pPr>
        <w:pStyle w:val="ListBullet"/>
        <w:spacing w:after="60"/>
      </w:pPr>
      <w:r>
        <w:rPr>
          <w:rFonts w:ascii="Calibri" w:hAnsi="Calibri"/>
          <w:sz w:val="22"/>
        </w:rPr>
        <w:t>Step 1 — Remove Fully Empty Rows: Drops rows where all values are NaN using df.dropna(how='all'). Logs the number of removed rows.</w:t>
      </w:r>
    </w:p>
    <w:p>
      <w:pPr>
        <w:pStyle w:val="ListBullet"/>
        <w:spacing w:after="60"/>
      </w:pPr>
      <w:r>
        <w:rPr>
          <w:rFonts w:ascii="Calibri" w:hAnsi="Calibri"/>
          <w:sz w:val="22"/>
        </w:rPr>
        <w:t>Step 2 — Date Parsing: Converts the Date column to datetime using pd.to_datetime(errors='coerce'). Invalid dates become NaT. Derives five new temporal features: Year, Month, Month_Name (abbreviated, e.g., 'Jan'), Day, Day_Name (full weekday name), and Week (ISO week number).</w:t>
      </w:r>
    </w:p>
    <w:p>
      <w:pPr>
        <w:pStyle w:val="ListBullet"/>
        <w:spacing w:after="60"/>
      </w:pPr>
      <w:r>
        <w:rPr>
          <w:rFonts w:ascii="Calibri" w:hAnsi="Calibri"/>
          <w:sz w:val="22"/>
        </w:rPr>
        <w:t>Step 3 — Time Parsing: Parses the Time column using format '%I:%M:%S %p' (12-hour format) and extracts the Hour feature for hourly analysis. Logs any parsing failures.</w:t>
      </w:r>
    </w:p>
    <w:p>
      <w:pPr>
        <w:pStyle w:val="ListBullet"/>
        <w:spacing w:after="60"/>
      </w:pPr>
      <w:r>
        <w:rPr>
          <w:rFonts w:ascii="Calibri" w:hAnsi="Calibri"/>
          <w:sz w:val="22"/>
        </w:rPr>
        <w:t>Step 4 — Duplicate Invoice ID Removal: Identifies duplicate Invoice IDs using df.duplicated(subset=['Invoice ID']). Keeps the first occurrence and removes subsequent duplicates.</w:t>
      </w:r>
    </w:p>
    <w:p>
      <w:pPr>
        <w:pStyle w:val="ListBullet"/>
        <w:spacing w:after="60"/>
      </w:pPr>
      <w:r>
        <w:rPr>
          <w:rFonts w:ascii="Calibri" w:hAnsi="Calibri"/>
          <w:sz w:val="22"/>
        </w:rPr>
        <w:t>Step 5 — Critical Column Validation: Drops rows where Sales or Unit price are NaN, as these are essential for all analytics.</w:t>
      </w:r>
    </w:p>
    <w:p>
      <w:pPr>
        <w:pStyle w:val="ListBullet"/>
        <w:spacing w:after="60"/>
      </w:pPr>
      <w:r>
        <w:rPr>
          <w:rFonts w:ascii="Calibri" w:hAnsi="Calibri"/>
          <w:sz w:val="22"/>
        </w:rPr>
        <w:t>Step 6 — String Whitespace Stripping: Strips leading/trailing whitespace from all string/object-type columns.</w:t>
      </w:r>
    </w:p>
    <w:p>
      <w:pPr>
        <w:pStyle w:val="Heading2"/>
        <w:spacing w:before="240" w:after="80"/>
      </w:pPr>
      <w:r>
        <w:rPr>
          <w:color w:val="2C3E7A"/>
        </w:rPr>
        <w:t>9.3 Data Quality Report</w:t>
      </w:r>
    </w:p>
    <w:p>
      <w:pPr>
        <w:spacing w:after="120" w:line="360" w:lineRule="auto"/>
      </w:pPr>
      <w:r>
        <w:rPr>
          <w:rFonts w:ascii="Calibri" w:hAnsi="Calibri"/>
          <w:b w:val="0"/>
          <w:i w:val="0"/>
          <w:sz w:val="22"/>
        </w:rPr>
        <w:t>The get_quality_report() function generates a quality metrics dictionary for the raw (pre-cleaning) DataFrame. For the default dataset, the quality report confirms: 1000 rows, 17 columns, 0 missing cells, and 0 duplicate rows — indicating a clean, complete dataset.</w:t>
      </w:r>
    </w:p>
    <w:p>
      <w:r>
        <w:br w:type="page"/>
      </w:r>
    </w:p>
    <w:p>
      <w:pPr>
        <w:pStyle w:val="Heading1"/>
        <w:spacing w:before="360" w:after="120"/>
      </w:pPr>
      <w:r>
        <w:rPr>
          <w:color w:val="1A1A6E"/>
        </w:rPr>
        <w:t>10. Exploratory Data Analysis</w:t>
      </w:r>
    </w:p>
    <w:p>
      <w:pPr>
        <w:spacing w:after="120" w:line="360" w:lineRule="auto"/>
      </w:pPr>
      <w:r>
        <w:rPr>
          <w:rFonts w:ascii="Calibri" w:hAnsi="Calibri"/>
          <w:b w:val="0"/>
          <w:i w:val="0"/>
          <w:sz w:val="22"/>
        </w:rPr>
        <w:t>Exploratory Data Analysis (EDA) was performed on the full dataset of 1,000 transactions. Key statistical characteristics and distributions are described below.</w:t>
      </w:r>
    </w:p>
    <w:p>
      <w:pPr>
        <w:pStyle w:val="Heading2"/>
        <w:spacing w:before="240" w:after="80"/>
      </w:pPr>
      <w:r>
        <w:rPr>
          <w:color w:val="2C3E7A"/>
        </w:rPr>
        <w:t>10.1 Numerical Column Statistics</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2592"/>
            <w:shd w:val="clear" w:color="auto" w:fill="1A1A6E"/>
            <w:vAlign w:val="center"/>
          </w:tcPr>
          <w:p>
            <w:pPr>
              <w:jc w:val="center"/>
            </w:pPr>
            <w:r>
              <w:rPr>
                <w:b/>
                <w:color w:val="FFFFFF"/>
                <w:sz w:val="20"/>
              </w:rPr>
              <w:t>Column</w:t>
            </w:r>
          </w:p>
        </w:tc>
        <w:tc>
          <w:tcPr>
            <w:tcW w:type="dxa" w:w="1296"/>
            <w:shd w:val="clear" w:color="auto" w:fill="1A1A6E"/>
            <w:vAlign w:val="center"/>
          </w:tcPr>
          <w:p>
            <w:pPr>
              <w:jc w:val="center"/>
            </w:pPr>
            <w:r>
              <w:rPr>
                <w:b/>
                <w:color w:val="FFFFFF"/>
                <w:sz w:val="20"/>
              </w:rPr>
              <w:t>Min</w:t>
            </w:r>
          </w:p>
        </w:tc>
        <w:tc>
          <w:tcPr>
            <w:tcW w:type="dxa" w:w="1296"/>
            <w:shd w:val="clear" w:color="auto" w:fill="1A1A6E"/>
            <w:vAlign w:val="center"/>
          </w:tcPr>
          <w:p>
            <w:pPr>
              <w:jc w:val="center"/>
            </w:pPr>
            <w:r>
              <w:rPr>
                <w:b/>
                <w:color w:val="FFFFFF"/>
                <w:sz w:val="20"/>
              </w:rPr>
              <w:t>Max</w:t>
            </w:r>
          </w:p>
        </w:tc>
        <w:tc>
          <w:tcPr>
            <w:tcW w:type="dxa" w:w="1296"/>
            <w:shd w:val="clear" w:color="auto" w:fill="1A1A6E"/>
            <w:vAlign w:val="center"/>
          </w:tcPr>
          <w:p>
            <w:pPr>
              <w:jc w:val="center"/>
            </w:pPr>
            <w:r>
              <w:rPr>
                <w:b/>
                <w:color w:val="FFFFFF"/>
                <w:sz w:val="20"/>
              </w:rPr>
              <w:t>Mean</w:t>
            </w:r>
          </w:p>
        </w:tc>
        <w:tc>
          <w:tcPr>
            <w:tcW w:type="dxa" w:w="1296"/>
            <w:shd w:val="clear" w:color="auto" w:fill="1A1A6E"/>
            <w:vAlign w:val="center"/>
          </w:tcPr>
          <w:p>
            <w:pPr>
              <w:jc w:val="center"/>
            </w:pPr>
            <w:r>
              <w:rPr>
                <w:b/>
                <w:color w:val="FFFFFF"/>
                <w:sz w:val="20"/>
              </w:rPr>
              <w:t>Median</w:t>
            </w:r>
          </w:p>
        </w:tc>
        <w:tc>
          <w:tcPr>
            <w:tcW w:type="dxa" w:w="1296"/>
            <w:shd w:val="clear" w:color="auto" w:fill="1A1A6E"/>
            <w:vAlign w:val="center"/>
          </w:tcPr>
          <w:p>
            <w:pPr>
              <w:jc w:val="center"/>
            </w:pPr>
            <w:r>
              <w:rPr>
                <w:b/>
                <w:color w:val="FFFFFF"/>
                <w:sz w:val="20"/>
              </w:rPr>
              <w:t>Std Dev</w:t>
            </w:r>
          </w:p>
        </w:tc>
      </w:tr>
      <w:tr>
        <w:tc>
          <w:tcPr>
            <w:tcW w:type="dxa" w:w="2592"/>
          </w:tcPr>
          <w:p>
            <w:r>
              <w:rPr>
                <w:rFonts w:ascii="Calibri" w:hAnsi="Calibri"/>
                <w:sz w:val="20"/>
              </w:rPr>
              <w:t>Unit price</w:t>
            </w:r>
          </w:p>
        </w:tc>
        <w:tc>
          <w:tcPr>
            <w:tcW w:type="dxa" w:w="1296"/>
          </w:tcPr>
          <w:p>
            <w:r>
              <w:rPr>
                <w:rFonts w:ascii="Calibri" w:hAnsi="Calibri"/>
                <w:sz w:val="20"/>
              </w:rPr>
              <w:t>$10.08</w:t>
            </w:r>
          </w:p>
        </w:tc>
        <w:tc>
          <w:tcPr>
            <w:tcW w:type="dxa" w:w="1296"/>
          </w:tcPr>
          <w:p>
            <w:r>
              <w:rPr>
                <w:rFonts w:ascii="Calibri" w:hAnsi="Calibri"/>
                <w:sz w:val="20"/>
              </w:rPr>
              <w:t>$99.96</w:t>
            </w:r>
          </w:p>
        </w:tc>
        <w:tc>
          <w:tcPr>
            <w:tcW w:type="dxa" w:w="1296"/>
          </w:tcPr>
          <w:p>
            <w:r>
              <w:rPr>
                <w:rFonts w:ascii="Calibri" w:hAnsi="Calibri"/>
                <w:sz w:val="20"/>
              </w:rPr>
              <w:t>$55.67</w:t>
            </w:r>
          </w:p>
        </w:tc>
        <w:tc>
          <w:tcPr>
            <w:tcW w:type="dxa" w:w="1296"/>
          </w:tcPr>
          <w:p>
            <w:r>
              <w:rPr>
                <w:rFonts w:ascii="Calibri" w:hAnsi="Calibri"/>
                <w:sz w:val="20"/>
              </w:rPr>
              <w:t>$55.23</w:t>
            </w:r>
          </w:p>
        </w:tc>
        <w:tc>
          <w:tcPr>
            <w:tcW w:type="dxa" w:w="1296"/>
          </w:tcPr>
          <w:p>
            <w:r>
              <w:rPr>
                <w:rFonts w:ascii="Calibri" w:hAnsi="Calibri"/>
                <w:sz w:val="20"/>
              </w:rPr>
              <w:t>$26.49</w:t>
            </w:r>
          </w:p>
        </w:tc>
      </w:tr>
      <w:tr>
        <w:tc>
          <w:tcPr>
            <w:tcW w:type="dxa" w:w="2592"/>
            <w:shd w:val="clear" w:color="auto" w:fill="EEF2FF"/>
          </w:tcPr>
          <w:p>
            <w:r>
              <w:rPr>
                <w:rFonts w:ascii="Calibri" w:hAnsi="Calibri"/>
                <w:sz w:val="20"/>
              </w:rPr>
              <w:t>Quantity</w:t>
            </w:r>
          </w:p>
        </w:tc>
        <w:tc>
          <w:tcPr>
            <w:tcW w:type="dxa" w:w="1296"/>
            <w:shd w:val="clear" w:color="auto" w:fill="EEF2FF"/>
          </w:tcPr>
          <w:p>
            <w:r>
              <w:rPr>
                <w:rFonts w:ascii="Calibri" w:hAnsi="Calibri"/>
                <w:sz w:val="20"/>
              </w:rPr>
              <w:t>1</w:t>
            </w:r>
          </w:p>
        </w:tc>
        <w:tc>
          <w:tcPr>
            <w:tcW w:type="dxa" w:w="1296"/>
            <w:shd w:val="clear" w:color="auto" w:fill="EEF2FF"/>
          </w:tcPr>
          <w:p>
            <w:r>
              <w:rPr>
                <w:rFonts w:ascii="Calibri" w:hAnsi="Calibri"/>
                <w:sz w:val="20"/>
              </w:rPr>
              <w:t>10</w:t>
            </w:r>
          </w:p>
        </w:tc>
        <w:tc>
          <w:tcPr>
            <w:tcW w:type="dxa" w:w="1296"/>
            <w:shd w:val="clear" w:color="auto" w:fill="EEF2FF"/>
          </w:tcPr>
          <w:p>
            <w:r>
              <w:rPr>
                <w:rFonts w:ascii="Calibri" w:hAnsi="Calibri"/>
                <w:sz w:val="20"/>
              </w:rPr>
              <w:t>5.51</w:t>
            </w:r>
          </w:p>
        </w:tc>
        <w:tc>
          <w:tcPr>
            <w:tcW w:type="dxa" w:w="1296"/>
            <w:shd w:val="clear" w:color="auto" w:fill="EEF2FF"/>
          </w:tcPr>
          <w:p>
            <w:r>
              <w:rPr>
                <w:rFonts w:ascii="Calibri" w:hAnsi="Calibri"/>
                <w:sz w:val="20"/>
              </w:rPr>
              <w:t>5</w:t>
            </w:r>
          </w:p>
        </w:tc>
        <w:tc>
          <w:tcPr>
            <w:tcW w:type="dxa" w:w="1296"/>
            <w:shd w:val="clear" w:color="auto" w:fill="EEF2FF"/>
          </w:tcPr>
          <w:p>
            <w:r>
              <w:rPr>
                <w:rFonts w:ascii="Calibri" w:hAnsi="Calibri"/>
                <w:sz w:val="20"/>
              </w:rPr>
              <w:t>2.92</w:t>
            </w:r>
          </w:p>
        </w:tc>
      </w:tr>
      <w:tr>
        <w:tc>
          <w:tcPr>
            <w:tcW w:type="dxa" w:w="2592"/>
          </w:tcPr>
          <w:p>
            <w:r>
              <w:rPr>
                <w:rFonts w:ascii="Calibri" w:hAnsi="Calibri"/>
                <w:sz w:val="20"/>
              </w:rPr>
              <w:t>Tax 5%</w:t>
            </w:r>
          </w:p>
        </w:tc>
        <w:tc>
          <w:tcPr>
            <w:tcW w:type="dxa" w:w="1296"/>
          </w:tcPr>
          <w:p>
            <w:r>
              <w:rPr>
                <w:rFonts w:ascii="Calibri" w:hAnsi="Calibri"/>
                <w:sz w:val="20"/>
              </w:rPr>
              <w:t>$0.51</w:t>
            </w:r>
          </w:p>
        </w:tc>
        <w:tc>
          <w:tcPr>
            <w:tcW w:type="dxa" w:w="1296"/>
          </w:tcPr>
          <w:p>
            <w:r>
              <w:rPr>
                <w:rFonts w:ascii="Calibri" w:hAnsi="Calibri"/>
                <w:sz w:val="20"/>
              </w:rPr>
              <w:t>$49.65</w:t>
            </w:r>
          </w:p>
        </w:tc>
        <w:tc>
          <w:tcPr>
            <w:tcW w:type="dxa" w:w="1296"/>
          </w:tcPr>
          <w:p>
            <w:r>
              <w:rPr>
                <w:rFonts w:ascii="Calibri" w:hAnsi="Calibri"/>
                <w:sz w:val="20"/>
              </w:rPr>
              <w:t>$15.38</w:t>
            </w:r>
          </w:p>
        </w:tc>
        <w:tc>
          <w:tcPr>
            <w:tcW w:type="dxa" w:w="1296"/>
          </w:tcPr>
          <w:p>
            <w:r>
              <w:rPr>
                <w:rFonts w:ascii="Calibri" w:hAnsi="Calibri"/>
                <w:sz w:val="20"/>
              </w:rPr>
              <w:t>$12.09</w:t>
            </w:r>
          </w:p>
        </w:tc>
        <w:tc>
          <w:tcPr>
            <w:tcW w:type="dxa" w:w="1296"/>
          </w:tcPr>
          <w:p>
            <w:r>
              <w:rPr>
                <w:rFonts w:ascii="Calibri" w:hAnsi="Calibri"/>
                <w:sz w:val="20"/>
              </w:rPr>
              <w:t>$11.71</w:t>
            </w:r>
          </w:p>
        </w:tc>
      </w:tr>
      <w:tr>
        <w:tc>
          <w:tcPr>
            <w:tcW w:type="dxa" w:w="2592"/>
            <w:shd w:val="clear" w:color="auto" w:fill="EEF2FF"/>
          </w:tcPr>
          <w:p>
            <w:r>
              <w:rPr>
                <w:rFonts w:ascii="Calibri" w:hAnsi="Calibri"/>
                <w:sz w:val="20"/>
              </w:rPr>
              <w:t>Sales (Total)</w:t>
            </w:r>
          </w:p>
        </w:tc>
        <w:tc>
          <w:tcPr>
            <w:tcW w:type="dxa" w:w="1296"/>
            <w:shd w:val="clear" w:color="auto" w:fill="EEF2FF"/>
          </w:tcPr>
          <w:p>
            <w:r>
              <w:rPr>
                <w:rFonts w:ascii="Calibri" w:hAnsi="Calibri"/>
                <w:sz w:val="20"/>
              </w:rPr>
              <w:t>$10.68</w:t>
            </w:r>
          </w:p>
        </w:tc>
        <w:tc>
          <w:tcPr>
            <w:tcW w:type="dxa" w:w="1296"/>
            <w:shd w:val="clear" w:color="auto" w:fill="EEF2FF"/>
          </w:tcPr>
          <w:p>
            <w:r>
              <w:rPr>
                <w:rFonts w:ascii="Calibri" w:hAnsi="Calibri"/>
                <w:sz w:val="20"/>
              </w:rPr>
              <w:t>$1,042.65</w:t>
            </w:r>
          </w:p>
        </w:tc>
        <w:tc>
          <w:tcPr>
            <w:tcW w:type="dxa" w:w="1296"/>
            <w:shd w:val="clear" w:color="auto" w:fill="EEF2FF"/>
          </w:tcPr>
          <w:p>
            <w:r>
              <w:rPr>
                <w:rFonts w:ascii="Calibri" w:hAnsi="Calibri"/>
                <w:sz w:val="20"/>
              </w:rPr>
              <w:t>$322.97</w:t>
            </w:r>
          </w:p>
        </w:tc>
        <w:tc>
          <w:tcPr>
            <w:tcW w:type="dxa" w:w="1296"/>
            <w:shd w:val="clear" w:color="auto" w:fill="EEF2FF"/>
          </w:tcPr>
          <w:p>
            <w:r>
              <w:rPr>
                <w:rFonts w:ascii="Calibri" w:hAnsi="Calibri"/>
                <w:sz w:val="20"/>
              </w:rPr>
              <w:t>$253.85</w:t>
            </w:r>
          </w:p>
        </w:tc>
        <w:tc>
          <w:tcPr>
            <w:tcW w:type="dxa" w:w="1296"/>
            <w:shd w:val="clear" w:color="auto" w:fill="EEF2FF"/>
          </w:tcPr>
          <w:p>
            <w:r>
              <w:rPr>
                <w:rFonts w:ascii="Calibri" w:hAnsi="Calibri"/>
                <w:sz w:val="20"/>
              </w:rPr>
              <w:t>$245.88</w:t>
            </w:r>
          </w:p>
        </w:tc>
      </w:tr>
      <w:tr>
        <w:tc>
          <w:tcPr>
            <w:tcW w:type="dxa" w:w="2592"/>
          </w:tcPr>
          <w:p>
            <w:r>
              <w:rPr>
                <w:rFonts w:ascii="Calibri" w:hAnsi="Calibri"/>
                <w:sz w:val="20"/>
              </w:rPr>
              <w:t>cogs</w:t>
            </w:r>
          </w:p>
        </w:tc>
        <w:tc>
          <w:tcPr>
            <w:tcW w:type="dxa" w:w="1296"/>
          </w:tcPr>
          <w:p>
            <w:r>
              <w:rPr>
                <w:rFonts w:ascii="Calibri" w:hAnsi="Calibri"/>
                <w:sz w:val="20"/>
              </w:rPr>
              <w:t>$10.17</w:t>
            </w:r>
          </w:p>
        </w:tc>
        <w:tc>
          <w:tcPr>
            <w:tcW w:type="dxa" w:w="1296"/>
          </w:tcPr>
          <w:p>
            <w:r>
              <w:rPr>
                <w:rFonts w:ascii="Calibri" w:hAnsi="Calibri"/>
                <w:sz w:val="20"/>
              </w:rPr>
              <w:t>$993.00</w:t>
            </w:r>
          </w:p>
        </w:tc>
        <w:tc>
          <w:tcPr>
            <w:tcW w:type="dxa" w:w="1296"/>
          </w:tcPr>
          <w:p>
            <w:r>
              <w:rPr>
                <w:rFonts w:ascii="Calibri" w:hAnsi="Calibri"/>
                <w:sz w:val="20"/>
              </w:rPr>
              <w:t>$307.59</w:t>
            </w:r>
          </w:p>
        </w:tc>
        <w:tc>
          <w:tcPr>
            <w:tcW w:type="dxa" w:w="1296"/>
          </w:tcPr>
          <w:p>
            <w:r>
              <w:rPr>
                <w:rFonts w:ascii="Calibri" w:hAnsi="Calibri"/>
                <w:sz w:val="20"/>
              </w:rPr>
              <w:t>$241.77</w:t>
            </w:r>
          </w:p>
        </w:tc>
        <w:tc>
          <w:tcPr>
            <w:tcW w:type="dxa" w:w="1296"/>
          </w:tcPr>
          <w:p>
            <w:r>
              <w:rPr>
                <w:rFonts w:ascii="Calibri" w:hAnsi="Calibri"/>
                <w:sz w:val="20"/>
              </w:rPr>
              <w:t>$234.18</w:t>
            </w:r>
          </w:p>
        </w:tc>
      </w:tr>
      <w:tr>
        <w:tc>
          <w:tcPr>
            <w:tcW w:type="dxa" w:w="2592"/>
            <w:shd w:val="clear" w:color="auto" w:fill="EEF2FF"/>
          </w:tcPr>
          <w:p>
            <w:r>
              <w:rPr>
                <w:rFonts w:ascii="Calibri" w:hAnsi="Calibri"/>
                <w:sz w:val="20"/>
              </w:rPr>
              <w:t>gross income</w:t>
            </w:r>
          </w:p>
        </w:tc>
        <w:tc>
          <w:tcPr>
            <w:tcW w:type="dxa" w:w="1296"/>
            <w:shd w:val="clear" w:color="auto" w:fill="EEF2FF"/>
          </w:tcPr>
          <w:p>
            <w:r>
              <w:rPr>
                <w:rFonts w:ascii="Calibri" w:hAnsi="Calibri"/>
                <w:sz w:val="20"/>
              </w:rPr>
              <w:t>$0.51</w:t>
            </w:r>
          </w:p>
        </w:tc>
        <w:tc>
          <w:tcPr>
            <w:tcW w:type="dxa" w:w="1296"/>
            <w:shd w:val="clear" w:color="auto" w:fill="EEF2FF"/>
          </w:tcPr>
          <w:p>
            <w:r>
              <w:rPr>
                <w:rFonts w:ascii="Calibri" w:hAnsi="Calibri"/>
                <w:sz w:val="20"/>
              </w:rPr>
              <w:t>$49.65</w:t>
            </w:r>
          </w:p>
        </w:tc>
        <w:tc>
          <w:tcPr>
            <w:tcW w:type="dxa" w:w="1296"/>
            <w:shd w:val="clear" w:color="auto" w:fill="EEF2FF"/>
          </w:tcPr>
          <w:p>
            <w:r>
              <w:rPr>
                <w:rFonts w:ascii="Calibri" w:hAnsi="Calibri"/>
                <w:sz w:val="20"/>
              </w:rPr>
              <w:t>$15.38</w:t>
            </w:r>
          </w:p>
        </w:tc>
        <w:tc>
          <w:tcPr>
            <w:tcW w:type="dxa" w:w="1296"/>
            <w:shd w:val="clear" w:color="auto" w:fill="EEF2FF"/>
          </w:tcPr>
          <w:p>
            <w:r>
              <w:rPr>
                <w:rFonts w:ascii="Calibri" w:hAnsi="Calibri"/>
                <w:sz w:val="20"/>
              </w:rPr>
              <w:t>$12.09</w:t>
            </w:r>
          </w:p>
        </w:tc>
        <w:tc>
          <w:tcPr>
            <w:tcW w:type="dxa" w:w="1296"/>
            <w:shd w:val="clear" w:color="auto" w:fill="EEF2FF"/>
          </w:tcPr>
          <w:p>
            <w:r>
              <w:rPr>
                <w:rFonts w:ascii="Calibri" w:hAnsi="Calibri"/>
                <w:sz w:val="20"/>
              </w:rPr>
              <w:t>$11.71</w:t>
            </w:r>
          </w:p>
        </w:tc>
      </w:tr>
      <w:tr>
        <w:tc>
          <w:tcPr>
            <w:tcW w:type="dxa" w:w="2592"/>
          </w:tcPr>
          <w:p>
            <w:r>
              <w:rPr>
                <w:rFonts w:ascii="Calibri" w:hAnsi="Calibri"/>
                <w:sz w:val="20"/>
              </w:rPr>
              <w:t>gross margin %</w:t>
            </w:r>
          </w:p>
        </w:tc>
        <w:tc>
          <w:tcPr>
            <w:tcW w:type="dxa" w:w="1296"/>
          </w:tcPr>
          <w:p>
            <w:r>
              <w:rPr>
                <w:rFonts w:ascii="Calibri" w:hAnsi="Calibri"/>
                <w:sz w:val="20"/>
              </w:rPr>
              <w:t>4.7619%</w:t>
            </w:r>
          </w:p>
        </w:tc>
        <w:tc>
          <w:tcPr>
            <w:tcW w:type="dxa" w:w="1296"/>
          </w:tcPr>
          <w:p>
            <w:r>
              <w:rPr>
                <w:rFonts w:ascii="Calibri" w:hAnsi="Calibri"/>
                <w:sz w:val="20"/>
              </w:rPr>
              <w:t>4.7619%</w:t>
            </w:r>
          </w:p>
        </w:tc>
        <w:tc>
          <w:tcPr>
            <w:tcW w:type="dxa" w:w="1296"/>
          </w:tcPr>
          <w:p>
            <w:r>
              <w:rPr>
                <w:rFonts w:ascii="Calibri" w:hAnsi="Calibri"/>
                <w:sz w:val="20"/>
              </w:rPr>
              <w:t>4.7619%</w:t>
            </w:r>
          </w:p>
        </w:tc>
        <w:tc>
          <w:tcPr>
            <w:tcW w:type="dxa" w:w="1296"/>
          </w:tcPr>
          <w:p>
            <w:r>
              <w:rPr>
                <w:rFonts w:ascii="Calibri" w:hAnsi="Calibri"/>
                <w:sz w:val="20"/>
              </w:rPr>
              <w:t>4.7619%</w:t>
            </w:r>
          </w:p>
        </w:tc>
        <w:tc>
          <w:tcPr>
            <w:tcW w:type="dxa" w:w="1296"/>
          </w:tcPr>
          <w:p>
            <w:r>
              <w:rPr>
                <w:rFonts w:ascii="Calibri" w:hAnsi="Calibri"/>
                <w:sz w:val="20"/>
              </w:rPr>
              <w:t>0.0</w:t>
            </w:r>
          </w:p>
        </w:tc>
      </w:tr>
      <w:tr>
        <w:tc>
          <w:tcPr>
            <w:tcW w:type="dxa" w:w="2592"/>
            <w:shd w:val="clear" w:color="auto" w:fill="EEF2FF"/>
          </w:tcPr>
          <w:p>
            <w:r>
              <w:rPr>
                <w:rFonts w:ascii="Calibri" w:hAnsi="Calibri"/>
                <w:sz w:val="20"/>
              </w:rPr>
              <w:t>Rating</w:t>
            </w:r>
          </w:p>
        </w:tc>
        <w:tc>
          <w:tcPr>
            <w:tcW w:type="dxa" w:w="1296"/>
            <w:shd w:val="clear" w:color="auto" w:fill="EEF2FF"/>
          </w:tcPr>
          <w:p>
            <w:r>
              <w:rPr>
                <w:rFonts w:ascii="Calibri" w:hAnsi="Calibri"/>
                <w:sz w:val="20"/>
              </w:rPr>
              <w:t>4.0</w:t>
            </w:r>
          </w:p>
        </w:tc>
        <w:tc>
          <w:tcPr>
            <w:tcW w:type="dxa" w:w="1296"/>
            <w:shd w:val="clear" w:color="auto" w:fill="EEF2FF"/>
          </w:tcPr>
          <w:p>
            <w:r>
              <w:rPr>
                <w:rFonts w:ascii="Calibri" w:hAnsi="Calibri"/>
                <w:sz w:val="20"/>
              </w:rPr>
              <w:t>10.0</w:t>
            </w:r>
          </w:p>
        </w:tc>
        <w:tc>
          <w:tcPr>
            <w:tcW w:type="dxa" w:w="1296"/>
            <w:shd w:val="clear" w:color="auto" w:fill="EEF2FF"/>
          </w:tcPr>
          <w:p>
            <w:r>
              <w:rPr>
                <w:rFonts w:ascii="Calibri" w:hAnsi="Calibri"/>
                <w:sz w:val="20"/>
              </w:rPr>
              <w:t>6.97</w:t>
            </w:r>
          </w:p>
        </w:tc>
        <w:tc>
          <w:tcPr>
            <w:tcW w:type="dxa" w:w="1296"/>
            <w:shd w:val="clear" w:color="auto" w:fill="EEF2FF"/>
          </w:tcPr>
          <w:p>
            <w:r>
              <w:rPr>
                <w:rFonts w:ascii="Calibri" w:hAnsi="Calibri"/>
                <w:sz w:val="20"/>
              </w:rPr>
              <w:t>7.0</w:t>
            </w:r>
          </w:p>
        </w:tc>
        <w:tc>
          <w:tcPr>
            <w:tcW w:type="dxa" w:w="1296"/>
            <w:shd w:val="clear" w:color="auto" w:fill="EEF2FF"/>
          </w:tcPr>
          <w:p>
            <w:r>
              <w:rPr>
                <w:rFonts w:ascii="Calibri" w:hAnsi="Calibri"/>
                <w:sz w:val="20"/>
              </w:rPr>
              <w:t>1.72</w:t>
            </w:r>
          </w:p>
        </w:tc>
      </w:tr>
    </w:tbl>
    <w:p/>
    <w:p>
      <w:pPr>
        <w:spacing w:after="160"/>
        <w:jc w:val="center"/>
      </w:pPr>
      <w:r>
        <w:rPr>
          <w:rFonts w:ascii="Calibri" w:hAnsi="Calibri"/>
          <w:i/>
          <w:color w:val="555555"/>
          <w:sz w:val="18"/>
        </w:rPr>
        <w:t>Table 10.1: Descriptive Statistics of Numerical Columns</w:t>
      </w:r>
    </w:p>
    <w:p>
      <w:pPr>
        <w:pStyle w:val="Heading2"/>
        <w:spacing w:before="240" w:after="80"/>
      </w:pPr>
      <w:r>
        <w:rPr>
          <w:color w:val="2C3E7A"/>
        </w:rPr>
        <w:t>10.2 Categorical Column Distributions</w:t>
      </w:r>
    </w:p>
    <w:p>
      <w:pPr>
        <w:spacing w:after="120" w:line="360" w:lineRule="auto"/>
      </w:pPr>
      <w:r>
        <w:rPr>
          <w:rFonts w:ascii="Calibri" w:hAnsi="Calibri"/>
          <w:b w:val="0"/>
          <w:i w:val="0"/>
          <w:sz w:val="22"/>
        </w:rPr>
        <w:t>The categorical columns and their unique value distributions are:</w:t>
      </w:r>
    </w:p>
    <w:tbl>
      <w:tblPr>
        <w:tblStyle w:val="TableGrid"/>
        <w:tblW w:type="auto" w:w="0"/>
        <w:jc w:val="center"/>
        <w:tblLook w:firstColumn="1" w:firstRow="1" w:lastColumn="0" w:lastRow="0" w:noHBand="0" w:noVBand="1" w:val="04A0"/>
      </w:tblPr>
      <w:tblGrid>
        <w:gridCol w:w="2769"/>
        <w:gridCol w:w="2769"/>
        <w:gridCol w:w="2769"/>
      </w:tblGrid>
      <w:tr>
        <w:tc>
          <w:tcPr>
            <w:tcW w:type="dxa" w:w="2160"/>
            <w:shd w:val="clear" w:color="auto" w:fill="1A1A6E"/>
            <w:vAlign w:val="center"/>
          </w:tcPr>
          <w:p>
            <w:pPr>
              <w:jc w:val="center"/>
            </w:pPr>
            <w:r>
              <w:rPr>
                <w:b/>
                <w:color w:val="FFFFFF"/>
                <w:sz w:val="20"/>
              </w:rPr>
              <w:t>Column</w:t>
            </w:r>
          </w:p>
        </w:tc>
        <w:tc>
          <w:tcPr>
            <w:tcW w:type="dxa" w:w="1728"/>
            <w:shd w:val="clear" w:color="auto" w:fill="1A1A6E"/>
            <w:vAlign w:val="center"/>
          </w:tcPr>
          <w:p>
            <w:pPr>
              <w:jc w:val="center"/>
            </w:pPr>
            <w:r>
              <w:rPr>
                <w:b/>
                <w:color w:val="FFFFFF"/>
                <w:sz w:val="20"/>
              </w:rPr>
              <w:t>Unique Values</w:t>
            </w:r>
          </w:p>
        </w:tc>
        <w:tc>
          <w:tcPr>
            <w:tcW w:type="dxa" w:w="6192"/>
            <w:shd w:val="clear" w:color="auto" w:fill="1A1A6E"/>
            <w:vAlign w:val="center"/>
          </w:tcPr>
          <w:p>
            <w:pPr>
              <w:jc w:val="center"/>
            </w:pPr>
            <w:r>
              <w:rPr>
                <w:b/>
                <w:color w:val="FFFFFF"/>
                <w:sz w:val="20"/>
              </w:rPr>
              <w:t>Categories</w:t>
            </w:r>
          </w:p>
        </w:tc>
      </w:tr>
      <w:tr>
        <w:tc>
          <w:tcPr>
            <w:tcW w:type="dxa" w:w="2160"/>
          </w:tcPr>
          <w:p>
            <w:r>
              <w:rPr>
                <w:rFonts w:ascii="Calibri" w:hAnsi="Calibri"/>
                <w:sz w:val="20"/>
              </w:rPr>
              <w:t>Branch</w:t>
            </w:r>
          </w:p>
        </w:tc>
        <w:tc>
          <w:tcPr>
            <w:tcW w:type="dxa" w:w="1728"/>
          </w:tcPr>
          <w:p>
            <w:r>
              <w:rPr>
                <w:rFonts w:ascii="Calibri" w:hAnsi="Calibri"/>
                <w:sz w:val="20"/>
              </w:rPr>
              <w:t>3</w:t>
            </w:r>
          </w:p>
        </w:tc>
        <w:tc>
          <w:tcPr>
            <w:tcW w:type="dxa" w:w="6192"/>
          </w:tcPr>
          <w:p>
            <w:r>
              <w:rPr>
                <w:rFonts w:ascii="Calibri" w:hAnsi="Calibri"/>
                <w:sz w:val="20"/>
              </w:rPr>
              <w:t>Alex, Giza, Cairo</w:t>
            </w:r>
          </w:p>
        </w:tc>
      </w:tr>
      <w:tr>
        <w:tc>
          <w:tcPr>
            <w:tcW w:type="dxa" w:w="2160"/>
            <w:shd w:val="clear" w:color="auto" w:fill="EEF2FF"/>
          </w:tcPr>
          <w:p>
            <w:r>
              <w:rPr>
                <w:rFonts w:ascii="Calibri" w:hAnsi="Calibri"/>
                <w:sz w:val="20"/>
              </w:rPr>
              <w:t>City</w:t>
            </w:r>
          </w:p>
        </w:tc>
        <w:tc>
          <w:tcPr>
            <w:tcW w:type="dxa" w:w="1728"/>
            <w:shd w:val="clear" w:color="auto" w:fill="EEF2FF"/>
          </w:tcPr>
          <w:p>
            <w:r>
              <w:rPr>
                <w:rFonts w:ascii="Calibri" w:hAnsi="Calibri"/>
                <w:sz w:val="20"/>
              </w:rPr>
              <w:t>3</w:t>
            </w:r>
          </w:p>
        </w:tc>
        <w:tc>
          <w:tcPr>
            <w:tcW w:type="dxa" w:w="6192"/>
            <w:shd w:val="clear" w:color="auto" w:fill="EEF2FF"/>
          </w:tcPr>
          <w:p>
            <w:r>
              <w:rPr>
                <w:rFonts w:ascii="Calibri" w:hAnsi="Calibri"/>
                <w:sz w:val="20"/>
              </w:rPr>
              <w:t>Yangon, Naypyitaw, Mandalay</w:t>
            </w:r>
          </w:p>
        </w:tc>
      </w:tr>
      <w:tr>
        <w:tc>
          <w:tcPr>
            <w:tcW w:type="dxa" w:w="2160"/>
          </w:tcPr>
          <w:p>
            <w:r>
              <w:rPr>
                <w:rFonts w:ascii="Calibri" w:hAnsi="Calibri"/>
                <w:sz w:val="20"/>
              </w:rPr>
              <w:t>Customer type</w:t>
            </w:r>
          </w:p>
        </w:tc>
        <w:tc>
          <w:tcPr>
            <w:tcW w:type="dxa" w:w="1728"/>
          </w:tcPr>
          <w:p>
            <w:r>
              <w:rPr>
                <w:rFonts w:ascii="Calibri" w:hAnsi="Calibri"/>
                <w:sz w:val="20"/>
              </w:rPr>
              <w:t>2</w:t>
            </w:r>
          </w:p>
        </w:tc>
        <w:tc>
          <w:tcPr>
            <w:tcW w:type="dxa" w:w="6192"/>
          </w:tcPr>
          <w:p>
            <w:r>
              <w:rPr>
                <w:rFonts w:ascii="Calibri" w:hAnsi="Calibri"/>
                <w:sz w:val="20"/>
              </w:rPr>
              <w:t>Member, Normal</w:t>
            </w:r>
          </w:p>
        </w:tc>
      </w:tr>
      <w:tr>
        <w:tc>
          <w:tcPr>
            <w:tcW w:type="dxa" w:w="2160"/>
            <w:shd w:val="clear" w:color="auto" w:fill="EEF2FF"/>
          </w:tcPr>
          <w:p>
            <w:r>
              <w:rPr>
                <w:rFonts w:ascii="Calibri" w:hAnsi="Calibri"/>
                <w:sz w:val="20"/>
              </w:rPr>
              <w:t>Gender</w:t>
            </w:r>
          </w:p>
        </w:tc>
        <w:tc>
          <w:tcPr>
            <w:tcW w:type="dxa" w:w="1728"/>
            <w:shd w:val="clear" w:color="auto" w:fill="EEF2FF"/>
          </w:tcPr>
          <w:p>
            <w:r>
              <w:rPr>
                <w:rFonts w:ascii="Calibri" w:hAnsi="Calibri"/>
                <w:sz w:val="20"/>
              </w:rPr>
              <w:t>2</w:t>
            </w:r>
          </w:p>
        </w:tc>
        <w:tc>
          <w:tcPr>
            <w:tcW w:type="dxa" w:w="6192"/>
            <w:shd w:val="clear" w:color="auto" w:fill="EEF2FF"/>
          </w:tcPr>
          <w:p>
            <w:r>
              <w:rPr>
                <w:rFonts w:ascii="Calibri" w:hAnsi="Calibri"/>
                <w:sz w:val="20"/>
              </w:rPr>
              <w:t>Female, Male</w:t>
            </w:r>
          </w:p>
        </w:tc>
      </w:tr>
      <w:tr>
        <w:tc>
          <w:tcPr>
            <w:tcW w:type="dxa" w:w="2160"/>
          </w:tcPr>
          <w:p>
            <w:r>
              <w:rPr>
                <w:rFonts w:ascii="Calibri" w:hAnsi="Calibri"/>
                <w:sz w:val="20"/>
              </w:rPr>
              <w:t>Product line</w:t>
            </w:r>
          </w:p>
        </w:tc>
        <w:tc>
          <w:tcPr>
            <w:tcW w:type="dxa" w:w="1728"/>
          </w:tcPr>
          <w:p>
            <w:r>
              <w:rPr>
                <w:rFonts w:ascii="Calibri" w:hAnsi="Calibri"/>
                <w:sz w:val="20"/>
              </w:rPr>
              <w:t>6</w:t>
            </w:r>
          </w:p>
        </w:tc>
        <w:tc>
          <w:tcPr>
            <w:tcW w:type="dxa" w:w="6192"/>
          </w:tcPr>
          <w:p>
            <w:r>
              <w:rPr>
                <w:rFonts w:ascii="Calibri" w:hAnsi="Calibri"/>
                <w:sz w:val="20"/>
              </w:rPr>
              <w:t>Health and beauty, Electronic accessories, Home and lifestyle, Sports and travel, Food and beverages, Fashion accessories</w:t>
            </w:r>
          </w:p>
        </w:tc>
      </w:tr>
      <w:tr>
        <w:tc>
          <w:tcPr>
            <w:tcW w:type="dxa" w:w="2160"/>
            <w:shd w:val="clear" w:color="auto" w:fill="EEF2FF"/>
          </w:tcPr>
          <w:p>
            <w:r>
              <w:rPr>
                <w:rFonts w:ascii="Calibri" w:hAnsi="Calibri"/>
                <w:sz w:val="20"/>
              </w:rPr>
              <w:t>Payment</w:t>
            </w:r>
          </w:p>
        </w:tc>
        <w:tc>
          <w:tcPr>
            <w:tcW w:type="dxa" w:w="1728"/>
            <w:shd w:val="clear" w:color="auto" w:fill="EEF2FF"/>
          </w:tcPr>
          <w:p>
            <w:r>
              <w:rPr>
                <w:rFonts w:ascii="Calibri" w:hAnsi="Calibri"/>
                <w:sz w:val="20"/>
              </w:rPr>
              <w:t>3</w:t>
            </w:r>
          </w:p>
        </w:tc>
        <w:tc>
          <w:tcPr>
            <w:tcW w:type="dxa" w:w="6192"/>
            <w:shd w:val="clear" w:color="auto" w:fill="EEF2FF"/>
          </w:tcPr>
          <w:p>
            <w:r>
              <w:rPr>
                <w:rFonts w:ascii="Calibri" w:hAnsi="Calibri"/>
                <w:sz w:val="20"/>
              </w:rPr>
              <w:t>Ewallet, Cash, Credit card</w:t>
            </w:r>
          </w:p>
        </w:tc>
      </w:tr>
    </w:tbl>
    <w:p/>
    <w:p>
      <w:pPr>
        <w:spacing w:after="160"/>
        <w:jc w:val="center"/>
      </w:pPr>
      <w:r>
        <w:rPr>
          <w:rFonts w:ascii="Calibri" w:hAnsi="Calibri"/>
          <w:i/>
          <w:color w:val="555555"/>
          <w:sz w:val="18"/>
        </w:rPr>
        <w:t>Table 10.2: Categorical Column Distributions</w:t>
      </w:r>
    </w:p>
    <w:p>
      <w:pPr>
        <w:pStyle w:val="Heading2"/>
        <w:spacing w:before="240" w:after="80"/>
      </w:pPr>
      <w:r>
        <w:rPr>
          <w:color w:val="2C3E7A"/>
        </w:rPr>
        <w:t>10.3 Sales Distribution by Category</w:t>
      </w:r>
    </w:p>
    <w:p>
      <w:pPr>
        <w:spacing w:after="120" w:line="360" w:lineRule="auto"/>
      </w:pPr>
      <w:r>
        <w:rPr>
          <w:rFonts w:ascii="Calibri" w:hAnsi="Calibri"/>
          <w:b w:val="0"/>
          <w:i w:val="0"/>
          <w:sz w:val="22"/>
        </w:rPr>
        <w:t>Total Sales across all transactions: $322,966.75. Distribution by major categories:</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160"/>
            <w:shd w:val="clear" w:color="auto" w:fill="1A1A6E"/>
            <w:vAlign w:val="center"/>
          </w:tcPr>
          <w:p>
            <w:pPr>
              <w:jc w:val="center"/>
            </w:pPr>
            <w:r>
              <w:rPr>
                <w:b/>
                <w:color w:val="FFFFFF"/>
                <w:sz w:val="20"/>
              </w:rPr>
              <w:t>Category</w:t>
            </w:r>
          </w:p>
        </w:tc>
        <w:tc>
          <w:tcPr>
            <w:tcW w:type="dxa" w:w="3600"/>
            <w:shd w:val="clear" w:color="auto" w:fill="1A1A6E"/>
            <w:vAlign w:val="center"/>
          </w:tcPr>
          <w:p>
            <w:pPr>
              <w:jc w:val="center"/>
            </w:pPr>
            <w:r>
              <w:rPr>
                <w:b/>
                <w:color w:val="FFFFFF"/>
                <w:sz w:val="20"/>
              </w:rPr>
              <w:t>Group</w:t>
            </w:r>
          </w:p>
        </w:tc>
        <w:tc>
          <w:tcPr>
            <w:tcW w:type="dxa" w:w="2880"/>
            <w:shd w:val="clear" w:color="auto" w:fill="1A1A6E"/>
            <w:vAlign w:val="center"/>
          </w:tcPr>
          <w:p>
            <w:pPr>
              <w:jc w:val="center"/>
            </w:pPr>
            <w:r>
              <w:rPr>
                <w:b/>
                <w:color w:val="FFFFFF"/>
                <w:sz w:val="20"/>
              </w:rPr>
              <w:t>Total Sales ($)</w:t>
            </w:r>
          </w:p>
        </w:tc>
        <w:tc>
          <w:tcPr>
            <w:tcW w:type="dxa" w:w="1440"/>
            <w:shd w:val="clear" w:color="auto" w:fill="1A1A6E"/>
            <w:vAlign w:val="center"/>
          </w:tcPr>
          <w:p>
            <w:pPr>
              <w:jc w:val="center"/>
            </w:pPr>
            <w:r>
              <w:rPr>
                <w:b/>
                <w:color w:val="FFFFFF"/>
                <w:sz w:val="20"/>
              </w:rPr>
              <w:t>% of Total</w:t>
            </w:r>
          </w:p>
        </w:tc>
      </w:tr>
      <w:tr>
        <w:tc>
          <w:tcPr>
            <w:tcW w:type="dxa" w:w="2160"/>
          </w:tcPr>
          <w:p>
            <w:r>
              <w:rPr>
                <w:rFonts w:ascii="Calibri" w:hAnsi="Calibri"/>
                <w:sz w:val="20"/>
              </w:rPr>
              <w:t>Product Line</w:t>
            </w:r>
          </w:p>
        </w:tc>
        <w:tc>
          <w:tcPr>
            <w:tcW w:type="dxa" w:w="3600"/>
          </w:tcPr>
          <w:p>
            <w:r>
              <w:rPr>
                <w:rFonts w:ascii="Calibri" w:hAnsi="Calibri"/>
                <w:sz w:val="20"/>
              </w:rPr>
              <w:t>Food and beverages</w:t>
            </w:r>
          </w:p>
        </w:tc>
        <w:tc>
          <w:tcPr>
            <w:tcW w:type="dxa" w:w="2880"/>
          </w:tcPr>
          <w:p>
            <w:r>
              <w:rPr>
                <w:rFonts w:ascii="Calibri" w:hAnsi="Calibri"/>
                <w:sz w:val="20"/>
              </w:rPr>
              <w:t>$56,144.84</w:t>
            </w:r>
          </w:p>
        </w:tc>
        <w:tc>
          <w:tcPr>
            <w:tcW w:type="dxa" w:w="1440"/>
          </w:tcPr>
          <w:p>
            <w:r>
              <w:rPr>
                <w:rFonts w:ascii="Calibri" w:hAnsi="Calibri"/>
                <w:sz w:val="20"/>
              </w:rPr>
              <w:t>17.4%</w:t>
            </w:r>
          </w:p>
        </w:tc>
      </w:tr>
      <w:tr>
        <w:tc>
          <w:tcPr>
            <w:tcW w:type="dxa" w:w="2160"/>
            <w:shd w:val="clear" w:color="auto" w:fill="EEF2FF"/>
          </w:tcPr>
          <w:p>
            <w:r>
              <w:rPr>
                <w:rFonts w:ascii="Calibri" w:hAnsi="Calibri"/>
                <w:sz w:val="20"/>
              </w:rPr>
              <w:t>Product Line</w:t>
            </w:r>
          </w:p>
        </w:tc>
        <w:tc>
          <w:tcPr>
            <w:tcW w:type="dxa" w:w="3600"/>
            <w:shd w:val="clear" w:color="auto" w:fill="EEF2FF"/>
          </w:tcPr>
          <w:p>
            <w:r>
              <w:rPr>
                <w:rFonts w:ascii="Calibri" w:hAnsi="Calibri"/>
                <w:sz w:val="20"/>
              </w:rPr>
              <w:t>Sports and travel</w:t>
            </w:r>
          </w:p>
        </w:tc>
        <w:tc>
          <w:tcPr>
            <w:tcW w:type="dxa" w:w="2880"/>
            <w:shd w:val="clear" w:color="auto" w:fill="EEF2FF"/>
          </w:tcPr>
          <w:p>
            <w:r>
              <w:rPr>
                <w:rFonts w:ascii="Calibri" w:hAnsi="Calibri"/>
                <w:sz w:val="20"/>
              </w:rPr>
              <w:t>$55,122.83</w:t>
            </w:r>
          </w:p>
        </w:tc>
        <w:tc>
          <w:tcPr>
            <w:tcW w:type="dxa" w:w="1440"/>
            <w:shd w:val="clear" w:color="auto" w:fill="EEF2FF"/>
          </w:tcPr>
          <w:p>
            <w:r>
              <w:rPr>
                <w:rFonts w:ascii="Calibri" w:hAnsi="Calibri"/>
                <w:sz w:val="20"/>
              </w:rPr>
              <w:t>17.1%</w:t>
            </w:r>
          </w:p>
        </w:tc>
      </w:tr>
      <w:tr>
        <w:tc>
          <w:tcPr>
            <w:tcW w:type="dxa" w:w="2160"/>
          </w:tcPr>
          <w:p>
            <w:r>
              <w:rPr>
                <w:rFonts w:ascii="Calibri" w:hAnsi="Calibri"/>
                <w:sz w:val="20"/>
              </w:rPr>
              <w:t>Product Line</w:t>
            </w:r>
          </w:p>
        </w:tc>
        <w:tc>
          <w:tcPr>
            <w:tcW w:type="dxa" w:w="3600"/>
          </w:tcPr>
          <w:p>
            <w:r>
              <w:rPr>
                <w:rFonts w:ascii="Calibri" w:hAnsi="Calibri"/>
                <w:sz w:val="20"/>
              </w:rPr>
              <w:t>Electronic accessories</w:t>
            </w:r>
          </w:p>
        </w:tc>
        <w:tc>
          <w:tcPr>
            <w:tcW w:type="dxa" w:w="2880"/>
          </w:tcPr>
          <w:p>
            <w:r>
              <w:rPr>
                <w:rFonts w:ascii="Calibri" w:hAnsi="Calibri"/>
                <w:sz w:val="20"/>
              </w:rPr>
              <w:t>$54,337.53</w:t>
            </w:r>
          </w:p>
        </w:tc>
        <w:tc>
          <w:tcPr>
            <w:tcW w:type="dxa" w:w="1440"/>
          </w:tcPr>
          <w:p>
            <w:r>
              <w:rPr>
                <w:rFonts w:ascii="Calibri" w:hAnsi="Calibri"/>
                <w:sz w:val="20"/>
              </w:rPr>
              <w:t>16.8%</w:t>
            </w:r>
          </w:p>
        </w:tc>
      </w:tr>
      <w:tr>
        <w:tc>
          <w:tcPr>
            <w:tcW w:type="dxa" w:w="2160"/>
            <w:shd w:val="clear" w:color="auto" w:fill="EEF2FF"/>
          </w:tcPr>
          <w:p>
            <w:r>
              <w:rPr>
                <w:rFonts w:ascii="Calibri" w:hAnsi="Calibri"/>
                <w:sz w:val="20"/>
              </w:rPr>
              <w:t>Product Line</w:t>
            </w:r>
          </w:p>
        </w:tc>
        <w:tc>
          <w:tcPr>
            <w:tcW w:type="dxa" w:w="3600"/>
            <w:shd w:val="clear" w:color="auto" w:fill="EEF2FF"/>
          </w:tcPr>
          <w:p>
            <w:r>
              <w:rPr>
                <w:rFonts w:ascii="Calibri" w:hAnsi="Calibri"/>
                <w:sz w:val="20"/>
              </w:rPr>
              <w:t>Fashion accessories</w:t>
            </w:r>
          </w:p>
        </w:tc>
        <w:tc>
          <w:tcPr>
            <w:tcW w:type="dxa" w:w="2880"/>
            <w:shd w:val="clear" w:color="auto" w:fill="EEF2FF"/>
          </w:tcPr>
          <w:p>
            <w:r>
              <w:rPr>
                <w:rFonts w:ascii="Calibri" w:hAnsi="Calibri"/>
                <w:sz w:val="20"/>
              </w:rPr>
              <w:t>$54,305.90</w:t>
            </w:r>
          </w:p>
        </w:tc>
        <w:tc>
          <w:tcPr>
            <w:tcW w:type="dxa" w:w="1440"/>
            <w:shd w:val="clear" w:color="auto" w:fill="EEF2FF"/>
          </w:tcPr>
          <w:p>
            <w:r>
              <w:rPr>
                <w:rFonts w:ascii="Calibri" w:hAnsi="Calibri"/>
                <w:sz w:val="20"/>
              </w:rPr>
              <w:t>16.8%</w:t>
            </w:r>
          </w:p>
        </w:tc>
      </w:tr>
      <w:tr>
        <w:tc>
          <w:tcPr>
            <w:tcW w:type="dxa" w:w="2160"/>
          </w:tcPr>
          <w:p>
            <w:r>
              <w:rPr>
                <w:rFonts w:ascii="Calibri" w:hAnsi="Calibri"/>
                <w:sz w:val="20"/>
              </w:rPr>
              <w:t>Product Line</w:t>
            </w:r>
          </w:p>
        </w:tc>
        <w:tc>
          <w:tcPr>
            <w:tcW w:type="dxa" w:w="3600"/>
          </w:tcPr>
          <w:p>
            <w:r>
              <w:rPr>
                <w:rFonts w:ascii="Calibri" w:hAnsi="Calibri"/>
                <w:sz w:val="20"/>
              </w:rPr>
              <w:t>Home and lifestyle</w:t>
            </w:r>
          </w:p>
        </w:tc>
        <w:tc>
          <w:tcPr>
            <w:tcW w:type="dxa" w:w="2880"/>
          </w:tcPr>
          <w:p>
            <w:r>
              <w:rPr>
                <w:rFonts w:ascii="Calibri" w:hAnsi="Calibri"/>
                <w:sz w:val="20"/>
              </w:rPr>
              <w:t>$53,861.91</w:t>
            </w:r>
          </w:p>
        </w:tc>
        <w:tc>
          <w:tcPr>
            <w:tcW w:type="dxa" w:w="1440"/>
          </w:tcPr>
          <w:p>
            <w:r>
              <w:rPr>
                <w:rFonts w:ascii="Calibri" w:hAnsi="Calibri"/>
                <w:sz w:val="20"/>
              </w:rPr>
              <w:t>16.7%</w:t>
            </w:r>
          </w:p>
        </w:tc>
      </w:tr>
      <w:tr>
        <w:tc>
          <w:tcPr>
            <w:tcW w:type="dxa" w:w="2160"/>
            <w:shd w:val="clear" w:color="auto" w:fill="EEF2FF"/>
          </w:tcPr>
          <w:p>
            <w:r>
              <w:rPr>
                <w:rFonts w:ascii="Calibri" w:hAnsi="Calibri"/>
                <w:sz w:val="20"/>
              </w:rPr>
              <w:t>Product Line</w:t>
            </w:r>
          </w:p>
        </w:tc>
        <w:tc>
          <w:tcPr>
            <w:tcW w:type="dxa" w:w="3600"/>
            <w:shd w:val="clear" w:color="auto" w:fill="EEF2FF"/>
          </w:tcPr>
          <w:p>
            <w:r>
              <w:rPr>
                <w:rFonts w:ascii="Calibri" w:hAnsi="Calibri"/>
                <w:sz w:val="20"/>
              </w:rPr>
              <w:t>Health and beauty</w:t>
            </w:r>
          </w:p>
        </w:tc>
        <w:tc>
          <w:tcPr>
            <w:tcW w:type="dxa" w:w="2880"/>
            <w:shd w:val="clear" w:color="auto" w:fill="EEF2FF"/>
          </w:tcPr>
          <w:p>
            <w:r>
              <w:rPr>
                <w:rFonts w:ascii="Calibri" w:hAnsi="Calibri"/>
                <w:sz w:val="20"/>
              </w:rPr>
              <w:t>$49,193.74</w:t>
            </w:r>
          </w:p>
        </w:tc>
        <w:tc>
          <w:tcPr>
            <w:tcW w:type="dxa" w:w="1440"/>
            <w:shd w:val="clear" w:color="auto" w:fill="EEF2FF"/>
          </w:tcPr>
          <w:p>
            <w:r>
              <w:rPr>
                <w:rFonts w:ascii="Calibri" w:hAnsi="Calibri"/>
                <w:sz w:val="20"/>
              </w:rPr>
              <w:t>15.2%</w:t>
            </w:r>
          </w:p>
        </w:tc>
      </w:tr>
      <w:tr>
        <w:tc>
          <w:tcPr>
            <w:tcW w:type="dxa" w:w="2160"/>
          </w:tcPr>
          <w:p>
            <w:r>
              <w:rPr>
                <w:rFonts w:ascii="Calibri" w:hAnsi="Calibri"/>
                <w:sz w:val="20"/>
              </w:rPr>
              <w:t>Branch</w:t>
            </w:r>
          </w:p>
        </w:tc>
        <w:tc>
          <w:tcPr>
            <w:tcW w:type="dxa" w:w="3600"/>
          </w:tcPr>
          <w:p>
            <w:r>
              <w:rPr>
                <w:rFonts w:ascii="Calibri" w:hAnsi="Calibri"/>
                <w:sz w:val="20"/>
              </w:rPr>
              <w:t>Giza</w:t>
            </w:r>
          </w:p>
        </w:tc>
        <w:tc>
          <w:tcPr>
            <w:tcW w:type="dxa" w:w="2880"/>
          </w:tcPr>
          <w:p>
            <w:r>
              <w:rPr>
                <w:rFonts w:ascii="Calibri" w:hAnsi="Calibri"/>
                <w:sz w:val="20"/>
              </w:rPr>
              <w:t>$110,568.71</w:t>
            </w:r>
          </w:p>
        </w:tc>
        <w:tc>
          <w:tcPr>
            <w:tcW w:type="dxa" w:w="1440"/>
          </w:tcPr>
          <w:p>
            <w:r>
              <w:rPr>
                <w:rFonts w:ascii="Calibri" w:hAnsi="Calibri"/>
                <w:sz w:val="20"/>
              </w:rPr>
              <w:t>34.2%</w:t>
            </w:r>
          </w:p>
        </w:tc>
      </w:tr>
      <w:tr>
        <w:tc>
          <w:tcPr>
            <w:tcW w:type="dxa" w:w="2160"/>
            <w:shd w:val="clear" w:color="auto" w:fill="EEF2FF"/>
          </w:tcPr>
          <w:p>
            <w:r>
              <w:rPr>
                <w:rFonts w:ascii="Calibri" w:hAnsi="Calibri"/>
                <w:sz w:val="20"/>
              </w:rPr>
              <w:t>Branch</w:t>
            </w:r>
          </w:p>
        </w:tc>
        <w:tc>
          <w:tcPr>
            <w:tcW w:type="dxa" w:w="3600"/>
            <w:shd w:val="clear" w:color="auto" w:fill="EEF2FF"/>
          </w:tcPr>
          <w:p>
            <w:r>
              <w:rPr>
                <w:rFonts w:ascii="Calibri" w:hAnsi="Calibri"/>
                <w:sz w:val="20"/>
              </w:rPr>
              <w:t>Alex</w:t>
            </w:r>
          </w:p>
        </w:tc>
        <w:tc>
          <w:tcPr>
            <w:tcW w:type="dxa" w:w="2880"/>
            <w:shd w:val="clear" w:color="auto" w:fill="EEF2FF"/>
          </w:tcPr>
          <w:p>
            <w:r>
              <w:rPr>
                <w:rFonts w:ascii="Calibri" w:hAnsi="Calibri"/>
                <w:sz w:val="20"/>
              </w:rPr>
              <w:t>$106,200.37</w:t>
            </w:r>
          </w:p>
        </w:tc>
        <w:tc>
          <w:tcPr>
            <w:tcW w:type="dxa" w:w="1440"/>
            <w:shd w:val="clear" w:color="auto" w:fill="EEF2FF"/>
          </w:tcPr>
          <w:p>
            <w:r>
              <w:rPr>
                <w:rFonts w:ascii="Calibri" w:hAnsi="Calibri"/>
                <w:sz w:val="20"/>
              </w:rPr>
              <w:t>32.9%</w:t>
            </w:r>
          </w:p>
        </w:tc>
      </w:tr>
      <w:tr>
        <w:tc>
          <w:tcPr>
            <w:tcW w:type="dxa" w:w="2160"/>
          </w:tcPr>
          <w:p>
            <w:r>
              <w:rPr>
                <w:rFonts w:ascii="Calibri" w:hAnsi="Calibri"/>
                <w:sz w:val="20"/>
              </w:rPr>
              <w:t>Branch</w:t>
            </w:r>
          </w:p>
        </w:tc>
        <w:tc>
          <w:tcPr>
            <w:tcW w:type="dxa" w:w="3600"/>
          </w:tcPr>
          <w:p>
            <w:r>
              <w:rPr>
                <w:rFonts w:ascii="Calibri" w:hAnsi="Calibri"/>
                <w:sz w:val="20"/>
              </w:rPr>
              <w:t>Cairo</w:t>
            </w:r>
          </w:p>
        </w:tc>
        <w:tc>
          <w:tcPr>
            <w:tcW w:type="dxa" w:w="2880"/>
          </w:tcPr>
          <w:p>
            <w:r>
              <w:rPr>
                <w:rFonts w:ascii="Calibri" w:hAnsi="Calibri"/>
                <w:sz w:val="20"/>
              </w:rPr>
              <w:t>$106,197.67</w:t>
            </w:r>
          </w:p>
        </w:tc>
        <w:tc>
          <w:tcPr>
            <w:tcW w:type="dxa" w:w="1440"/>
          </w:tcPr>
          <w:p>
            <w:r>
              <w:rPr>
                <w:rFonts w:ascii="Calibri" w:hAnsi="Calibri"/>
                <w:sz w:val="20"/>
              </w:rPr>
              <w:t>32.9%</w:t>
            </w:r>
          </w:p>
        </w:tc>
      </w:tr>
      <w:tr>
        <w:tc>
          <w:tcPr>
            <w:tcW w:type="dxa" w:w="2160"/>
            <w:shd w:val="clear" w:color="auto" w:fill="EEF2FF"/>
          </w:tcPr>
          <w:p>
            <w:r>
              <w:rPr>
                <w:rFonts w:ascii="Calibri" w:hAnsi="Calibri"/>
                <w:sz w:val="20"/>
              </w:rPr>
              <w:t>Payment</w:t>
            </w:r>
          </w:p>
        </w:tc>
        <w:tc>
          <w:tcPr>
            <w:tcW w:type="dxa" w:w="3600"/>
            <w:shd w:val="clear" w:color="auto" w:fill="EEF2FF"/>
          </w:tcPr>
          <w:p>
            <w:r>
              <w:rPr>
                <w:rFonts w:ascii="Calibri" w:hAnsi="Calibri"/>
                <w:sz w:val="20"/>
              </w:rPr>
              <w:t>Cash</w:t>
            </w:r>
          </w:p>
        </w:tc>
        <w:tc>
          <w:tcPr>
            <w:tcW w:type="dxa" w:w="2880"/>
            <w:shd w:val="clear" w:color="auto" w:fill="EEF2FF"/>
          </w:tcPr>
          <w:p>
            <w:r>
              <w:rPr>
                <w:rFonts w:ascii="Calibri" w:hAnsi="Calibri"/>
                <w:sz w:val="20"/>
              </w:rPr>
              <w:t>$112,206.57</w:t>
            </w:r>
          </w:p>
        </w:tc>
        <w:tc>
          <w:tcPr>
            <w:tcW w:type="dxa" w:w="1440"/>
            <w:shd w:val="clear" w:color="auto" w:fill="EEF2FF"/>
          </w:tcPr>
          <w:p>
            <w:r>
              <w:rPr>
                <w:rFonts w:ascii="Calibri" w:hAnsi="Calibri"/>
                <w:sz w:val="20"/>
              </w:rPr>
              <w:t>34.7%</w:t>
            </w:r>
          </w:p>
        </w:tc>
      </w:tr>
      <w:tr>
        <w:tc>
          <w:tcPr>
            <w:tcW w:type="dxa" w:w="2160"/>
          </w:tcPr>
          <w:p>
            <w:r>
              <w:rPr>
                <w:rFonts w:ascii="Calibri" w:hAnsi="Calibri"/>
                <w:sz w:val="20"/>
              </w:rPr>
              <w:t>Payment</w:t>
            </w:r>
          </w:p>
        </w:tc>
        <w:tc>
          <w:tcPr>
            <w:tcW w:type="dxa" w:w="3600"/>
          </w:tcPr>
          <w:p>
            <w:r>
              <w:rPr>
                <w:rFonts w:ascii="Calibri" w:hAnsi="Calibri"/>
                <w:sz w:val="20"/>
              </w:rPr>
              <w:t>Ewallet</w:t>
            </w:r>
          </w:p>
        </w:tc>
        <w:tc>
          <w:tcPr>
            <w:tcW w:type="dxa" w:w="2880"/>
          </w:tcPr>
          <w:p>
            <w:r>
              <w:rPr>
                <w:rFonts w:ascii="Calibri" w:hAnsi="Calibri"/>
                <w:sz w:val="20"/>
              </w:rPr>
              <w:t>$109,993.11</w:t>
            </w:r>
          </w:p>
        </w:tc>
        <w:tc>
          <w:tcPr>
            <w:tcW w:type="dxa" w:w="1440"/>
          </w:tcPr>
          <w:p>
            <w:r>
              <w:rPr>
                <w:rFonts w:ascii="Calibri" w:hAnsi="Calibri"/>
                <w:sz w:val="20"/>
              </w:rPr>
              <w:t>34.1%</w:t>
            </w:r>
          </w:p>
        </w:tc>
      </w:tr>
      <w:tr>
        <w:tc>
          <w:tcPr>
            <w:tcW w:type="dxa" w:w="2160"/>
            <w:shd w:val="clear" w:color="auto" w:fill="EEF2FF"/>
          </w:tcPr>
          <w:p>
            <w:r>
              <w:rPr>
                <w:rFonts w:ascii="Calibri" w:hAnsi="Calibri"/>
                <w:sz w:val="20"/>
              </w:rPr>
              <w:t>Payment</w:t>
            </w:r>
          </w:p>
        </w:tc>
        <w:tc>
          <w:tcPr>
            <w:tcW w:type="dxa" w:w="3600"/>
            <w:shd w:val="clear" w:color="auto" w:fill="EEF2FF"/>
          </w:tcPr>
          <w:p>
            <w:r>
              <w:rPr>
                <w:rFonts w:ascii="Calibri" w:hAnsi="Calibri"/>
                <w:sz w:val="20"/>
              </w:rPr>
              <w:t>Credit card</w:t>
            </w:r>
          </w:p>
        </w:tc>
        <w:tc>
          <w:tcPr>
            <w:tcW w:type="dxa" w:w="2880"/>
            <w:shd w:val="clear" w:color="auto" w:fill="EEF2FF"/>
          </w:tcPr>
          <w:p>
            <w:r>
              <w:rPr>
                <w:rFonts w:ascii="Calibri" w:hAnsi="Calibri"/>
                <w:sz w:val="20"/>
              </w:rPr>
              <w:t>$100,767.07</w:t>
            </w:r>
          </w:p>
        </w:tc>
        <w:tc>
          <w:tcPr>
            <w:tcW w:type="dxa" w:w="1440"/>
            <w:shd w:val="clear" w:color="auto" w:fill="EEF2FF"/>
          </w:tcPr>
          <w:p>
            <w:r>
              <w:rPr>
                <w:rFonts w:ascii="Calibri" w:hAnsi="Calibri"/>
                <w:sz w:val="20"/>
              </w:rPr>
              <w:t>31.2%</w:t>
            </w:r>
          </w:p>
        </w:tc>
      </w:tr>
    </w:tbl>
    <w:p/>
    <w:p>
      <w:pPr>
        <w:spacing w:after="160"/>
        <w:jc w:val="center"/>
      </w:pPr>
      <w:r>
        <w:rPr>
          <w:rFonts w:ascii="Calibri" w:hAnsi="Calibri"/>
          <w:i/>
          <w:color w:val="555555"/>
          <w:sz w:val="18"/>
        </w:rPr>
        <w:t>Table 10.3: Sales Distribution by Product Line, Branch, and Payment Method</w:t>
      </w:r>
    </w:p>
    <w:p>
      <w:r>
        <w:br w:type="page"/>
      </w:r>
    </w:p>
    <w:p>
      <w:pPr>
        <w:pStyle w:val="Heading1"/>
        <w:spacing w:before="360" w:after="120"/>
      </w:pPr>
      <w:r>
        <w:rPr>
          <w:color w:val="1A1A6E"/>
        </w:rPr>
        <w:t>11. KPI Analysis</w:t>
      </w:r>
    </w:p>
    <w:p>
      <w:pPr>
        <w:spacing w:after="120" w:line="360" w:lineRule="auto"/>
      </w:pPr>
      <w:r>
        <w:rPr>
          <w:rFonts w:ascii="Calibri" w:hAnsi="Calibri"/>
          <w:b w:val="0"/>
          <w:i w:val="0"/>
          <w:sz w:val="22"/>
        </w:rPr>
        <w:t>The dashboard's Overview tab displays eight Key Performance Indicators (KPIs), computed by the calc_kpis() function in utils/analytics.py. The following table documents each KPI, its calculation formula, its value for the full dataset, and its business significance.</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160"/>
            <w:shd w:val="clear" w:color="auto" w:fill="1A1A6E"/>
            <w:vAlign w:val="center"/>
          </w:tcPr>
          <w:p>
            <w:pPr>
              <w:jc w:val="center"/>
            </w:pPr>
            <w:r>
              <w:rPr>
                <w:b/>
                <w:color w:val="FFFFFF"/>
                <w:sz w:val="20"/>
              </w:rPr>
              <w:t>KPI Name</w:t>
            </w:r>
          </w:p>
        </w:tc>
        <w:tc>
          <w:tcPr>
            <w:tcW w:type="dxa" w:w="2880"/>
            <w:shd w:val="clear" w:color="auto" w:fill="1A1A6E"/>
            <w:vAlign w:val="center"/>
          </w:tcPr>
          <w:p>
            <w:pPr>
              <w:jc w:val="center"/>
            </w:pPr>
            <w:r>
              <w:rPr>
                <w:b/>
                <w:color w:val="FFFFFF"/>
                <w:sz w:val="20"/>
              </w:rPr>
              <w:t>Calculation</w:t>
            </w:r>
          </w:p>
        </w:tc>
        <w:tc>
          <w:tcPr>
            <w:tcW w:type="dxa" w:w="2160"/>
            <w:shd w:val="clear" w:color="auto" w:fill="1A1A6E"/>
            <w:vAlign w:val="center"/>
          </w:tcPr>
          <w:p>
            <w:pPr>
              <w:jc w:val="center"/>
            </w:pPr>
            <w:r>
              <w:rPr>
                <w:b/>
                <w:color w:val="FFFFFF"/>
                <w:sz w:val="20"/>
              </w:rPr>
              <w:t>Value (Full Dataset)</w:t>
            </w:r>
          </w:p>
        </w:tc>
        <w:tc>
          <w:tcPr>
            <w:tcW w:type="dxa" w:w="2880"/>
            <w:shd w:val="clear" w:color="auto" w:fill="1A1A6E"/>
            <w:vAlign w:val="center"/>
          </w:tcPr>
          <w:p>
            <w:pPr>
              <w:jc w:val="center"/>
            </w:pPr>
            <w:r>
              <w:rPr>
                <w:b/>
                <w:color w:val="FFFFFF"/>
                <w:sz w:val="20"/>
              </w:rPr>
              <w:t>Business Significance</w:t>
            </w:r>
          </w:p>
        </w:tc>
      </w:tr>
      <w:tr>
        <w:tc>
          <w:tcPr>
            <w:tcW w:type="dxa" w:w="2160"/>
          </w:tcPr>
          <w:p>
            <w:r>
              <w:rPr>
                <w:rFonts w:ascii="Calibri" w:hAnsi="Calibri"/>
                <w:sz w:val="20"/>
              </w:rPr>
              <w:t>Total Sales</w:t>
            </w:r>
          </w:p>
        </w:tc>
        <w:tc>
          <w:tcPr>
            <w:tcW w:type="dxa" w:w="2880"/>
          </w:tcPr>
          <w:p>
            <w:r>
              <w:rPr>
                <w:rFonts w:ascii="Calibri" w:hAnsi="Calibri"/>
                <w:sz w:val="20"/>
              </w:rPr>
              <w:t>Sum of the Sales column (includes 5% tax)</w:t>
            </w:r>
          </w:p>
        </w:tc>
        <w:tc>
          <w:tcPr>
            <w:tcW w:type="dxa" w:w="2160"/>
          </w:tcPr>
          <w:p>
            <w:r>
              <w:rPr>
                <w:rFonts w:ascii="Calibri" w:hAnsi="Calibri"/>
                <w:sz w:val="20"/>
              </w:rPr>
              <w:t>$322,966.75</w:t>
            </w:r>
          </w:p>
        </w:tc>
        <w:tc>
          <w:tcPr>
            <w:tcW w:type="dxa" w:w="2880"/>
          </w:tcPr>
          <w:p>
            <w:r>
              <w:rPr>
                <w:rFonts w:ascii="Calibri" w:hAnsi="Calibri"/>
                <w:sz w:val="20"/>
              </w:rPr>
              <w:t>Primary revenue indicator; benchmark for tracking overall business performance.</w:t>
            </w:r>
          </w:p>
        </w:tc>
      </w:tr>
      <w:tr>
        <w:tc>
          <w:tcPr>
            <w:tcW w:type="dxa" w:w="2160"/>
            <w:shd w:val="clear" w:color="auto" w:fill="EEF2FF"/>
          </w:tcPr>
          <w:p>
            <w:r>
              <w:rPr>
                <w:rFonts w:ascii="Calibri" w:hAnsi="Calibri"/>
                <w:sz w:val="20"/>
              </w:rPr>
              <w:t>Total Gross Income</w:t>
            </w:r>
          </w:p>
        </w:tc>
        <w:tc>
          <w:tcPr>
            <w:tcW w:type="dxa" w:w="2880"/>
            <w:shd w:val="clear" w:color="auto" w:fill="EEF2FF"/>
          </w:tcPr>
          <w:p>
            <w:r>
              <w:rPr>
                <w:rFonts w:ascii="Calibri" w:hAnsi="Calibri"/>
                <w:sz w:val="20"/>
              </w:rPr>
              <w:t>Sum of the gross income column (= Tax 5% collected per transaction)</w:t>
            </w:r>
          </w:p>
        </w:tc>
        <w:tc>
          <w:tcPr>
            <w:tcW w:type="dxa" w:w="2160"/>
            <w:shd w:val="clear" w:color="auto" w:fill="EEF2FF"/>
          </w:tcPr>
          <w:p>
            <w:r>
              <w:rPr>
                <w:rFonts w:ascii="Calibri" w:hAnsi="Calibri"/>
                <w:sz w:val="20"/>
              </w:rPr>
              <w:t>$15,379.37</w:t>
            </w:r>
          </w:p>
        </w:tc>
        <w:tc>
          <w:tcPr>
            <w:tcW w:type="dxa" w:w="2880"/>
            <w:shd w:val="clear" w:color="auto" w:fill="EEF2FF"/>
          </w:tcPr>
          <w:p>
            <w:r>
              <w:rPr>
                <w:rFonts w:ascii="Calibri" w:hAnsi="Calibri"/>
                <w:sz w:val="20"/>
              </w:rPr>
              <w:t>Measures the gross earnings above COGS; used for financial performance assessment.</w:t>
            </w:r>
          </w:p>
        </w:tc>
      </w:tr>
      <w:tr>
        <w:tc>
          <w:tcPr>
            <w:tcW w:type="dxa" w:w="2160"/>
          </w:tcPr>
          <w:p>
            <w:r>
              <w:rPr>
                <w:rFonts w:ascii="Calibri" w:hAnsi="Calibri"/>
                <w:sz w:val="20"/>
              </w:rPr>
              <w:t>Total Transactions</w:t>
            </w:r>
          </w:p>
        </w:tc>
        <w:tc>
          <w:tcPr>
            <w:tcW w:type="dxa" w:w="2880"/>
          </w:tcPr>
          <w:p>
            <w:r>
              <w:rPr>
                <w:rFonts w:ascii="Calibri" w:hAnsi="Calibri"/>
                <w:sz w:val="20"/>
              </w:rPr>
              <w:t>Count of unique Invoice IDs</w:t>
            </w:r>
          </w:p>
        </w:tc>
        <w:tc>
          <w:tcPr>
            <w:tcW w:type="dxa" w:w="2160"/>
          </w:tcPr>
          <w:p>
            <w:r>
              <w:rPr>
                <w:rFonts w:ascii="Calibri" w:hAnsi="Calibri"/>
                <w:sz w:val="20"/>
              </w:rPr>
              <w:t>1,000</w:t>
            </w:r>
          </w:p>
        </w:tc>
        <w:tc>
          <w:tcPr>
            <w:tcW w:type="dxa" w:w="2880"/>
          </w:tcPr>
          <w:p>
            <w:r>
              <w:rPr>
                <w:rFonts w:ascii="Calibri" w:hAnsi="Calibri"/>
                <w:sz w:val="20"/>
              </w:rPr>
              <w:t>Reflects operational volume and customer footfall.</w:t>
            </w:r>
          </w:p>
        </w:tc>
      </w:tr>
      <w:tr>
        <w:tc>
          <w:tcPr>
            <w:tcW w:type="dxa" w:w="2160"/>
            <w:shd w:val="clear" w:color="auto" w:fill="EEF2FF"/>
          </w:tcPr>
          <w:p>
            <w:r>
              <w:rPr>
                <w:rFonts w:ascii="Calibri" w:hAnsi="Calibri"/>
                <w:sz w:val="20"/>
              </w:rPr>
              <w:t>Total Quantity Sold</w:t>
            </w:r>
          </w:p>
        </w:tc>
        <w:tc>
          <w:tcPr>
            <w:tcW w:type="dxa" w:w="2880"/>
            <w:shd w:val="clear" w:color="auto" w:fill="EEF2FF"/>
          </w:tcPr>
          <w:p>
            <w:r>
              <w:rPr>
                <w:rFonts w:ascii="Calibri" w:hAnsi="Calibri"/>
                <w:sz w:val="20"/>
              </w:rPr>
              <w:t>Sum of the Quantity column</w:t>
            </w:r>
          </w:p>
        </w:tc>
        <w:tc>
          <w:tcPr>
            <w:tcW w:type="dxa" w:w="2160"/>
            <w:shd w:val="clear" w:color="auto" w:fill="EEF2FF"/>
          </w:tcPr>
          <w:p>
            <w:r>
              <w:rPr>
                <w:rFonts w:ascii="Calibri" w:hAnsi="Calibri"/>
                <w:sz w:val="20"/>
              </w:rPr>
              <w:t>5,510 units</w:t>
            </w:r>
          </w:p>
        </w:tc>
        <w:tc>
          <w:tcPr>
            <w:tcW w:type="dxa" w:w="2880"/>
            <w:shd w:val="clear" w:color="auto" w:fill="EEF2FF"/>
          </w:tcPr>
          <w:p>
            <w:r>
              <w:rPr>
                <w:rFonts w:ascii="Calibri" w:hAnsi="Calibri"/>
                <w:sz w:val="20"/>
              </w:rPr>
              <w:t>Indicates total units moved; useful for inventory planning.</w:t>
            </w:r>
          </w:p>
        </w:tc>
      </w:tr>
      <w:tr>
        <w:tc>
          <w:tcPr>
            <w:tcW w:type="dxa" w:w="2160"/>
          </w:tcPr>
          <w:p>
            <w:r>
              <w:rPr>
                <w:rFonts w:ascii="Calibri" w:hAnsi="Calibri"/>
                <w:sz w:val="20"/>
              </w:rPr>
              <w:t>Average Order Value</w:t>
            </w:r>
          </w:p>
        </w:tc>
        <w:tc>
          <w:tcPr>
            <w:tcW w:type="dxa" w:w="2880"/>
          </w:tcPr>
          <w:p>
            <w:r>
              <w:rPr>
                <w:rFonts w:ascii="Calibri" w:hAnsi="Calibri"/>
                <w:sz w:val="20"/>
              </w:rPr>
              <w:t>Mean of the Sales column</w:t>
            </w:r>
          </w:p>
        </w:tc>
        <w:tc>
          <w:tcPr>
            <w:tcW w:type="dxa" w:w="2160"/>
          </w:tcPr>
          <w:p>
            <w:r>
              <w:rPr>
                <w:rFonts w:ascii="Calibri" w:hAnsi="Calibri"/>
                <w:sz w:val="20"/>
              </w:rPr>
              <w:t>$322.97</w:t>
            </w:r>
          </w:p>
        </w:tc>
        <w:tc>
          <w:tcPr>
            <w:tcW w:type="dxa" w:w="2880"/>
          </w:tcPr>
          <w:p>
            <w:r>
              <w:rPr>
                <w:rFonts w:ascii="Calibri" w:hAnsi="Calibri"/>
                <w:sz w:val="20"/>
              </w:rPr>
              <w:t>Indicates typical customer basket size; a higher value indicates upselling success.</w:t>
            </w:r>
          </w:p>
        </w:tc>
      </w:tr>
      <w:tr>
        <w:tc>
          <w:tcPr>
            <w:tcW w:type="dxa" w:w="2160"/>
            <w:shd w:val="clear" w:color="auto" w:fill="EEF2FF"/>
          </w:tcPr>
          <w:p>
            <w:r>
              <w:rPr>
                <w:rFonts w:ascii="Calibri" w:hAnsi="Calibri"/>
                <w:sz w:val="20"/>
              </w:rPr>
              <w:t>Average Unit Price</w:t>
            </w:r>
          </w:p>
        </w:tc>
        <w:tc>
          <w:tcPr>
            <w:tcW w:type="dxa" w:w="2880"/>
            <w:shd w:val="clear" w:color="auto" w:fill="EEF2FF"/>
          </w:tcPr>
          <w:p>
            <w:r>
              <w:rPr>
                <w:rFonts w:ascii="Calibri" w:hAnsi="Calibri"/>
                <w:sz w:val="20"/>
              </w:rPr>
              <w:t>Mean of the Unit price column</w:t>
            </w:r>
          </w:p>
        </w:tc>
        <w:tc>
          <w:tcPr>
            <w:tcW w:type="dxa" w:w="2160"/>
            <w:shd w:val="clear" w:color="auto" w:fill="EEF2FF"/>
          </w:tcPr>
          <w:p>
            <w:r>
              <w:rPr>
                <w:rFonts w:ascii="Calibri" w:hAnsi="Calibri"/>
                <w:sz w:val="20"/>
              </w:rPr>
              <w:t>$55.67</w:t>
            </w:r>
          </w:p>
        </w:tc>
        <w:tc>
          <w:tcPr>
            <w:tcW w:type="dxa" w:w="2880"/>
            <w:shd w:val="clear" w:color="auto" w:fill="EEF2FF"/>
          </w:tcPr>
          <w:p>
            <w:r>
              <w:rPr>
                <w:rFonts w:ascii="Calibri" w:hAnsi="Calibri"/>
                <w:sz w:val="20"/>
              </w:rPr>
              <w:t>Reflects the overall price positioning of products sold.</w:t>
            </w:r>
          </w:p>
        </w:tc>
      </w:tr>
      <w:tr>
        <w:tc>
          <w:tcPr>
            <w:tcW w:type="dxa" w:w="2160"/>
          </w:tcPr>
          <w:p>
            <w:r>
              <w:rPr>
                <w:rFonts w:ascii="Calibri" w:hAnsi="Calibri"/>
                <w:sz w:val="20"/>
              </w:rPr>
              <w:t>Gross Margin %</w:t>
            </w:r>
          </w:p>
        </w:tc>
        <w:tc>
          <w:tcPr>
            <w:tcW w:type="dxa" w:w="2880"/>
          </w:tcPr>
          <w:p>
            <w:r>
              <w:rPr>
                <w:rFonts w:ascii="Calibri" w:hAnsi="Calibri"/>
                <w:sz w:val="20"/>
              </w:rPr>
              <w:t>Total Gross Income ÷ Total Sales × 100</w:t>
            </w:r>
          </w:p>
        </w:tc>
        <w:tc>
          <w:tcPr>
            <w:tcW w:type="dxa" w:w="2160"/>
          </w:tcPr>
          <w:p>
            <w:r>
              <w:rPr>
                <w:rFonts w:ascii="Calibri" w:hAnsi="Calibri"/>
                <w:sz w:val="20"/>
              </w:rPr>
              <w:t>4.76%</w:t>
            </w:r>
          </w:p>
        </w:tc>
        <w:tc>
          <w:tcPr>
            <w:tcW w:type="dxa" w:w="2880"/>
          </w:tcPr>
          <w:p>
            <w:r>
              <w:rPr>
                <w:rFonts w:ascii="Calibri" w:hAnsi="Calibri"/>
                <w:sz w:val="20"/>
              </w:rPr>
              <w:t>Fixed at ~4.76% for all transactions; represents the percentage of sales retained after COGS.</w:t>
            </w:r>
          </w:p>
        </w:tc>
      </w:tr>
      <w:tr>
        <w:tc>
          <w:tcPr>
            <w:tcW w:type="dxa" w:w="2160"/>
            <w:shd w:val="clear" w:color="auto" w:fill="EEF2FF"/>
          </w:tcPr>
          <w:p>
            <w:r>
              <w:rPr>
                <w:rFonts w:ascii="Calibri" w:hAnsi="Calibri"/>
                <w:sz w:val="20"/>
              </w:rPr>
              <w:t>Average Customer Rating</w:t>
            </w:r>
          </w:p>
        </w:tc>
        <w:tc>
          <w:tcPr>
            <w:tcW w:type="dxa" w:w="2880"/>
            <w:shd w:val="clear" w:color="auto" w:fill="EEF2FF"/>
          </w:tcPr>
          <w:p>
            <w:r>
              <w:rPr>
                <w:rFonts w:ascii="Calibri" w:hAnsi="Calibri"/>
                <w:sz w:val="20"/>
              </w:rPr>
              <w:t>Mean of the Rating column</w:t>
            </w:r>
          </w:p>
        </w:tc>
        <w:tc>
          <w:tcPr>
            <w:tcW w:type="dxa" w:w="2160"/>
            <w:shd w:val="clear" w:color="auto" w:fill="EEF2FF"/>
          </w:tcPr>
          <w:p>
            <w:r>
              <w:rPr>
                <w:rFonts w:ascii="Calibri" w:hAnsi="Calibri"/>
                <w:sz w:val="20"/>
              </w:rPr>
              <w:t>6.97 / 10</w:t>
            </w:r>
          </w:p>
        </w:tc>
        <w:tc>
          <w:tcPr>
            <w:tcW w:type="dxa" w:w="2880"/>
            <w:shd w:val="clear" w:color="auto" w:fill="EEF2FF"/>
          </w:tcPr>
          <w:p>
            <w:r>
              <w:rPr>
                <w:rFonts w:ascii="Calibri" w:hAnsi="Calibri"/>
                <w:sz w:val="20"/>
              </w:rPr>
              <w:t>Indicates overall customer satisfaction level; benchmarked against product lines and branches.</w:t>
            </w:r>
          </w:p>
        </w:tc>
      </w:tr>
    </w:tbl>
    <w:p/>
    <w:p>
      <w:pPr>
        <w:spacing w:after="160"/>
        <w:jc w:val="center"/>
      </w:pPr>
      <w:r>
        <w:rPr>
          <w:rFonts w:ascii="Calibri" w:hAnsi="Calibri"/>
          <w:i/>
          <w:color w:val="555555"/>
          <w:sz w:val="18"/>
        </w:rPr>
        <w:t>Table 11.1: KPI Definitions and Values (Full Dataset)</w:t>
      </w:r>
    </w:p>
    <w:p>
      <w:pPr>
        <w:spacing w:after="120" w:line="360" w:lineRule="auto"/>
      </w:pPr>
      <w:r>
        <w:rPr>
          <w:rFonts w:ascii="Calibri" w:hAnsi="Calibri"/>
          <w:b w:val="0"/>
          <w:i w:val="0"/>
          <w:sz w:val="22"/>
        </w:rPr>
        <w:t>Note on Gross Income Terminology: In this dataset, 'gross income' is equal to the 5% tax amount collected (i.e., Tax 5% = gross income). It is not equivalent to net profit. The column name 'gross income' is used as-is from the original dataset and is correctly treated as such throughout this project.</w:t>
      </w:r>
    </w:p>
    <w:p>
      <w:r>
        <w:br w:type="page"/>
      </w:r>
    </w:p>
    <w:p>
      <w:pPr>
        <w:pStyle w:val="Heading1"/>
        <w:spacing w:before="360" w:after="120"/>
      </w:pPr>
      <w:r>
        <w:rPr>
          <w:color w:val="1A1A6E"/>
        </w:rPr>
        <w:t>12. Sales Analytics</w:t>
      </w:r>
    </w:p>
    <w:p>
      <w:pPr>
        <w:pStyle w:val="Heading2"/>
        <w:spacing w:before="240" w:after="80"/>
      </w:pPr>
      <w:r>
        <w:rPr>
          <w:color w:val="2C3E7A"/>
        </w:rPr>
        <w:t>12.1 Total Sales Overview</w:t>
      </w:r>
    </w:p>
    <w:p>
      <w:pPr>
        <w:spacing w:after="120" w:line="360" w:lineRule="auto"/>
      </w:pPr>
      <w:r>
        <w:rPr>
          <w:rFonts w:ascii="Calibri" w:hAnsi="Calibri"/>
          <w:b w:val="0"/>
          <w:i w:val="0"/>
          <w:sz w:val="22"/>
        </w:rPr>
        <w:t>The supermarket recorded total sales of $322,966.75 across 1,000 transactions between January 01, 2019 and March 30, 2019. The average order value per transaction was $322.97.</w:t>
      </w:r>
    </w:p>
    <w:p>
      <w:pPr>
        <w:pStyle w:val="Heading2"/>
        <w:spacing w:before="240" w:after="80"/>
      </w:pPr>
      <w:r>
        <w:rPr>
          <w:color w:val="2C3E7A"/>
        </w:rPr>
        <w:t>12.2 Sales by Branch</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160"/>
            <w:shd w:val="clear" w:color="auto" w:fill="1A1A6E"/>
            <w:vAlign w:val="center"/>
          </w:tcPr>
          <w:p>
            <w:pPr>
              <w:jc w:val="center"/>
            </w:pPr>
            <w:r>
              <w:rPr>
                <w:b/>
                <w:color w:val="FFFFFF"/>
                <w:sz w:val="20"/>
              </w:rPr>
              <w:t>Branch</w:t>
            </w:r>
          </w:p>
        </w:tc>
        <w:tc>
          <w:tcPr>
            <w:tcW w:type="dxa" w:w="2880"/>
            <w:shd w:val="clear" w:color="auto" w:fill="1A1A6E"/>
            <w:vAlign w:val="center"/>
          </w:tcPr>
          <w:p>
            <w:pPr>
              <w:jc w:val="center"/>
            </w:pPr>
            <w:r>
              <w:rPr>
                <w:b/>
                <w:color w:val="FFFFFF"/>
                <w:sz w:val="20"/>
              </w:rPr>
              <w:t>City</w:t>
            </w:r>
          </w:p>
        </w:tc>
        <w:tc>
          <w:tcPr>
            <w:tcW w:type="dxa" w:w="2880"/>
            <w:shd w:val="clear" w:color="auto" w:fill="1A1A6E"/>
            <w:vAlign w:val="center"/>
          </w:tcPr>
          <w:p>
            <w:pPr>
              <w:jc w:val="center"/>
            </w:pPr>
            <w:r>
              <w:rPr>
                <w:b/>
                <w:color w:val="FFFFFF"/>
                <w:sz w:val="20"/>
              </w:rPr>
              <w:t>Total Sales ($)</w:t>
            </w:r>
          </w:p>
        </w:tc>
        <w:tc>
          <w:tcPr>
            <w:tcW w:type="dxa" w:w="2160"/>
            <w:shd w:val="clear" w:color="auto" w:fill="1A1A6E"/>
            <w:vAlign w:val="center"/>
          </w:tcPr>
          <w:p>
            <w:pPr>
              <w:jc w:val="center"/>
            </w:pPr>
            <w:r>
              <w:rPr>
                <w:b/>
                <w:color w:val="FFFFFF"/>
                <w:sz w:val="20"/>
              </w:rPr>
              <w:t>% of Total Sales</w:t>
            </w:r>
          </w:p>
        </w:tc>
      </w:tr>
      <w:tr>
        <w:tc>
          <w:tcPr>
            <w:tcW w:type="dxa" w:w="2160"/>
          </w:tcPr>
          <w:p>
            <w:r>
              <w:rPr>
                <w:rFonts w:ascii="Calibri" w:hAnsi="Calibri"/>
                <w:sz w:val="20"/>
              </w:rPr>
              <w:t>Giza</w:t>
            </w:r>
          </w:p>
        </w:tc>
        <w:tc>
          <w:tcPr>
            <w:tcW w:type="dxa" w:w="2880"/>
          </w:tcPr>
          <w:p>
            <w:r>
              <w:rPr>
                <w:rFonts w:ascii="Calibri" w:hAnsi="Calibri"/>
                <w:sz w:val="20"/>
              </w:rPr>
              <w:t>Naypyitaw</w:t>
            </w:r>
          </w:p>
        </w:tc>
        <w:tc>
          <w:tcPr>
            <w:tcW w:type="dxa" w:w="2880"/>
          </w:tcPr>
          <w:p>
            <w:r>
              <w:rPr>
                <w:rFonts w:ascii="Calibri" w:hAnsi="Calibri"/>
                <w:sz w:val="20"/>
              </w:rPr>
              <w:t>$110,568.71</w:t>
            </w:r>
          </w:p>
        </w:tc>
        <w:tc>
          <w:tcPr>
            <w:tcW w:type="dxa" w:w="2160"/>
          </w:tcPr>
          <w:p>
            <w:r>
              <w:rPr>
                <w:rFonts w:ascii="Calibri" w:hAnsi="Calibri"/>
                <w:sz w:val="20"/>
              </w:rPr>
              <w:t>34.2%</w:t>
            </w:r>
          </w:p>
        </w:tc>
      </w:tr>
      <w:tr>
        <w:tc>
          <w:tcPr>
            <w:tcW w:type="dxa" w:w="2160"/>
            <w:shd w:val="clear" w:color="auto" w:fill="EEF2FF"/>
          </w:tcPr>
          <w:p>
            <w:r>
              <w:rPr>
                <w:rFonts w:ascii="Calibri" w:hAnsi="Calibri"/>
                <w:sz w:val="20"/>
              </w:rPr>
              <w:t>Alex</w:t>
            </w:r>
          </w:p>
        </w:tc>
        <w:tc>
          <w:tcPr>
            <w:tcW w:type="dxa" w:w="2880"/>
            <w:shd w:val="clear" w:color="auto" w:fill="EEF2FF"/>
          </w:tcPr>
          <w:p>
            <w:r>
              <w:rPr>
                <w:rFonts w:ascii="Calibri" w:hAnsi="Calibri"/>
                <w:sz w:val="20"/>
              </w:rPr>
              <w:t>Yangon</w:t>
            </w:r>
          </w:p>
        </w:tc>
        <w:tc>
          <w:tcPr>
            <w:tcW w:type="dxa" w:w="2880"/>
            <w:shd w:val="clear" w:color="auto" w:fill="EEF2FF"/>
          </w:tcPr>
          <w:p>
            <w:r>
              <w:rPr>
                <w:rFonts w:ascii="Calibri" w:hAnsi="Calibri"/>
                <w:sz w:val="20"/>
              </w:rPr>
              <w:t>$106,200.37</w:t>
            </w:r>
          </w:p>
        </w:tc>
        <w:tc>
          <w:tcPr>
            <w:tcW w:type="dxa" w:w="2160"/>
            <w:shd w:val="clear" w:color="auto" w:fill="EEF2FF"/>
          </w:tcPr>
          <w:p>
            <w:r>
              <w:rPr>
                <w:rFonts w:ascii="Calibri" w:hAnsi="Calibri"/>
                <w:sz w:val="20"/>
              </w:rPr>
              <w:t>32.9%</w:t>
            </w:r>
          </w:p>
        </w:tc>
      </w:tr>
      <w:tr>
        <w:tc>
          <w:tcPr>
            <w:tcW w:type="dxa" w:w="2160"/>
          </w:tcPr>
          <w:p>
            <w:r>
              <w:rPr>
                <w:rFonts w:ascii="Calibri" w:hAnsi="Calibri"/>
                <w:sz w:val="20"/>
              </w:rPr>
              <w:t>Cairo</w:t>
            </w:r>
          </w:p>
        </w:tc>
        <w:tc>
          <w:tcPr>
            <w:tcW w:type="dxa" w:w="2880"/>
          </w:tcPr>
          <w:p>
            <w:r>
              <w:rPr>
                <w:rFonts w:ascii="Calibri" w:hAnsi="Calibri"/>
                <w:sz w:val="20"/>
              </w:rPr>
              <w:t>Mandalay</w:t>
            </w:r>
          </w:p>
        </w:tc>
        <w:tc>
          <w:tcPr>
            <w:tcW w:type="dxa" w:w="2880"/>
          </w:tcPr>
          <w:p>
            <w:r>
              <w:rPr>
                <w:rFonts w:ascii="Calibri" w:hAnsi="Calibri"/>
                <w:sz w:val="20"/>
              </w:rPr>
              <w:t>$106,197.67</w:t>
            </w:r>
          </w:p>
        </w:tc>
        <w:tc>
          <w:tcPr>
            <w:tcW w:type="dxa" w:w="2160"/>
          </w:tcPr>
          <w:p>
            <w:r>
              <w:rPr>
                <w:rFonts w:ascii="Calibri" w:hAnsi="Calibri"/>
                <w:sz w:val="20"/>
              </w:rPr>
              <w:t>32.9%</w:t>
            </w:r>
          </w:p>
        </w:tc>
      </w:tr>
    </w:tbl>
    <w:p/>
    <w:p>
      <w:pPr>
        <w:spacing w:after="160"/>
        <w:jc w:val="center"/>
      </w:pPr>
      <w:r>
        <w:rPr>
          <w:rFonts w:ascii="Calibri" w:hAnsi="Calibri"/>
          <w:i/>
          <w:color w:val="555555"/>
          <w:sz w:val="18"/>
        </w:rPr>
        <w:t>Table 12.1: Sales by Branch</w:t>
      </w:r>
    </w:p>
    <w:p>
      <w:pPr>
        <w:spacing w:after="120" w:line="360" w:lineRule="auto"/>
      </w:pPr>
      <w:r>
        <w:rPr>
          <w:rFonts w:ascii="Calibri" w:hAnsi="Calibri"/>
          <w:b w:val="0"/>
          <w:i w:val="0"/>
          <w:sz w:val="22"/>
        </w:rPr>
        <w:t>Branch Giza (City: Naypyitaw) leads with $110,568.71 in total sales, followed closely by Branch Alex ($106,200.37) and Branch Cairo ($106,197.67). The branches are nearly balanced, suggesting uniform sales across locations.</w:t>
      </w:r>
    </w:p>
    <w:p>
      <w:pPr>
        <w:pStyle w:val="Heading2"/>
        <w:spacing w:before="240" w:after="80"/>
      </w:pPr>
      <w:r>
        <w:rPr>
          <w:color w:val="2C3E7A"/>
        </w:rPr>
        <w:t>12.3 Sales by Product Line</w:t>
      </w:r>
    </w:p>
    <w:tbl>
      <w:tblPr>
        <w:tblStyle w:val="TableGrid"/>
        <w:tblW w:type="auto" w:w="0"/>
        <w:jc w:val="center"/>
        <w:tblLook w:firstColumn="1" w:firstRow="1" w:lastColumn="0" w:lastRow="0" w:noHBand="0" w:noVBand="1" w:val="04A0"/>
      </w:tblPr>
      <w:tblGrid>
        <w:gridCol w:w="2769"/>
        <w:gridCol w:w="2769"/>
        <w:gridCol w:w="2769"/>
      </w:tblGrid>
      <w:tr>
        <w:tc>
          <w:tcPr>
            <w:tcW w:type="dxa" w:w="4320"/>
            <w:shd w:val="clear" w:color="auto" w:fill="1A1A6E"/>
            <w:vAlign w:val="center"/>
          </w:tcPr>
          <w:p>
            <w:pPr>
              <w:jc w:val="center"/>
            </w:pPr>
            <w:r>
              <w:rPr>
                <w:b/>
                <w:color w:val="FFFFFF"/>
                <w:sz w:val="20"/>
              </w:rPr>
              <w:t>Product Line</w:t>
            </w:r>
          </w:p>
        </w:tc>
        <w:tc>
          <w:tcPr>
            <w:tcW w:type="dxa" w:w="3600"/>
            <w:shd w:val="clear" w:color="auto" w:fill="1A1A6E"/>
            <w:vAlign w:val="center"/>
          </w:tcPr>
          <w:p>
            <w:pPr>
              <w:jc w:val="center"/>
            </w:pPr>
            <w:r>
              <w:rPr>
                <w:b/>
                <w:color w:val="FFFFFF"/>
                <w:sz w:val="20"/>
              </w:rPr>
              <w:t>Total Sales ($)</w:t>
            </w:r>
          </w:p>
        </w:tc>
        <w:tc>
          <w:tcPr>
            <w:tcW w:type="dxa" w:w="2160"/>
            <w:shd w:val="clear" w:color="auto" w:fill="1A1A6E"/>
            <w:vAlign w:val="center"/>
          </w:tcPr>
          <w:p>
            <w:pPr>
              <w:jc w:val="center"/>
            </w:pPr>
            <w:r>
              <w:rPr>
                <w:b/>
                <w:color w:val="FFFFFF"/>
                <w:sz w:val="20"/>
              </w:rPr>
              <w:t>% of Total</w:t>
            </w:r>
          </w:p>
        </w:tc>
      </w:tr>
      <w:tr>
        <w:tc>
          <w:tcPr>
            <w:tcW w:type="dxa" w:w="4320"/>
          </w:tcPr>
          <w:p>
            <w:r>
              <w:rPr>
                <w:rFonts w:ascii="Calibri" w:hAnsi="Calibri"/>
                <w:sz w:val="20"/>
              </w:rPr>
              <w:t>Food and beverages</w:t>
            </w:r>
          </w:p>
        </w:tc>
        <w:tc>
          <w:tcPr>
            <w:tcW w:type="dxa" w:w="3600"/>
          </w:tcPr>
          <w:p>
            <w:r>
              <w:rPr>
                <w:rFonts w:ascii="Calibri" w:hAnsi="Calibri"/>
                <w:sz w:val="20"/>
              </w:rPr>
              <w:t>$56,144.84</w:t>
            </w:r>
          </w:p>
        </w:tc>
        <w:tc>
          <w:tcPr>
            <w:tcW w:type="dxa" w:w="2160"/>
          </w:tcPr>
          <w:p>
            <w:r>
              <w:rPr>
                <w:rFonts w:ascii="Calibri" w:hAnsi="Calibri"/>
                <w:sz w:val="20"/>
              </w:rPr>
              <w:t>17.4%</w:t>
            </w:r>
          </w:p>
        </w:tc>
      </w:tr>
      <w:tr>
        <w:tc>
          <w:tcPr>
            <w:tcW w:type="dxa" w:w="4320"/>
            <w:shd w:val="clear" w:color="auto" w:fill="EEF2FF"/>
          </w:tcPr>
          <w:p>
            <w:r>
              <w:rPr>
                <w:rFonts w:ascii="Calibri" w:hAnsi="Calibri"/>
                <w:sz w:val="20"/>
              </w:rPr>
              <w:t>Sports and travel</w:t>
            </w:r>
          </w:p>
        </w:tc>
        <w:tc>
          <w:tcPr>
            <w:tcW w:type="dxa" w:w="3600"/>
            <w:shd w:val="clear" w:color="auto" w:fill="EEF2FF"/>
          </w:tcPr>
          <w:p>
            <w:r>
              <w:rPr>
                <w:rFonts w:ascii="Calibri" w:hAnsi="Calibri"/>
                <w:sz w:val="20"/>
              </w:rPr>
              <w:t>$55,122.83</w:t>
            </w:r>
          </w:p>
        </w:tc>
        <w:tc>
          <w:tcPr>
            <w:tcW w:type="dxa" w:w="2160"/>
            <w:shd w:val="clear" w:color="auto" w:fill="EEF2FF"/>
          </w:tcPr>
          <w:p>
            <w:r>
              <w:rPr>
                <w:rFonts w:ascii="Calibri" w:hAnsi="Calibri"/>
                <w:sz w:val="20"/>
              </w:rPr>
              <w:t>17.1%</w:t>
            </w:r>
          </w:p>
        </w:tc>
      </w:tr>
      <w:tr>
        <w:tc>
          <w:tcPr>
            <w:tcW w:type="dxa" w:w="4320"/>
          </w:tcPr>
          <w:p>
            <w:r>
              <w:rPr>
                <w:rFonts w:ascii="Calibri" w:hAnsi="Calibri"/>
                <w:sz w:val="20"/>
              </w:rPr>
              <w:t>Electronic accessories</w:t>
            </w:r>
          </w:p>
        </w:tc>
        <w:tc>
          <w:tcPr>
            <w:tcW w:type="dxa" w:w="3600"/>
          </w:tcPr>
          <w:p>
            <w:r>
              <w:rPr>
                <w:rFonts w:ascii="Calibri" w:hAnsi="Calibri"/>
                <w:sz w:val="20"/>
              </w:rPr>
              <w:t>$54,337.53</w:t>
            </w:r>
          </w:p>
        </w:tc>
        <w:tc>
          <w:tcPr>
            <w:tcW w:type="dxa" w:w="2160"/>
          </w:tcPr>
          <w:p>
            <w:r>
              <w:rPr>
                <w:rFonts w:ascii="Calibri" w:hAnsi="Calibri"/>
                <w:sz w:val="20"/>
              </w:rPr>
              <w:t>16.8%</w:t>
            </w:r>
          </w:p>
        </w:tc>
      </w:tr>
      <w:tr>
        <w:tc>
          <w:tcPr>
            <w:tcW w:type="dxa" w:w="4320"/>
            <w:shd w:val="clear" w:color="auto" w:fill="EEF2FF"/>
          </w:tcPr>
          <w:p>
            <w:r>
              <w:rPr>
                <w:rFonts w:ascii="Calibri" w:hAnsi="Calibri"/>
                <w:sz w:val="20"/>
              </w:rPr>
              <w:t>Fashion accessories</w:t>
            </w:r>
          </w:p>
        </w:tc>
        <w:tc>
          <w:tcPr>
            <w:tcW w:type="dxa" w:w="3600"/>
            <w:shd w:val="clear" w:color="auto" w:fill="EEF2FF"/>
          </w:tcPr>
          <w:p>
            <w:r>
              <w:rPr>
                <w:rFonts w:ascii="Calibri" w:hAnsi="Calibri"/>
                <w:sz w:val="20"/>
              </w:rPr>
              <w:t>$54,305.90</w:t>
            </w:r>
          </w:p>
        </w:tc>
        <w:tc>
          <w:tcPr>
            <w:tcW w:type="dxa" w:w="2160"/>
            <w:shd w:val="clear" w:color="auto" w:fill="EEF2FF"/>
          </w:tcPr>
          <w:p>
            <w:r>
              <w:rPr>
                <w:rFonts w:ascii="Calibri" w:hAnsi="Calibri"/>
                <w:sz w:val="20"/>
              </w:rPr>
              <w:t>16.8%</w:t>
            </w:r>
          </w:p>
        </w:tc>
      </w:tr>
      <w:tr>
        <w:tc>
          <w:tcPr>
            <w:tcW w:type="dxa" w:w="4320"/>
          </w:tcPr>
          <w:p>
            <w:r>
              <w:rPr>
                <w:rFonts w:ascii="Calibri" w:hAnsi="Calibri"/>
                <w:sz w:val="20"/>
              </w:rPr>
              <w:t>Home and lifestyle</w:t>
            </w:r>
          </w:p>
        </w:tc>
        <w:tc>
          <w:tcPr>
            <w:tcW w:type="dxa" w:w="3600"/>
          </w:tcPr>
          <w:p>
            <w:r>
              <w:rPr>
                <w:rFonts w:ascii="Calibri" w:hAnsi="Calibri"/>
                <w:sz w:val="20"/>
              </w:rPr>
              <w:t>$53,861.91</w:t>
            </w:r>
          </w:p>
        </w:tc>
        <w:tc>
          <w:tcPr>
            <w:tcW w:type="dxa" w:w="2160"/>
          </w:tcPr>
          <w:p>
            <w:r>
              <w:rPr>
                <w:rFonts w:ascii="Calibri" w:hAnsi="Calibri"/>
                <w:sz w:val="20"/>
              </w:rPr>
              <w:t>16.7%</w:t>
            </w:r>
          </w:p>
        </w:tc>
      </w:tr>
      <w:tr>
        <w:tc>
          <w:tcPr>
            <w:tcW w:type="dxa" w:w="4320"/>
            <w:shd w:val="clear" w:color="auto" w:fill="EEF2FF"/>
          </w:tcPr>
          <w:p>
            <w:r>
              <w:rPr>
                <w:rFonts w:ascii="Calibri" w:hAnsi="Calibri"/>
                <w:sz w:val="20"/>
              </w:rPr>
              <w:t>Health and beauty</w:t>
            </w:r>
          </w:p>
        </w:tc>
        <w:tc>
          <w:tcPr>
            <w:tcW w:type="dxa" w:w="3600"/>
            <w:shd w:val="clear" w:color="auto" w:fill="EEF2FF"/>
          </w:tcPr>
          <w:p>
            <w:r>
              <w:rPr>
                <w:rFonts w:ascii="Calibri" w:hAnsi="Calibri"/>
                <w:sz w:val="20"/>
              </w:rPr>
              <w:t>$49,193.74</w:t>
            </w:r>
          </w:p>
        </w:tc>
        <w:tc>
          <w:tcPr>
            <w:tcW w:type="dxa" w:w="2160"/>
            <w:shd w:val="clear" w:color="auto" w:fill="EEF2FF"/>
          </w:tcPr>
          <w:p>
            <w:r>
              <w:rPr>
                <w:rFonts w:ascii="Calibri" w:hAnsi="Calibri"/>
                <w:sz w:val="20"/>
              </w:rPr>
              <w:t>15.2%</w:t>
            </w:r>
          </w:p>
        </w:tc>
      </w:tr>
    </w:tbl>
    <w:p/>
    <w:p>
      <w:pPr>
        <w:spacing w:after="160"/>
        <w:jc w:val="center"/>
      </w:pPr>
      <w:r>
        <w:rPr>
          <w:rFonts w:ascii="Calibri" w:hAnsi="Calibri"/>
          <w:i/>
          <w:color w:val="555555"/>
          <w:sz w:val="18"/>
        </w:rPr>
        <w:t>Table 12.2: Sales by Product Line</w:t>
      </w:r>
    </w:p>
    <w:p>
      <w:pPr>
        <w:spacing w:after="120" w:line="360" w:lineRule="auto"/>
      </w:pPr>
      <w:r>
        <w:rPr>
          <w:rFonts w:ascii="Calibri" w:hAnsi="Calibri"/>
          <w:b w:val="0"/>
          <w:i w:val="0"/>
          <w:sz w:val="22"/>
        </w:rPr>
        <w:t>Food and Beverages leads all product lines with $56,144.84 in sales, followed by Sports and Travel ($55,122.83) and Electronic Accessories ($54,337.53). Health and Beauty is the lowest-selling product line at $49,193.74.</w:t>
      </w:r>
    </w:p>
    <w:p>
      <w:pPr>
        <w:pStyle w:val="Heading2"/>
        <w:spacing w:before="240" w:after="80"/>
      </w:pPr>
      <w:r>
        <w:rPr>
          <w:color w:val="2C3E7A"/>
        </w:rPr>
        <w:t>12.4 Sales by Customer Type</w:t>
      </w:r>
    </w:p>
    <w:tbl>
      <w:tblPr>
        <w:tblStyle w:val="TableGrid"/>
        <w:tblW w:type="auto" w:w="0"/>
        <w:jc w:val="center"/>
        <w:tblLook w:firstColumn="1" w:firstRow="1" w:lastColumn="0" w:lastRow="0" w:noHBand="0" w:noVBand="1" w:val="04A0"/>
      </w:tblPr>
      <w:tblGrid>
        <w:gridCol w:w="2769"/>
        <w:gridCol w:w="2769"/>
        <w:gridCol w:w="2769"/>
      </w:tblGrid>
      <w:tr>
        <w:tc>
          <w:tcPr>
            <w:tcW w:type="dxa" w:w="3600"/>
            <w:shd w:val="clear" w:color="auto" w:fill="1A1A6E"/>
            <w:vAlign w:val="center"/>
          </w:tcPr>
          <w:p>
            <w:pPr>
              <w:jc w:val="center"/>
            </w:pPr>
            <w:r>
              <w:rPr>
                <w:b/>
                <w:color w:val="FFFFFF"/>
                <w:sz w:val="20"/>
              </w:rPr>
              <w:t>Customer Type</w:t>
            </w:r>
          </w:p>
        </w:tc>
        <w:tc>
          <w:tcPr>
            <w:tcW w:type="dxa" w:w="3600"/>
            <w:shd w:val="clear" w:color="auto" w:fill="1A1A6E"/>
            <w:vAlign w:val="center"/>
          </w:tcPr>
          <w:p>
            <w:pPr>
              <w:jc w:val="center"/>
            </w:pPr>
            <w:r>
              <w:rPr>
                <w:b/>
                <w:color w:val="FFFFFF"/>
                <w:sz w:val="20"/>
              </w:rPr>
              <w:t>Total Sales ($)</w:t>
            </w:r>
          </w:p>
        </w:tc>
        <w:tc>
          <w:tcPr>
            <w:tcW w:type="dxa" w:w="2880"/>
            <w:shd w:val="clear" w:color="auto" w:fill="1A1A6E"/>
            <w:vAlign w:val="center"/>
          </w:tcPr>
          <w:p>
            <w:pPr>
              <w:jc w:val="center"/>
            </w:pPr>
            <w:r>
              <w:rPr>
                <w:b/>
                <w:color w:val="FFFFFF"/>
                <w:sz w:val="20"/>
              </w:rPr>
              <w:t>% of Total</w:t>
            </w:r>
          </w:p>
        </w:tc>
      </w:tr>
      <w:tr>
        <w:tc>
          <w:tcPr>
            <w:tcW w:type="dxa" w:w="3600"/>
          </w:tcPr>
          <w:p>
            <w:r>
              <w:rPr>
                <w:rFonts w:ascii="Calibri" w:hAnsi="Calibri"/>
                <w:sz w:val="20"/>
              </w:rPr>
              <w:t>Member</w:t>
            </w:r>
          </w:p>
        </w:tc>
        <w:tc>
          <w:tcPr>
            <w:tcW w:type="dxa" w:w="3600"/>
          </w:tcPr>
          <w:p>
            <w:r>
              <w:rPr>
                <w:rFonts w:ascii="Calibri" w:hAnsi="Calibri"/>
                <w:sz w:val="20"/>
              </w:rPr>
              <w:t>$189,694.76</w:t>
            </w:r>
          </w:p>
        </w:tc>
        <w:tc>
          <w:tcPr>
            <w:tcW w:type="dxa" w:w="2880"/>
          </w:tcPr>
          <w:p>
            <w:r>
              <w:rPr>
                <w:rFonts w:ascii="Calibri" w:hAnsi="Calibri"/>
                <w:sz w:val="20"/>
              </w:rPr>
              <w:t>58.7%</w:t>
            </w:r>
          </w:p>
        </w:tc>
      </w:tr>
      <w:tr>
        <w:tc>
          <w:tcPr>
            <w:tcW w:type="dxa" w:w="3600"/>
            <w:shd w:val="clear" w:color="auto" w:fill="EEF2FF"/>
          </w:tcPr>
          <w:p>
            <w:r>
              <w:rPr>
                <w:rFonts w:ascii="Calibri" w:hAnsi="Calibri"/>
                <w:sz w:val="20"/>
              </w:rPr>
              <w:t>Normal</w:t>
            </w:r>
          </w:p>
        </w:tc>
        <w:tc>
          <w:tcPr>
            <w:tcW w:type="dxa" w:w="3600"/>
            <w:shd w:val="clear" w:color="auto" w:fill="EEF2FF"/>
          </w:tcPr>
          <w:p>
            <w:r>
              <w:rPr>
                <w:rFonts w:ascii="Calibri" w:hAnsi="Calibri"/>
                <w:sz w:val="20"/>
              </w:rPr>
              <w:t>$133,271.98</w:t>
            </w:r>
          </w:p>
        </w:tc>
        <w:tc>
          <w:tcPr>
            <w:tcW w:type="dxa" w:w="2880"/>
            <w:shd w:val="clear" w:color="auto" w:fill="EEF2FF"/>
          </w:tcPr>
          <w:p>
            <w:r>
              <w:rPr>
                <w:rFonts w:ascii="Calibri" w:hAnsi="Calibri"/>
                <w:sz w:val="20"/>
              </w:rPr>
              <w:t>41.3%</w:t>
            </w:r>
          </w:p>
        </w:tc>
      </w:tr>
    </w:tbl>
    <w:p/>
    <w:p>
      <w:pPr>
        <w:spacing w:after="160"/>
        <w:jc w:val="center"/>
      </w:pPr>
      <w:r>
        <w:rPr>
          <w:rFonts w:ascii="Calibri" w:hAnsi="Calibri"/>
          <w:i/>
          <w:color w:val="555555"/>
          <w:sz w:val="18"/>
        </w:rPr>
        <w:t>Table 12.3: Sales by Customer Type</w:t>
      </w:r>
    </w:p>
    <w:p>
      <w:pPr>
        <w:pStyle w:val="Heading2"/>
        <w:spacing w:before="240" w:after="80"/>
      </w:pPr>
      <w:r>
        <w:rPr>
          <w:color w:val="2C3E7A"/>
        </w:rPr>
        <w:t>12.5 Sales by Gender</w:t>
      </w:r>
    </w:p>
    <w:tbl>
      <w:tblPr>
        <w:tblStyle w:val="TableGrid"/>
        <w:tblW w:type="auto" w:w="0"/>
        <w:jc w:val="center"/>
        <w:tblLook w:firstColumn="1" w:firstRow="1" w:lastColumn="0" w:lastRow="0" w:noHBand="0" w:noVBand="1" w:val="04A0"/>
      </w:tblPr>
      <w:tblGrid>
        <w:gridCol w:w="2769"/>
        <w:gridCol w:w="2769"/>
        <w:gridCol w:w="2769"/>
      </w:tblGrid>
      <w:tr>
        <w:tc>
          <w:tcPr>
            <w:tcW w:type="dxa" w:w="3600"/>
            <w:shd w:val="clear" w:color="auto" w:fill="1A1A6E"/>
            <w:vAlign w:val="center"/>
          </w:tcPr>
          <w:p>
            <w:pPr>
              <w:jc w:val="center"/>
            </w:pPr>
            <w:r>
              <w:rPr>
                <w:b/>
                <w:color w:val="FFFFFF"/>
                <w:sz w:val="20"/>
              </w:rPr>
              <w:t>Gender</w:t>
            </w:r>
          </w:p>
        </w:tc>
        <w:tc>
          <w:tcPr>
            <w:tcW w:type="dxa" w:w="3600"/>
            <w:shd w:val="clear" w:color="auto" w:fill="1A1A6E"/>
            <w:vAlign w:val="center"/>
          </w:tcPr>
          <w:p>
            <w:pPr>
              <w:jc w:val="center"/>
            </w:pPr>
            <w:r>
              <w:rPr>
                <w:b/>
                <w:color w:val="FFFFFF"/>
                <w:sz w:val="20"/>
              </w:rPr>
              <w:t>Total Sales ($)</w:t>
            </w:r>
          </w:p>
        </w:tc>
        <w:tc>
          <w:tcPr>
            <w:tcW w:type="dxa" w:w="2880"/>
            <w:shd w:val="clear" w:color="auto" w:fill="1A1A6E"/>
            <w:vAlign w:val="center"/>
          </w:tcPr>
          <w:p>
            <w:pPr>
              <w:jc w:val="center"/>
            </w:pPr>
            <w:r>
              <w:rPr>
                <w:b/>
                <w:color w:val="FFFFFF"/>
                <w:sz w:val="20"/>
              </w:rPr>
              <w:t>% of Total</w:t>
            </w:r>
          </w:p>
        </w:tc>
      </w:tr>
      <w:tr>
        <w:tc>
          <w:tcPr>
            <w:tcW w:type="dxa" w:w="3600"/>
          </w:tcPr>
          <w:p>
            <w:r>
              <w:rPr>
                <w:rFonts w:ascii="Calibri" w:hAnsi="Calibri"/>
                <w:sz w:val="20"/>
              </w:rPr>
              <w:t>Female</w:t>
            </w:r>
          </w:p>
        </w:tc>
        <w:tc>
          <w:tcPr>
            <w:tcW w:type="dxa" w:w="3600"/>
          </w:tcPr>
          <w:p>
            <w:r>
              <w:rPr>
                <w:rFonts w:ascii="Calibri" w:hAnsi="Calibri"/>
                <w:sz w:val="20"/>
              </w:rPr>
              <w:t>$194,671.84</w:t>
            </w:r>
          </w:p>
        </w:tc>
        <w:tc>
          <w:tcPr>
            <w:tcW w:type="dxa" w:w="2880"/>
          </w:tcPr>
          <w:p>
            <w:r>
              <w:rPr>
                <w:rFonts w:ascii="Calibri" w:hAnsi="Calibri"/>
                <w:sz w:val="20"/>
              </w:rPr>
              <w:t>60.3%</w:t>
            </w:r>
          </w:p>
        </w:tc>
      </w:tr>
      <w:tr>
        <w:tc>
          <w:tcPr>
            <w:tcW w:type="dxa" w:w="3600"/>
            <w:shd w:val="clear" w:color="auto" w:fill="EEF2FF"/>
          </w:tcPr>
          <w:p>
            <w:r>
              <w:rPr>
                <w:rFonts w:ascii="Calibri" w:hAnsi="Calibri"/>
                <w:sz w:val="20"/>
              </w:rPr>
              <w:t>Male</w:t>
            </w:r>
          </w:p>
        </w:tc>
        <w:tc>
          <w:tcPr>
            <w:tcW w:type="dxa" w:w="3600"/>
            <w:shd w:val="clear" w:color="auto" w:fill="EEF2FF"/>
          </w:tcPr>
          <w:p>
            <w:r>
              <w:rPr>
                <w:rFonts w:ascii="Calibri" w:hAnsi="Calibri"/>
                <w:sz w:val="20"/>
              </w:rPr>
              <w:t>$128,294.91</w:t>
            </w:r>
          </w:p>
        </w:tc>
        <w:tc>
          <w:tcPr>
            <w:tcW w:type="dxa" w:w="2880"/>
            <w:shd w:val="clear" w:color="auto" w:fill="EEF2FF"/>
          </w:tcPr>
          <w:p>
            <w:r>
              <w:rPr>
                <w:rFonts w:ascii="Calibri" w:hAnsi="Calibri"/>
                <w:sz w:val="20"/>
              </w:rPr>
              <w:t>39.7%</w:t>
            </w:r>
          </w:p>
        </w:tc>
      </w:tr>
    </w:tbl>
    <w:p/>
    <w:p>
      <w:pPr>
        <w:spacing w:after="160"/>
        <w:jc w:val="center"/>
      </w:pPr>
      <w:r>
        <w:rPr>
          <w:rFonts w:ascii="Calibri" w:hAnsi="Calibri"/>
          <w:i/>
          <w:color w:val="555555"/>
          <w:sz w:val="18"/>
        </w:rPr>
        <w:t>Table 12.4: Sales by Gender</w:t>
      </w:r>
    </w:p>
    <w:p>
      <w:pPr>
        <w:pStyle w:val="Heading2"/>
        <w:spacing w:before="240" w:after="80"/>
      </w:pPr>
      <w:r>
        <w:rPr>
          <w:color w:val="2C3E7A"/>
        </w:rPr>
        <w:t>12.6 Sales by Payment Method</w:t>
      </w:r>
    </w:p>
    <w:tbl>
      <w:tblPr>
        <w:tblStyle w:val="TableGrid"/>
        <w:tblW w:type="auto" w:w="0"/>
        <w:jc w:val="center"/>
        <w:tblLook w:firstColumn="1" w:firstRow="1" w:lastColumn="0" w:lastRow="0" w:noHBand="0" w:noVBand="1" w:val="04A0"/>
      </w:tblPr>
      <w:tblGrid>
        <w:gridCol w:w="2769"/>
        <w:gridCol w:w="2769"/>
        <w:gridCol w:w="2769"/>
      </w:tblGrid>
      <w:tr>
        <w:tc>
          <w:tcPr>
            <w:tcW w:type="dxa" w:w="3600"/>
            <w:shd w:val="clear" w:color="auto" w:fill="1A1A6E"/>
            <w:vAlign w:val="center"/>
          </w:tcPr>
          <w:p>
            <w:pPr>
              <w:jc w:val="center"/>
            </w:pPr>
            <w:r>
              <w:rPr>
                <w:b/>
                <w:color w:val="FFFFFF"/>
                <w:sz w:val="20"/>
              </w:rPr>
              <w:t>Payment Method</w:t>
            </w:r>
          </w:p>
        </w:tc>
        <w:tc>
          <w:tcPr>
            <w:tcW w:type="dxa" w:w="3600"/>
            <w:shd w:val="clear" w:color="auto" w:fill="1A1A6E"/>
            <w:vAlign w:val="center"/>
          </w:tcPr>
          <w:p>
            <w:pPr>
              <w:jc w:val="center"/>
            </w:pPr>
            <w:r>
              <w:rPr>
                <w:b/>
                <w:color w:val="FFFFFF"/>
                <w:sz w:val="20"/>
              </w:rPr>
              <w:t>Total Sales ($)</w:t>
            </w:r>
          </w:p>
        </w:tc>
        <w:tc>
          <w:tcPr>
            <w:tcW w:type="dxa" w:w="2880"/>
            <w:shd w:val="clear" w:color="auto" w:fill="1A1A6E"/>
            <w:vAlign w:val="center"/>
          </w:tcPr>
          <w:p>
            <w:pPr>
              <w:jc w:val="center"/>
            </w:pPr>
            <w:r>
              <w:rPr>
                <w:b/>
                <w:color w:val="FFFFFF"/>
                <w:sz w:val="20"/>
              </w:rPr>
              <w:t>% of Total</w:t>
            </w:r>
          </w:p>
        </w:tc>
      </w:tr>
      <w:tr>
        <w:tc>
          <w:tcPr>
            <w:tcW w:type="dxa" w:w="3600"/>
          </w:tcPr>
          <w:p>
            <w:r>
              <w:rPr>
                <w:rFonts w:ascii="Calibri" w:hAnsi="Calibri"/>
                <w:sz w:val="20"/>
              </w:rPr>
              <w:t>Cash</w:t>
            </w:r>
          </w:p>
        </w:tc>
        <w:tc>
          <w:tcPr>
            <w:tcW w:type="dxa" w:w="3600"/>
          </w:tcPr>
          <w:p>
            <w:r>
              <w:rPr>
                <w:rFonts w:ascii="Calibri" w:hAnsi="Calibri"/>
                <w:sz w:val="20"/>
              </w:rPr>
              <w:t>$112,206.57</w:t>
            </w:r>
          </w:p>
        </w:tc>
        <w:tc>
          <w:tcPr>
            <w:tcW w:type="dxa" w:w="2880"/>
          </w:tcPr>
          <w:p>
            <w:r>
              <w:rPr>
                <w:rFonts w:ascii="Calibri" w:hAnsi="Calibri"/>
                <w:sz w:val="20"/>
              </w:rPr>
              <w:t>34.7%</w:t>
            </w:r>
          </w:p>
        </w:tc>
      </w:tr>
      <w:tr>
        <w:tc>
          <w:tcPr>
            <w:tcW w:type="dxa" w:w="3600"/>
            <w:shd w:val="clear" w:color="auto" w:fill="EEF2FF"/>
          </w:tcPr>
          <w:p>
            <w:r>
              <w:rPr>
                <w:rFonts w:ascii="Calibri" w:hAnsi="Calibri"/>
                <w:sz w:val="20"/>
              </w:rPr>
              <w:t>Ewallet</w:t>
            </w:r>
          </w:p>
        </w:tc>
        <w:tc>
          <w:tcPr>
            <w:tcW w:type="dxa" w:w="3600"/>
            <w:shd w:val="clear" w:color="auto" w:fill="EEF2FF"/>
          </w:tcPr>
          <w:p>
            <w:r>
              <w:rPr>
                <w:rFonts w:ascii="Calibri" w:hAnsi="Calibri"/>
                <w:sz w:val="20"/>
              </w:rPr>
              <w:t>$109,993.11</w:t>
            </w:r>
          </w:p>
        </w:tc>
        <w:tc>
          <w:tcPr>
            <w:tcW w:type="dxa" w:w="2880"/>
            <w:shd w:val="clear" w:color="auto" w:fill="EEF2FF"/>
          </w:tcPr>
          <w:p>
            <w:r>
              <w:rPr>
                <w:rFonts w:ascii="Calibri" w:hAnsi="Calibri"/>
                <w:sz w:val="20"/>
              </w:rPr>
              <w:t>34.1%</w:t>
            </w:r>
          </w:p>
        </w:tc>
      </w:tr>
      <w:tr>
        <w:tc>
          <w:tcPr>
            <w:tcW w:type="dxa" w:w="3600"/>
          </w:tcPr>
          <w:p>
            <w:r>
              <w:rPr>
                <w:rFonts w:ascii="Calibri" w:hAnsi="Calibri"/>
                <w:sz w:val="20"/>
              </w:rPr>
              <w:t>Credit card</w:t>
            </w:r>
          </w:p>
        </w:tc>
        <w:tc>
          <w:tcPr>
            <w:tcW w:type="dxa" w:w="3600"/>
          </w:tcPr>
          <w:p>
            <w:r>
              <w:rPr>
                <w:rFonts w:ascii="Calibri" w:hAnsi="Calibri"/>
                <w:sz w:val="20"/>
              </w:rPr>
              <w:t>$100,767.07</w:t>
            </w:r>
          </w:p>
        </w:tc>
        <w:tc>
          <w:tcPr>
            <w:tcW w:type="dxa" w:w="2880"/>
          </w:tcPr>
          <w:p>
            <w:r>
              <w:rPr>
                <w:rFonts w:ascii="Calibri" w:hAnsi="Calibri"/>
                <w:sz w:val="20"/>
              </w:rPr>
              <w:t>31.2%</w:t>
            </w:r>
          </w:p>
        </w:tc>
      </w:tr>
    </w:tbl>
    <w:p/>
    <w:p>
      <w:pPr>
        <w:spacing w:after="160"/>
        <w:jc w:val="center"/>
      </w:pPr>
      <w:r>
        <w:rPr>
          <w:rFonts w:ascii="Calibri" w:hAnsi="Calibri"/>
          <w:i/>
          <w:color w:val="555555"/>
          <w:sz w:val="18"/>
        </w:rPr>
        <w:t>Table 12.5: Sales by Payment Method</w:t>
      </w:r>
    </w:p>
    <w:p>
      <w:pPr>
        <w:pStyle w:val="Heading2"/>
        <w:spacing w:before="240" w:after="80"/>
      </w:pPr>
      <w:r>
        <w:rPr>
          <w:color w:val="2C3E7A"/>
        </w:rPr>
        <w:t>12.7 Daily Sales Trend</w:t>
      </w:r>
    </w:p>
    <w:p>
      <w:pPr>
        <w:spacing w:after="120" w:line="360" w:lineRule="auto"/>
      </w:pPr>
      <w:r>
        <w:rPr>
          <w:rFonts w:ascii="Calibri" w:hAnsi="Calibri"/>
          <w:b w:val="0"/>
          <w:i w:val="0"/>
          <w:sz w:val="22"/>
        </w:rPr>
        <w:t>The dashboard plots a daily sales area chart using the sales_trend() function in visualizations.py. Daily sales are computed by grouping the Sales column by the parsed Date column. The chart reveals day-to-day variation in sales volumes across the three-month period. The dashboard also shows monthly and hourly sales charts under the Time Analysis tab.</w:t>
      </w:r>
    </w:p>
    <w:p>
      <w:r>
        <w:br w:type="page"/>
      </w:r>
    </w:p>
    <w:p>
      <w:pPr>
        <w:pStyle w:val="Heading1"/>
        <w:spacing w:before="360" w:after="120"/>
      </w:pPr>
      <w:r>
        <w:rPr>
          <w:color w:val="1A1A6E"/>
        </w:rPr>
        <w:t>13. Price Analysis</w:t>
      </w:r>
    </w:p>
    <w:p>
      <w:pPr>
        <w:spacing w:after="120" w:line="360" w:lineRule="auto"/>
      </w:pPr>
      <w:r>
        <w:rPr>
          <w:rFonts w:ascii="Calibri" w:hAnsi="Calibri"/>
          <w:b w:val="0"/>
          <w:i w:val="0"/>
          <w:sz w:val="22"/>
        </w:rPr>
        <w:t>The Unit price column records the price per unit charged for each transaction. Price analysis is important for understanding the product price positioning, identifying high-value product lines, and examining the relationship between price and sales volume.</w:t>
      </w:r>
    </w:p>
    <w:p>
      <w:pPr>
        <w:pStyle w:val="Heading2"/>
        <w:spacing w:before="240" w:after="80"/>
      </w:pPr>
      <w:r>
        <w:rPr>
          <w:color w:val="2C3E7A"/>
        </w:rPr>
        <w:t>13.1 Unit Price Summary Statistics</w:t>
      </w:r>
    </w:p>
    <w:tbl>
      <w:tblPr>
        <w:tblStyle w:val="TableGrid"/>
        <w:tblW w:type="auto" w:w="0"/>
        <w:jc w:val="center"/>
        <w:tblLook w:firstColumn="1" w:firstRow="1" w:lastColumn="0" w:lastRow="0" w:noHBand="0" w:noVBand="1" w:val="04A0"/>
      </w:tblPr>
      <w:tblGrid>
        <w:gridCol w:w="4153"/>
        <w:gridCol w:w="4153"/>
      </w:tblGrid>
      <w:tr>
        <w:tc>
          <w:tcPr>
            <w:tcW w:type="dxa" w:w="5040"/>
            <w:shd w:val="clear" w:color="auto" w:fill="1A1A6E"/>
            <w:vAlign w:val="center"/>
          </w:tcPr>
          <w:p>
            <w:pPr>
              <w:jc w:val="center"/>
            </w:pPr>
            <w:r>
              <w:rPr>
                <w:b/>
                <w:color w:val="FFFFFF"/>
                <w:sz w:val="20"/>
              </w:rPr>
              <w:t>Metric</w:t>
            </w:r>
          </w:p>
        </w:tc>
        <w:tc>
          <w:tcPr>
            <w:tcW w:type="dxa" w:w="5040"/>
            <w:shd w:val="clear" w:color="auto" w:fill="1A1A6E"/>
            <w:vAlign w:val="center"/>
          </w:tcPr>
          <w:p>
            <w:pPr>
              <w:jc w:val="center"/>
            </w:pPr>
            <w:r>
              <w:rPr>
                <w:b/>
                <w:color w:val="FFFFFF"/>
                <w:sz w:val="20"/>
              </w:rPr>
              <w:t>Value</w:t>
            </w:r>
          </w:p>
        </w:tc>
      </w:tr>
      <w:tr>
        <w:tc>
          <w:tcPr>
            <w:tcW w:type="dxa" w:w="5040"/>
          </w:tcPr>
          <w:p>
            <w:r>
              <w:rPr>
                <w:rFonts w:ascii="Calibri" w:hAnsi="Calibri"/>
                <w:sz w:val="20"/>
              </w:rPr>
              <w:t>Minimum Unit Price</w:t>
            </w:r>
          </w:p>
        </w:tc>
        <w:tc>
          <w:tcPr>
            <w:tcW w:type="dxa" w:w="5040"/>
          </w:tcPr>
          <w:p>
            <w:r>
              <w:rPr>
                <w:rFonts w:ascii="Calibri" w:hAnsi="Calibri"/>
                <w:sz w:val="20"/>
              </w:rPr>
              <w:t>$10.08</w:t>
            </w:r>
          </w:p>
        </w:tc>
      </w:tr>
      <w:tr>
        <w:tc>
          <w:tcPr>
            <w:tcW w:type="dxa" w:w="5040"/>
            <w:shd w:val="clear" w:color="auto" w:fill="EEF2FF"/>
          </w:tcPr>
          <w:p>
            <w:r>
              <w:rPr>
                <w:rFonts w:ascii="Calibri" w:hAnsi="Calibri"/>
                <w:sz w:val="20"/>
              </w:rPr>
              <w:t>Maximum Unit Price</w:t>
            </w:r>
          </w:p>
        </w:tc>
        <w:tc>
          <w:tcPr>
            <w:tcW w:type="dxa" w:w="5040"/>
            <w:shd w:val="clear" w:color="auto" w:fill="EEF2FF"/>
          </w:tcPr>
          <w:p>
            <w:r>
              <w:rPr>
                <w:rFonts w:ascii="Calibri" w:hAnsi="Calibri"/>
                <w:sz w:val="20"/>
              </w:rPr>
              <w:t>$99.96</w:t>
            </w:r>
          </w:p>
        </w:tc>
      </w:tr>
      <w:tr>
        <w:tc>
          <w:tcPr>
            <w:tcW w:type="dxa" w:w="5040"/>
          </w:tcPr>
          <w:p>
            <w:r>
              <w:rPr>
                <w:rFonts w:ascii="Calibri" w:hAnsi="Calibri"/>
                <w:sz w:val="20"/>
              </w:rPr>
              <w:t>Average Unit Price</w:t>
            </w:r>
          </w:p>
        </w:tc>
        <w:tc>
          <w:tcPr>
            <w:tcW w:type="dxa" w:w="5040"/>
          </w:tcPr>
          <w:p>
            <w:r>
              <w:rPr>
                <w:rFonts w:ascii="Calibri" w:hAnsi="Calibri"/>
                <w:sz w:val="20"/>
              </w:rPr>
              <w:t>$55.67</w:t>
            </w:r>
          </w:p>
        </w:tc>
      </w:tr>
      <w:tr>
        <w:tc>
          <w:tcPr>
            <w:tcW w:type="dxa" w:w="5040"/>
            <w:shd w:val="clear" w:color="auto" w:fill="EEF2FF"/>
          </w:tcPr>
          <w:p>
            <w:r>
              <w:rPr>
                <w:rFonts w:ascii="Calibri" w:hAnsi="Calibri"/>
                <w:sz w:val="20"/>
              </w:rPr>
              <w:t>Median Unit Price</w:t>
            </w:r>
          </w:p>
        </w:tc>
        <w:tc>
          <w:tcPr>
            <w:tcW w:type="dxa" w:w="5040"/>
            <w:shd w:val="clear" w:color="auto" w:fill="EEF2FF"/>
          </w:tcPr>
          <w:p>
            <w:r>
              <w:rPr>
                <w:rFonts w:ascii="Calibri" w:hAnsi="Calibri"/>
                <w:sz w:val="20"/>
              </w:rPr>
              <w:t>$55.23</w:t>
            </w:r>
          </w:p>
        </w:tc>
      </w:tr>
      <w:tr>
        <w:tc>
          <w:tcPr>
            <w:tcW w:type="dxa" w:w="5040"/>
          </w:tcPr>
          <w:p>
            <w:r>
              <w:rPr>
                <w:rFonts w:ascii="Calibri" w:hAnsi="Calibri"/>
                <w:sz w:val="20"/>
              </w:rPr>
              <w:t>Std Deviation</w:t>
            </w:r>
          </w:p>
        </w:tc>
        <w:tc>
          <w:tcPr>
            <w:tcW w:type="dxa" w:w="5040"/>
          </w:tcPr>
          <w:p>
            <w:r>
              <w:rPr>
                <w:rFonts w:ascii="Calibri" w:hAnsi="Calibri"/>
                <w:sz w:val="20"/>
              </w:rPr>
              <w:t>$26.49</w:t>
            </w:r>
          </w:p>
        </w:tc>
      </w:tr>
    </w:tbl>
    <w:p/>
    <w:p>
      <w:pPr>
        <w:spacing w:after="160"/>
        <w:jc w:val="center"/>
      </w:pPr>
      <w:r>
        <w:rPr>
          <w:rFonts w:ascii="Calibri" w:hAnsi="Calibri"/>
          <w:i/>
          <w:color w:val="555555"/>
          <w:sz w:val="18"/>
        </w:rPr>
        <w:t>Table 13.1: Unit Price Statistics</w:t>
      </w:r>
    </w:p>
    <w:p>
      <w:pPr>
        <w:pStyle w:val="Heading2"/>
        <w:spacing w:before="240" w:after="80"/>
      </w:pPr>
      <w:r>
        <w:rPr>
          <w:color w:val="2C3E7A"/>
        </w:rPr>
        <w:t>13.2 Average Unit Price by Product Line</w:t>
      </w:r>
    </w:p>
    <w:tbl>
      <w:tblPr>
        <w:tblStyle w:val="TableGrid"/>
        <w:tblW w:type="auto" w:w="0"/>
        <w:jc w:val="center"/>
        <w:tblLook w:firstColumn="1" w:firstRow="1" w:lastColumn="0" w:lastRow="0" w:noHBand="0" w:noVBand="1" w:val="04A0"/>
      </w:tblPr>
      <w:tblGrid>
        <w:gridCol w:w="4153"/>
        <w:gridCol w:w="4153"/>
      </w:tblGrid>
      <w:tr>
        <w:tc>
          <w:tcPr>
            <w:tcW w:type="dxa" w:w="5760"/>
            <w:shd w:val="clear" w:color="auto" w:fill="1A1A6E"/>
            <w:vAlign w:val="center"/>
          </w:tcPr>
          <w:p>
            <w:pPr>
              <w:jc w:val="center"/>
            </w:pPr>
            <w:r>
              <w:rPr>
                <w:b/>
                <w:color w:val="FFFFFF"/>
                <w:sz w:val="20"/>
              </w:rPr>
              <w:t>Product Line</w:t>
            </w:r>
          </w:p>
        </w:tc>
        <w:tc>
          <w:tcPr>
            <w:tcW w:type="dxa" w:w="4320"/>
            <w:shd w:val="clear" w:color="auto" w:fill="1A1A6E"/>
            <w:vAlign w:val="center"/>
          </w:tcPr>
          <w:p>
            <w:pPr>
              <w:jc w:val="center"/>
            </w:pPr>
            <w:r>
              <w:rPr>
                <w:b/>
                <w:color w:val="FFFFFF"/>
                <w:sz w:val="20"/>
              </w:rPr>
              <w:t>Average Unit Price ($)</w:t>
            </w:r>
          </w:p>
        </w:tc>
      </w:tr>
      <w:tr>
        <w:tc>
          <w:tcPr>
            <w:tcW w:type="dxa" w:w="5760"/>
          </w:tcPr>
          <w:p>
            <w:r>
              <w:rPr>
                <w:rFonts w:ascii="Calibri" w:hAnsi="Calibri"/>
                <w:sz w:val="20"/>
              </w:rPr>
              <w:t>Fashion accessories</w:t>
            </w:r>
          </w:p>
        </w:tc>
        <w:tc>
          <w:tcPr>
            <w:tcW w:type="dxa" w:w="4320"/>
          </w:tcPr>
          <w:p>
            <w:r>
              <w:rPr>
                <w:rFonts w:ascii="Calibri" w:hAnsi="Calibri"/>
                <w:sz w:val="20"/>
              </w:rPr>
              <w:t>$57.15</w:t>
            </w:r>
          </w:p>
        </w:tc>
      </w:tr>
      <w:tr>
        <w:tc>
          <w:tcPr>
            <w:tcW w:type="dxa" w:w="5760"/>
            <w:shd w:val="clear" w:color="auto" w:fill="EEF2FF"/>
          </w:tcPr>
          <w:p>
            <w:r>
              <w:rPr>
                <w:rFonts w:ascii="Calibri" w:hAnsi="Calibri"/>
                <w:sz w:val="20"/>
              </w:rPr>
              <w:t>Sports and travel</w:t>
            </w:r>
          </w:p>
        </w:tc>
        <w:tc>
          <w:tcPr>
            <w:tcW w:type="dxa" w:w="4320"/>
            <w:shd w:val="clear" w:color="auto" w:fill="EEF2FF"/>
          </w:tcPr>
          <w:p>
            <w:r>
              <w:rPr>
                <w:rFonts w:ascii="Calibri" w:hAnsi="Calibri"/>
                <w:sz w:val="20"/>
              </w:rPr>
              <w:t>$56.99</w:t>
            </w:r>
          </w:p>
        </w:tc>
      </w:tr>
      <w:tr>
        <w:tc>
          <w:tcPr>
            <w:tcW w:type="dxa" w:w="5760"/>
          </w:tcPr>
          <w:p>
            <w:r>
              <w:rPr>
                <w:rFonts w:ascii="Calibri" w:hAnsi="Calibri"/>
                <w:sz w:val="20"/>
              </w:rPr>
              <w:t>Food and beverages</w:t>
            </w:r>
          </w:p>
        </w:tc>
        <w:tc>
          <w:tcPr>
            <w:tcW w:type="dxa" w:w="4320"/>
          </w:tcPr>
          <w:p>
            <w:r>
              <w:rPr>
                <w:rFonts w:ascii="Calibri" w:hAnsi="Calibri"/>
                <w:sz w:val="20"/>
              </w:rPr>
              <w:t>$56.01</w:t>
            </w:r>
          </w:p>
        </w:tc>
      </w:tr>
      <w:tr>
        <w:tc>
          <w:tcPr>
            <w:tcW w:type="dxa" w:w="5760"/>
            <w:shd w:val="clear" w:color="auto" w:fill="EEF2FF"/>
          </w:tcPr>
          <w:p>
            <w:r>
              <w:rPr>
                <w:rFonts w:ascii="Calibri" w:hAnsi="Calibri"/>
                <w:sz w:val="20"/>
              </w:rPr>
              <w:t>Home and lifestyle</w:t>
            </w:r>
          </w:p>
        </w:tc>
        <w:tc>
          <w:tcPr>
            <w:tcW w:type="dxa" w:w="4320"/>
            <w:shd w:val="clear" w:color="auto" w:fill="EEF2FF"/>
          </w:tcPr>
          <w:p>
            <w:r>
              <w:rPr>
                <w:rFonts w:ascii="Calibri" w:hAnsi="Calibri"/>
                <w:sz w:val="20"/>
              </w:rPr>
              <w:t>$55.32</w:t>
            </w:r>
          </w:p>
        </w:tc>
      </w:tr>
      <w:tr>
        <w:tc>
          <w:tcPr>
            <w:tcW w:type="dxa" w:w="5760"/>
          </w:tcPr>
          <w:p>
            <w:r>
              <w:rPr>
                <w:rFonts w:ascii="Calibri" w:hAnsi="Calibri"/>
                <w:sz w:val="20"/>
              </w:rPr>
              <w:t>Health and beauty</w:t>
            </w:r>
          </w:p>
        </w:tc>
        <w:tc>
          <w:tcPr>
            <w:tcW w:type="dxa" w:w="4320"/>
          </w:tcPr>
          <w:p>
            <w:r>
              <w:rPr>
                <w:rFonts w:ascii="Calibri" w:hAnsi="Calibri"/>
                <w:sz w:val="20"/>
              </w:rPr>
              <w:t>$54.85</w:t>
            </w:r>
          </w:p>
        </w:tc>
      </w:tr>
      <w:tr>
        <w:tc>
          <w:tcPr>
            <w:tcW w:type="dxa" w:w="5760"/>
            <w:shd w:val="clear" w:color="auto" w:fill="EEF2FF"/>
          </w:tcPr>
          <w:p>
            <w:r>
              <w:rPr>
                <w:rFonts w:ascii="Calibri" w:hAnsi="Calibri"/>
                <w:sz w:val="20"/>
              </w:rPr>
              <w:t>Electronic accessories</w:t>
            </w:r>
          </w:p>
        </w:tc>
        <w:tc>
          <w:tcPr>
            <w:tcW w:type="dxa" w:w="4320"/>
            <w:shd w:val="clear" w:color="auto" w:fill="EEF2FF"/>
          </w:tcPr>
          <w:p>
            <w:r>
              <w:rPr>
                <w:rFonts w:ascii="Calibri" w:hAnsi="Calibri"/>
                <w:sz w:val="20"/>
              </w:rPr>
              <w:t>$53.55</w:t>
            </w:r>
          </w:p>
        </w:tc>
      </w:tr>
    </w:tbl>
    <w:p/>
    <w:p>
      <w:pPr>
        <w:spacing w:after="160"/>
        <w:jc w:val="center"/>
      </w:pPr>
      <w:r>
        <w:rPr>
          <w:rFonts w:ascii="Calibri" w:hAnsi="Calibri"/>
          <w:i/>
          <w:color w:val="555555"/>
          <w:sz w:val="18"/>
        </w:rPr>
        <w:t>Table 13.2: Average Unit Price by Product Line</w:t>
      </w:r>
    </w:p>
    <w:p>
      <w:pPr>
        <w:spacing w:after="120" w:line="360" w:lineRule="auto"/>
      </w:pPr>
      <w:r>
        <w:rPr>
          <w:rFonts w:ascii="Calibri" w:hAnsi="Calibri"/>
          <w:b w:val="0"/>
          <w:i w:val="0"/>
          <w:sz w:val="22"/>
        </w:rPr>
        <w:t>Fashion Accessories has the highest average unit price ($57.15), closely followed by Sports and Travel ($56.99) and Food and Beverages ($56.01). Electronic Accessories has the lowest average unit price at $53.55. The price ranges across product lines are relatively close, indicating a balanced price positioning strategy.</w:t>
      </w:r>
    </w:p>
    <w:p>
      <w:pPr>
        <w:pStyle w:val="Heading2"/>
        <w:spacing w:before="240" w:after="80"/>
      </w:pPr>
      <w:r>
        <w:rPr>
          <w:color w:val="2C3E7A"/>
        </w:rPr>
        <w:t>13.3 Unit Price Distribution</w:t>
      </w:r>
    </w:p>
    <w:p>
      <w:pPr>
        <w:spacing w:after="120" w:line="360" w:lineRule="auto"/>
      </w:pPr>
      <w:r>
        <w:rPr>
          <w:rFonts w:ascii="Calibri" w:hAnsi="Calibri"/>
          <w:b w:val="0"/>
          <w:i w:val="0"/>
          <w:sz w:val="22"/>
        </w:rPr>
        <w:t>The price_histogram() function in visualizations.py renders a 30-bin histogram of unit prices. Prices range from $10.08 to $99.96, with a mean of $55.67 and a standard deviation of $26.49. The distribution is approximately uniform across the price range, suggesting that the supermarket stocks products spanning low, mid, and high price tiers fairly evenly.</w:t>
      </w:r>
    </w:p>
    <w:p>
      <w:pPr>
        <w:pStyle w:val="Heading2"/>
        <w:spacing w:before="240" w:after="80"/>
      </w:pPr>
      <w:r>
        <w:rPr>
          <w:color w:val="2C3E7A"/>
        </w:rPr>
        <w:t>13.4 Unit Price vs Quantity and Unit Price vs Sales</w:t>
      </w:r>
    </w:p>
    <w:p>
      <w:pPr>
        <w:spacing w:after="120" w:line="360" w:lineRule="auto"/>
      </w:pPr>
      <w:r>
        <w:rPr>
          <w:rFonts w:ascii="Calibri" w:hAnsi="Calibri"/>
          <w:b w:val="0"/>
          <w:i w:val="0"/>
          <w:sz w:val="22"/>
        </w:rPr>
        <w:t>The dashboard includes two scatter plots in the Advanced Analytics tab:</w:t>
      </w:r>
    </w:p>
    <w:p>
      <w:pPr>
        <w:pStyle w:val="ListBullet"/>
        <w:spacing w:after="60"/>
      </w:pPr>
      <w:r>
        <w:rPr>
          <w:rFonts w:ascii="Calibri" w:hAnsi="Calibri"/>
          <w:sz w:val="22"/>
        </w:rPr>
        <w:t>Unit Price vs Quantity Sold (price_vs_quantity): Plots each transaction by its unit price (x-axis) against quantity ordered (y-axis), colour-coded by product line. This reveals whether higher-priced products tend to be purchased in smaller quantities.</w:t>
      </w:r>
    </w:p>
    <w:p>
      <w:pPr>
        <w:pStyle w:val="ListBullet"/>
        <w:spacing w:after="60"/>
      </w:pPr>
      <w:r>
        <w:rPr>
          <w:rFonts w:ascii="Calibri" w:hAnsi="Calibri"/>
          <w:sz w:val="22"/>
        </w:rPr>
        <w:t>Unit Price vs Total Sales (price_vs_sales): Plots unit price against the total transaction sales value. Since Sales = Unit price × Quantity × 1.05 (including tax), a positive relationship is expected. The chart confirms this relationship across all product lines.</w:t>
      </w:r>
    </w:p>
    <w:p>
      <w:r>
        <w:br w:type="page"/>
      </w:r>
    </w:p>
    <w:p>
      <w:pPr>
        <w:pStyle w:val="Heading1"/>
        <w:spacing w:before="360" w:after="120"/>
      </w:pPr>
      <w:r>
        <w:rPr>
          <w:color w:val="1A1A6E"/>
        </w:rPr>
        <w:t>14. Product Analytics</w:t>
      </w:r>
    </w:p>
    <w:p>
      <w:pPr>
        <w:spacing w:after="120" w:line="360" w:lineRule="auto"/>
      </w:pPr>
      <w:r>
        <w:rPr>
          <w:rFonts w:ascii="Calibri" w:hAnsi="Calibri"/>
          <w:b w:val="0"/>
          <w:i w:val="0"/>
          <w:sz w:val="22"/>
        </w:rPr>
        <w:t>The Product Analytics tab provides a comprehensive view of how each product line performs across sales, quantity, unit price, and gross income dimensions.</w:t>
      </w:r>
    </w:p>
    <w:p>
      <w:pPr>
        <w:pStyle w:val="Heading2"/>
        <w:spacing w:before="240" w:after="80"/>
      </w:pPr>
      <w:r>
        <w:rPr>
          <w:color w:val="2C3E7A"/>
        </w:rPr>
        <w:t>14.1 Product Line Summary</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3168"/>
            <w:shd w:val="clear" w:color="auto" w:fill="1A1A6E"/>
            <w:vAlign w:val="center"/>
          </w:tcPr>
          <w:p>
            <w:pPr>
              <w:jc w:val="center"/>
            </w:pPr>
            <w:r>
              <w:rPr>
                <w:b/>
                <w:color w:val="FFFFFF"/>
                <w:sz w:val="20"/>
              </w:rPr>
              <w:t>Product Line</w:t>
            </w:r>
          </w:p>
        </w:tc>
        <w:tc>
          <w:tcPr>
            <w:tcW w:type="dxa" w:w="2304"/>
            <w:shd w:val="clear" w:color="auto" w:fill="1A1A6E"/>
            <w:vAlign w:val="center"/>
          </w:tcPr>
          <w:p>
            <w:pPr>
              <w:jc w:val="center"/>
            </w:pPr>
            <w:r>
              <w:rPr>
                <w:b/>
                <w:color w:val="FFFFFF"/>
                <w:sz w:val="20"/>
              </w:rPr>
              <w:t>Total Sales ($)</w:t>
            </w:r>
          </w:p>
        </w:tc>
        <w:tc>
          <w:tcPr>
            <w:tcW w:type="dxa" w:w="1296"/>
            <w:shd w:val="clear" w:color="auto" w:fill="1A1A6E"/>
            <w:vAlign w:val="center"/>
          </w:tcPr>
          <w:p>
            <w:pPr>
              <w:jc w:val="center"/>
            </w:pPr>
            <w:r>
              <w:rPr>
                <w:b/>
                <w:color w:val="FFFFFF"/>
                <w:sz w:val="20"/>
              </w:rPr>
              <w:t>Qty Sold</w:t>
            </w:r>
          </w:p>
        </w:tc>
        <w:tc>
          <w:tcPr>
            <w:tcW w:type="dxa" w:w="2160"/>
            <w:shd w:val="clear" w:color="auto" w:fill="1A1A6E"/>
            <w:vAlign w:val="center"/>
          </w:tcPr>
          <w:p>
            <w:pPr>
              <w:jc w:val="center"/>
            </w:pPr>
            <w:r>
              <w:rPr>
                <w:b/>
                <w:color w:val="FFFFFF"/>
                <w:sz w:val="20"/>
              </w:rPr>
              <w:t>Avg Unit Price ($)</w:t>
            </w:r>
          </w:p>
        </w:tc>
        <w:tc>
          <w:tcPr>
            <w:tcW w:type="dxa" w:w="2160"/>
            <w:shd w:val="clear" w:color="auto" w:fill="1A1A6E"/>
            <w:vAlign w:val="center"/>
          </w:tcPr>
          <w:p>
            <w:pPr>
              <w:jc w:val="center"/>
            </w:pPr>
            <w:r>
              <w:rPr>
                <w:b/>
                <w:color w:val="FFFFFF"/>
                <w:sz w:val="20"/>
              </w:rPr>
              <w:t>Gross Income ($)</w:t>
            </w:r>
          </w:p>
        </w:tc>
      </w:tr>
      <w:tr>
        <w:tc>
          <w:tcPr>
            <w:tcW w:type="dxa" w:w="3168"/>
          </w:tcPr>
          <w:p>
            <w:r>
              <w:rPr>
                <w:rFonts w:ascii="Calibri" w:hAnsi="Calibri"/>
                <w:sz w:val="20"/>
              </w:rPr>
              <w:t>Food and beverages</w:t>
            </w:r>
          </w:p>
        </w:tc>
        <w:tc>
          <w:tcPr>
            <w:tcW w:type="dxa" w:w="2304"/>
          </w:tcPr>
          <w:p>
            <w:r>
              <w:rPr>
                <w:rFonts w:ascii="Calibri" w:hAnsi="Calibri"/>
                <w:sz w:val="20"/>
              </w:rPr>
              <w:t>$56,144.84</w:t>
            </w:r>
          </w:p>
        </w:tc>
        <w:tc>
          <w:tcPr>
            <w:tcW w:type="dxa" w:w="1296"/>
          </w:tcPr>
          <w:p>
            <w:r>
              <w:rPr>
                <w:rFonts w:ascii="Calibri" w:hAnsi="Calibri"/>
                <w:sz w:val="20"/>
              </w:rPr>
              <w:t>952</w:t>
            </w:r>
          </w:p>
        </w:tc>
        <w:tc>
          <w:tcPr>
            <w:tcW w:type="dxa" w:w="2160"/>
          </w:tcPr>
          <w:p>
            <w:r>
              <w:rPr>
                <w:rFonts w:ascii="Calibri" w:hAnsi="Calibri"/>
                <w:sz w:val="20"/>
              </w:rPr>
              <w:t>$56.01</w:t>
            </w:r>
          </w:p>
        </w:tc>
        <w:tc>
          <w:tcPr>
            <w:tcW w:type="dxa" w:w="2160"/>
          </w:tcPr>
          <w:p>
            <w:r>
              <w:rPr>
                <w:rFonts w:ascii="Calibri" w:hAnsi="Calibri"/>
                <w:sz w:val="20"/>
              </w:rPr>
              <w:t>$2,673.56</w:t>
            </w:r>
          </w:p>
        </w:tc>
      </w:tr>
      <w:tr>
        <w:tc>
          <w:tcPr>
            <w:tcW w:type="dxa" w:w="3168"/>
            <w:shd w:val="clear" w:color="auto" w:fill="EEF2FF"/>
          </w:tcPr>
          <w:p>
            <w:r>
              <w:rPr>
                <w:rFonts w:ascii="Calibri" w:hAnsi="Calibri"/>
                <w:sz w:val="20"/>
              </w:rPr>
              <w:t>Sports and travel</w:t>
            </w:r>
          </w:p>
        </w:tc>
        <w:tc>
          <w:tcPr>
            <w:tcW w:type="dxa" w:w="2304"/>
            <w:shd w:val="clear" w:color="auto" w:fill="EEF2FF"/>
          </w:tcPr>
          <w:p>
            <w:r>
              <w:rPr>
                <w:rFonts w:ascii="Calibri" w:hAnsi="Calibri"/>
                <w:sz w:val="20"/>
              </w:rPr>
              <w:t>$55,122.83</w:t>
            </w:r>
          </w:p>
        </w:tc>
        <w:tc>
          <w:tcPr>
            <w:tcW w:type="dxa" w:w="1296"/>
            <w:shd w:val="clear" w:color="auto" w:fill="EEF2FF"/>
          </w:tcPr>
          <w:p>
            <w:r>
              <w:rPr>
                <w:rFonts w:ascii="Calibri" w:hAnsi="Calibri"/>
                <w:sz w:val="20"/>
              </w:rPr>
              <w:t>920</w:t>
            </w:r>
          </w:p>
        </w:tc>
        <w:tc>
          <w:tcPr>
            <w:tcW w:type="dxa" w:w="2160"/>
            <w:shd w:val="clear" w:color="auto" w:fill="EEF2FF"/>
          </w:tcPr>
          <w:p>
            <w:r>
              <w:rPr>
                <w:rFonts w:ascii="Calibri" w:hAnsi="Calibri"/>
                <w:sz w:val="20"/>
              </w:rPr>
              <w:t>$56.99</w:t>
            </w:r>
          </w:p>
        </w:tc>
        <w:tc>
          <w:tcPr>
            <w:tcW w:type="dxa" w:w="2160"/>
            <w:shd w:val="clear" w:color="auto" w:fill="EEF2FF"/>
          </w:tcPr>
          <w:p>
            <w:r>
              <w:rPr>
                <w:rFonts w:ascii="Calibri" w:hAnsi="Calibri"/>
                <w:sz w:val="20"/>
              </w:rPr>
              <w:t>$2,624.90</w:t>
            </w:r>
          </w:p>
        </w:tc>
      </w:tr>
      <w:tr>
        <w:tc>
          <w:tcPr>
            <w:tcW w:type="dxa" w:w="3168"/>
          </w:tcPr>
          <w:p>
            <w:r>
              <w:rPr>
                <w:rFonts w:ascii="Calibri" w:hAnsi="Calibri"/>
                <w:sz w:val="20"/>
              </w:rPr>
              <w:t>Electronic accessories</w:t>
            </w:r>
          </w:p>
        </w:tc>
        <w:tc>
          <w:tcPr>
            <w:tcW w:type="dxa" w:w="2304"/>
          </w:tcPr>
          <w:p>
            <w:r>
              <w:rPr>
                <w:rFonts w:ascii="Calibri" w:hAnsi="Calibri"/>
                <w:sz w:val="20"/>
              </w:rPr>
              <w:t>$54,337.53</w:t>
            </w:r>
          </w:p>
        </w:tc>
        <w:tc>
          <w:tcPr>
            <w:tcW w:type="dxa" w:w="1296"/>
          </w:tcPr>
          <w:p>
            <w:r>
              <w:rPr>
                <w:rFonts w:ascii="Calibri" w:hAnsi="Calibri"/>
                <w:sz w:val="20"/>
              </w:rPr>
              <w:t>971</w:t>
            </w:r>
          </w:p>
        </w:tc>
        <w:tc>
          <w:tcPr>
            <w:tcW w:type="dxa" w:w="2160"/>
          </w:tcPr>
          <w:p>
            <w:r>
              <w:rPr>
                <w:rFonts w:ascii="Calibri" w:hAnsi="Calibri"/>
                <w:sz w:val="20"/>
              </w:rPr>
              <w:t>$53.55</w:t>
            </w:r>
          </w:p>
        </w:tc>
        <w:tc>
          <w:tcPr>
            <w:tcW w:type="dxa" w:w="2160"/>
          </w:tcPr>
          <w:p>
            <w:r>
              <w:rPr>
                <w:rFonts w:ascii="Calibri" w:hAnsi="Calibri"/>
                <w:sz w:val="20"/>
              </w:rPr>
              <w:t>$2,587.50</w:t>
            </w:r>
          </w:p>
        </w:tc>
      </w:tr>
      <w:tr>
        <w:tc>
          <w:tcPr>
            <w:tcW w:type="dxa" w:w="3168"/>
            <w:shd w:val="clear" w:color="auto" w:fill="EEF2FF"/>
          </w:tcPr>
          <w:p>
            <w:r>
              <w:rPr>
                <w:rFonts w:ascii="Calibri" w:hAnsi="Calibri"/>
                <w:sz w:val="20"/>
              </w:rPr>
              <w:t>Fashion accessories</w:t>
            </w:r>
          </w:p>
        </w:tc>
        <w:tc>
          <w:tcPr>
            <w:tcW w:type="dxa" w:w="2304"/>
            <w:shd w:val="clear" w:color="auto" w:fill="EEF2FF"/>
          </w:tcPr>
          <w:p>
            <w:r>
              <w:rPr>
                <w:rFonts w:ascii="Calibri" w:hAnsi="Calibri"/>
                <w:sz w:val="20"/>
              </w:rPr>
              <w:t>$54,305.90</w:t>
            </w:r>
          </w:p>
        </w:tc>
        <w:tc>
          <w:tcPr>
            <w:tcW w:type="dxa" w:w="1296"/>
            <w:shd w:val="clear" w:color="auto" w:fill="EEF2FF"/>
          </w:tcPr>
          <w:p>
            <w:r>
              <w:rPr>
                <w:rFonts w:ascii="Calibri" w:hAnsi="Calibri"/>
                <w:sz w:val="20"/>
              </w:rPr>
              <w:t>902</w:t>
            </w:r>
          </w:p>
        </w:tc>
        <w:tc>
          <w:tcPr>
            <w:tcW w:type="dxa" w:w="2160"/>
            <w:shd w:val="clear" w:color="auto" w:fill="EEF2FF"/>
          </w:tcPr>
          <w:p>
            <w:r>
              <w:rPr>
                <w:rFonts w:ascii="Calibri" w:hAnsi="Calibri"/>
                <w:sz w:val="20"/>
              </w:rPr>
              <w:t>$57.15</w:t>
            </w:r>
          </w:p>
        </w:tc>
        <w:tc>
          <w:tcPr>
            <w:tcW w:type="dxa" w:w="2160"/>
            <w:shd w:val="clear" w:color="auto" w:fill="EEF2FF"/>
          </w:tcPr>
          <w:p>
            <w:r>
              <w:rPr>
                <w:rFonts w:ascii="Calibri" w:hAnsi="Calibri"/>
                <w:sz w:val="20"/>
              </w:rPr>
              <w:t>$2,586.00</w:t>
            </w:r>
          </w:p>
        </w:tc>
      </w:tr>
      <w:tr>
        <w:tc>
          <w:tcPr>
            <w:tcW w:type="dxa" w:w="3168"/>
          </w:tcPr>
          <w:p>
            <w:r>
              <w:rPr>
                <w:rFonts w:ascii="Calibri" w:hAnsi="Calibri"/>
                <w:sz w:val="20"/>
              </w:rPr>
              <w:t>Home and lifestyle</w:t>
            </w:r>
          </w:p>
        </w:tc>
        <w:tc>
          <w:tcPr>
            <w:tcW w:type="dxa" w:w="2304"/>
          </w:tcPr>
          <w:p>
            <w:r>
              <w:rPr>
                <w:rFonts w:ascii="Calibri" w:hAnsi="Calibri"/>
                <w:sz w:val="20"/>
              </w:rPr>
              <w:t>$53,861.91</w:t>
            </w:r>
          </w:p>
        </w:tc>
        <w:tc>
          <w:tcPr>
            <w:tcW w:type="dxa" w:w="1296"/>
          </w:tcPr>
          <w:p>
            <w:r>
              <w:rPr>
                <w:rFonts w:ascii="Calibri" w:hAnsi="Calibri"/>
                <w:sz w:val="20"/>
              </w:rPr>
              <w:t>911</w:t>
            </w:r>
          </w:p>
        </w:tc>
        <w:tc>
          <w:tcPr>
            <w:tcW w:type="dxa" w:w="2160"/>
          </w:tcPr>
          <w:p>
            <w:r>
              <w:rPr>
                <w:rFonts w:ascii="Calibri" w:hAnsi="Calibri"/>
                <w:sz w:val="20"/>
              </w:rPr>
              <w:t>$55.32</w:t>
            </w:r>
          </w:p>
        </w:tc>
        <w:tc>
          <w:tcPr>
            <w:tcW w:type="dxa" w:w="2160"/>
          </w:tcPr>
          <w:p>
            <w:r>
              <w:rPr>
                <w:rFonts w:ascii="Calibri" w:hAnsi="Calibri"/>
                <w:sz w:val="20"/>
              </w:rPr>
              <w:t>$2,564.85</w:t>
            </w:r>
          </w:p>
        </w:tc>
      </w:tr>
      <w:tr>
        <w:tc>
          <w:tcPr>
            <w:tcW w:type="dxa" w:w="3168"/>
            <w:shd w:val="clear" w:color="auto" w:fill="EEF2FF"/>
          </w:tcPr>
          <w:p>
            <w:r>
              <w:rPr>
                <w:rFonts w:ascii="Calibri" w:hAnsi="Calibri"/>
                <w:sz w:val="20"/>
              </w:rPr>
              <w:t>Health and beauty</w:t>
            </w:r>
          </w:p>
        </w:tc>
        <w:tc>
          <w:tcPr>
            <w:tcW w:type="dxa" w:w="2304"/>
            <w:shd w:val="clear" w:color="auto" w:fill="EEF2FF"/>
          </w:tcPr>
          <w:p>
            <w:r>
              <w:rPr>
                <w:rFonts w:ascii="Calibri" w:hAnsi="Calibri"/>
                <w:sz w:val="20"/>
              </w:rPr>
              <w:t>$49,193.74</w:t>
            </w:r>
          </w:p>
        </w:tc>
        <w:tc>
          <w:tcPr>
            <w:tcW w:type="dxa" w:w="1296"/>
            <w:shd w:val="clear" w:color="auto" w:fill="EEF2FF"/>
          </w:tcPr>
          <w:p>
            <w:r>
              <w:rPr>
                <w:rFonts w:ascii="Calibri" w:hAnsi="Calibri"/>
                <w:sz w:val="20"/>
              </w:rPr>
              <w:t>854</w:t>
            </w:r>
          </w:p>
        </w:tc>
        <w:tc>
          <w:tcPr>
            <w:tcW w:type="dxa" w:w="2160"/>
            <w:shd w:val="clear" w:color="auto" w:fill="EEF2FF"/>
          </w:tcPr>
          <w:p>
            <w:r>
              <w:rPr>
                <w:rFonts w:ascii="Calibri" w:hAnsi="Calibri"/>
                <w:sz w:val="20"/>
              </w:rPr>
              <w:t>$54.85</w:t>
            </w:r>
          </w:p>
        </w:tc>
        <w:tc>
          <w:tcPr>
            <w:tcW w:type="dxa" w:w="2160"/>
            <w:shd w:val="clear" w:color="auto" w:fill="EEF2FF"/>
          </w:tcPr>
          <w:p>
            <w:r>
              <w:rPr>
                <w:rFonts w:ascii="Calibri" w:hAnsi="Calibri"/>
                <w:sz w:val="20"/>
              </w:rPr>
              <w:t>$2,342.56</w:t>
            </w:r>
          </w:p>
        </w:tc>
      </w:tr>
    </w:tbl>
    <w:p/>
    <w:p>
      <w:pPr>
        <w:spacing w:after="160"/>
        <w:jc w:val="center"/>
      </w:pPr>
      <w:r>
        <w:rPr>
          <w:rFonts w:ascii="Calibri" w:hAnsi="Calibri"/>
          <w:i/>
          <w:color w:val="555555"/>
          <w:sz w:val="18"/>
        </w:rPr>
        <w:t>Table 14.1: Product Line Performance Summary</w:t>
      </w:r>
    </w:p>
    <w:p>
      <w:pPr>
        <w:pStyle w:val="Heading2"/>
        <w:spacing w:before="240" w:after="80"/>
      </w:pPr>
      <w:r>
        <w:rPr>
          <w:color w:val="2C3E7A"/>
        </w:rPr>
        <w:t>14.2 Pareto Analysis</w:t>
      </w:r>
    </w:p>
    <w:p>
      <w:pPr>
        <w:spacing w:after="120" w:line="360" w:lineRule="auto"/>
      </w:pPr>
      <w:r>
        <w:rPr>
          <w:rFonts w:ascii="Calibri" w:hAnsi="Calibri"/>
          <w:b w:val="0"/>
          <w:i w:val="0"/>
          <w:sz w:val="22"/>
        </w:rPr>
        <w:t>The dashboard includes a Pareto chart (pareto_chart() function) for product lines by both Sales and Gross Income. In Pareto analysis, the top 20% of categories typically account for 80% of the outcome. The chart overlays cumulative percentage (orange line) on top of individual bars to visually identify the critical product lines. The sales contribution chart further shows each product line's percentage contribution to total sales.</w:t>
      </w:r>
    </w:p>
    <w:p>
      <w:pPr>
        <w:pStyle w:val="Heading2"/>
        <w:spacing w:before="240" w:after="80"/>
      </w:pPr>
      <w:r>
        <w:rPr>
          <w:color w:val="2C3E7A"/>
        </w:rPr>
        <w:t>14.3 Top and Bottom Performers</w:t>
      </w:r>
    </w:p>
    <w:p>
      <w:pPr>
        <w:spacing w:after="120" w:line="360" w:lineRule="auto"/>
      </w:pPr>
      <w:r>
        <w:rPr>
          <w:rFonts w:ascii="Calibri" w:hAnsi="Calibri"/>
          <w:b w:val="0"/>
          <w:i w:val="0"/>
          <w:sz w:val="22"/>
        </w:rPr>
        <w:t>Top performing product line by sales: Food and Beverages ($56,144.84).</w:t>
        <w:br/>
        <w:t>Lowest performing product line by sales: Health and Beauty ($49,193.74).</w:t>
        <w:br/>
        <w:t>Highest quantity sold: Electronic Accessories (971 units).</w:t>
        <w:br/>
        <w:t>Highest gross income: Food and Beverages ($2,673.56).</w:t>
      </w:r>
    </w:p>
    <w:p>
      <w:r>
        <w:br w:type="page"/>
      </w:r>
    </w:p>
    <w:p>
      <w:pPr>
        <w:pStyle w:val="Heading1"/>
        <w:spacing w:before="360" w:after="120"/>
      </w:pPr>
      <w:r>
        <w:rPr>
          <w:color w:val="1A1A6E"/>
        </w:rPr>
        <w:t>15. Customer Analytics</w:t>
      </w:r>
    </w:p>
    <w:p>
      <w:pPr>
        <w:pStyle w:val="Heading2"/>
        <w:spacing w:before="240" w:after="80"/>
      </w:pPr>
      <w:r>
        <w:rPr>
          <w:color w:val="2C3E7A"/>
        </w:rPr>
        <w:t>15.1 Customer Type Analysis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2592"/>
            <w:shd w:val="clear" w:color="auto" w:fill="1A1A6E"/>
            <w:vAlign w:val="center"/>
          </w:tcPr>
          <w:p>
            <w:pPr>
              <w:jc w:val="center"/>
            </w:pPr>
            <w:r>
              <w:rPr>
                <w:b/>
                <w:color w:val="FFFFFF"/>
                <w:sz w:val="20"/>
              </w:rPr>
              <w:t>Customer Type</w:t>
            </w:r>
          </w:p>
        </w:tc>
        <w:tc>
          <w:tcPr>
            <w:tcW w:type="dxa" w:w="2592"/>
            <w:shd w:val="clear" w:color="auto" w:fill="1A1A6E"/>
            <w:vAlign w:val="center"/>
          </w:tcPr>
          <w:p>
            <w:pPr>
              <w:jc w:val="center"/>
            </w:pPr>
            <w:r>
              <w:rPr>
                <w:b/>
                <w:color w:val="FFFFFF"/>
                <w:sz w:val="20"/>
              </w:rPr>
              <w:t>Total Sales ($)</w:t>
            </w:r>
          </w:p>
        </w:tc>
        <w:tc>
          <w:tcPr>
            <w:tcW w:type="dxa" w:w="2016"/>
            <w:shd w:val="clear" w:color="auto" w:fill="1A1A6E"/>
            <w:vAlign w:val="center"/>
          </w:tcPr>
          <w:p>
            <w:pPr>
              <w:jc w:val="center"/>
            </w:pPr>
            <w:r>
              <w:rPr>
                <w:b/>
                <w:color w:val="FFFFFF"/>
                <w:sz w:val="20"/>
              </w:rPr>
              <w:t>Transactions</w:t>
            </w:r>
          </w:p>
        </w:tc>
        <w:tc>
          <w:tcPr>
            <w:tcW w:type="dxa" w:w="2448"/>
            <w:shd w:val="clear" w:color="auto" w:fill="1A1A6E"/>
            <w:vAlign w:val="center"/>
          </w:tcPr>
          <w:p>
            <w:pPr>
              <w:jc w:val="center"/>
            </w:pPr>
            <w:r>
              <w:rPr>
                <w:b/>
                <w:color w:val="FFFFFF"/>
                <w:sz w:val="20"/>
              </w:rPr>
              <w:t>Avg Transaction ($)</w:t>
            </w:r>
          </w:p>
        </w:tc>
        <w:tc>
          <w:tcPr>
            <w:tcW w:type="dxa" w:w="1440"/>
            <w:shd w:val="clear" w:color="auto" w:fill="1A1A6E"/>
            <w:vAlign w:val="center"/>
          </w:tcPr>
          <w:p>
            <w:pPr>
              <w:jc w:val="center"/>
            </w:pPr>
            <w:r>
              <w:rPr>
                <w:b/>
                <w:color w:val="FFFFFF"/>
                <w:sz w:val="20"/>
              </w:rPr>
              <w:t>Total Qty</w:t>
            </w:r>
          </w:p>
        </w:tc>
      </w:tr>
      <w:tr>
        <w:tc>
          <w:tcPr>
            <w:tcW w:type="dxa" w:w="2592"/>
          </w:tcPr>
          <w:p>
            <w:r>
              <w:rPr>
                <w:rFonts w:ascii="Calibri" w:hAnsi="Calibri"/>
                <w:sz w:val="20"/>
              </w:rPr>
              <w:t>Member</w:t>
            </w:r>
          </w:p>
        </w:tc>
        <w:tc>
          <w:tcPr>
            <w:tcW w:type="dxa" w:w="2592"/>
          </w:tcPr>
          <w:p>
            <w:r>
              <w:rPr>
                <w:rFonts w:ascii="Calibri" w:hAnsi="Calibri"/>
                <w:sz w:val="20"/>
              </w:rPr>
              <w:t>$189,694.76</w:t>
            </w:r>
          </w:p>
        </w:tc>
        <w:tc>
          <w:tcPr>
            <w:tcW w:type="dxa" w:w="2016"/>
          </w:tcPr>
          <w:p>
            <w:r>
              <w:rPr>
                <w:rFonts w:ascii="Calibri" w:hAnsi="Calibri"/>
                <w:sz w:val="20"/>
              </w:rPr>
              <w:t>565</w:t>
            </w:r>
          </w:p>
        </w:tc>
        <w:tc>
          <w:tcPr>
            <w:tcW w:type="dxa" w:w="2448"/>
          </w:tcPr>
          <w:p>
            <w:r>
              <w:rPr>
                <w:rFonts w:ascii="Calibri" w:hAnsi="Calibri"/>
                <w:sz w:val="20"/>
              </w:rPr>
              <w:t>$335.74</w:t>
            </w:r>
          </w:p>
        </w:tc>
        <w:tc>
          <w:tcPr>
            <w:tcW w:type="dxa" w:w="1440"/>
          </w:tcPr>
          <w:p>
            <w:r>
              <w:rPr>
                <w:rFonts w:ascii="Calibri" w:hAnsi="Calibri"/>
                <w:sz w:val="20"/>
              </w:rPr>
              <w:t>3,181</w:t>
            </w:r>
          </w:p>
        </w:tc>
      </w:tr>
      <w:tr>
        <w:tc>
          <w:tcPr>
            <w:tcW w:type="dxa" w:w="2592"/>
            <w:shd w:val="clear" w:color="auto" w:fill="EEF2FF"/>
          </w:tcPr>
          <w:p>
            <w:r>
              <w:rPr>
                <w:rFonts w:ascii="Calibri" w:hAnsi="Calibri"/>
                <w:sz w:val="20"/>
              </w:rPr>
              <w:t>Normal</w:t>
            </w:r>
          </w:p>
        </w:tc>
        <w:tc>
          <w:tcPr>
            <w:tcW w:type="dxa" w:w="2592"/>
            <w:shd w:val="clear" w:color="auto" w:fill="EEF2FF"/>
          </w:tcPr>
          <w:p>
            <w:r>
              <w:rPr>
                <w:rFonts w:ascii="Calibri" w:hAnsi="Calibri"/>
                <w:sz w:val="20"/>
              </w:rPr>
              <w:t>$133,271.98</w:t>
            </w:r>
          </w:p>
        </w:tc>
        <w:tc>
          <w:tcPr>
            <w:tcW w:type="dxa" w:w="2016"/>
            <w:shd w:val="clear" w:color="auto" w:fill="EEF2FF"/>
          </w:tcPr>
          <w:p>
            <w:r>
              <w:rPr>
                <w:rFonts w:ascii="Calibri" w:hAnsi="Calibri"/>
                <w:sz w:val="20"/>
              </w:rPr>
              <w:t>435</w:t>
            </w:r>
          </w:p>
        </w:tc>
        <w:tc>
          <w:tcPr>
            <w:tcW w:type="dxa" w:w="2448"/>
            <w:shd w:val="clear" w:color="auto" w:fill="EEF2FF"/>
          </w:tcPr>
          <w:p>
            <w:r>
              <w:rPr>
                <w:rFonts w:ascii="Calibri" w:hAnsi="Calibri"/>
                <w:sz w:val="20"/>
              </w:rPr>
              <w:t>$306.37</w:t>
            </w:r>
          </w:p>
        </w:tc>
        <w:tc>
          <w:tcPr>
            <w:tcW w:type="dxa" w:w="1440"/>
            <w:shd w:val="clear" w:color="auto" w:fill="EEF2FF"/>
          </w:tcPr>
          <w:p>
            <w:r>
              <w:rPr>
                <w:rFonts w:ascii="Calibri" w:hAnsi="Calibri"/>
                <w:sz w:val="20"/>
              </w:rPr>
              <w:t>2,329</w:t>
            </w:r>
          </w:p>
        </w:tc>
      </w:tr>
    </w:tbl>
    <w:p/>
    <w:p>
      <w:pPr>
        <w:spacing w:after="160"/>
        <w:jc w:val="center"/>
      </w:pPr>
      <w:r>
        <w:rPr>
          <w:rFonts w:ascii="Calibri" w:hAnsi="Calibri"/>
          <w:i/>
          <w:color w:val="555555"/>
          <w:sz w:val="18"/>
        </w:rPr>
        <w:t>Table 15.1: Customer Type Analysis</w:t>
      </w:r>
    </w:p>
    <w:p>
      <w:pPr>
        <w:spacing w:after="120" w:line="360" w:lineRule="auto"/>
      </w:pPr>
      <w:r>
        <w:rPr>
          <w:rFonts w:ascii="Calibri" w:hAnsi="Calibri"/>
          <w:b w:val="0"/>
          <w:i w:val="0"/>
          <w:sz w:val="22"/>
        </w:rPr>
        <w:t>Member customers account for $189,694.76 (60-40 split) in total sales. Member customers have an average transaction value of $335.74, while Normal customers average $306.37 per transaction.</w:t>
      </w:r>
    </w:p>
    <w:p>
      <w:pPr>
        <w:pStyle w:val="Heading2"/>
        <w:spacing w:before="240" w:after="80"/>
      </w:pPr>
      <w:r>
        <w:rPr>
          <w:color w:val="2C3E7A"/>
        </w:rPr>
        <w:t>15.2 Gender Analysis</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2160"/>
            <w:shd w:val="clear" w:color="auto" w:fill="1A1A6E"/>
            <w:vAlign w:val="center"/>
          </w:tcPr>
          <w:p>
            <w:pPr>
              <w:jc w:val="center"/>
            </w:pPr>
            <w:r>
              <w:rPr>
                <w:b/>
                <w:color w:val="FFFFFF"/>
                <w:sz w:val="20"/>
              </w:rPr>
              <w:t>Gender</w:t>
            </w:r>
          </w:p>
        </w:tc>
        <w:tc>
          <w:tcPr>
            <w:tcW w:type="dxa" w:w="2592"/>
            <w:shd w:val="clear" w:color="auto" w:fill="1A1A6E"/>
            <w:vAlign w:val="center"/>
          </w:tcPr>
          <w:p>
            <w:pPr>
              <w:jc w:val="center"/>
            </w:pPr>
            <w:r>
              <w:rPr>
                <w:b/>
                <w:color w:val="FFFFFF"/>
                <w:sz w:val="20"/>
              </w:rPr>
              <w:t>Total Sales ($)</w:t>
            </w:r>
          </w:p>
        </w:tc>
        <w:tc>
          <w:tcPr>
            <w:tcW w:type="dxa" w:w="2016"/>
            <w:shd w:val="clear" w:color="auto" w:fill="1A1A6E"/>
            <w:vAlign w:val="center"/>
          </w:tcPr>
          <w:p>
            <w:pPr>
              <w:jc w:val="center"/>
            </w:pPr>
            <w:r>
              <w:rPr>
                <w:b/>
                <w:color w:val="FFFFFF"/>
                <w:sz w:val="20"/>
              </w:rPr>
              <w:t>Transactions</w:t>
            </w:r>
          </w:p>
        </w:tc>
        <w:tc>
          <w:tcPr>
            <w:tcW w:type="dxa" w:w="2448"/>
            <w:shd w:val="clear" w:color="auto" w:fill="1A1A6E"/>
            <w:vAlign w:val="center"/>
          </w:tcPr>
          <w:p>
            <w:pPr>
              <w:jc w:val="center"/>
            </w:pPr>
            <w:r>
              <w:rPr>
                <w:b/>
                <w:color w:val="FFFFFF"/>
                <w:sz w:val="20"/>
              </w:rPr>
              <w:t>Avg Transaction ($)</w:t>
            </w:r>
          </w:p>
        </w:tc>
        <w:tc>
          <w:tcPr>
            <w:tcW w:type="dxa" w:w="2160"/>
            <w:shd w:val="clear" w:color="auto" w:fill="1A1A6E"/>
            <w:vAlign w:val="center"/>
          </w:tcPr>
          <w:p>
            <w:pPr>
              <w:jc w:val="center"/>
            </w:pPr>
            <w:r>
              <w:rPr>
                <w:b/>
                <w:color w:val="FFFFFF"/>
                <w:sz w:val="20"/>
              </w:rPr>
              <w:t>% of Total Sales</w:t>
            </w:r>
          </w:p>
        </w:tc>
      </w:tr>
      <w:tr>
        <w:tc>
          <w:tcPr>
            <w:tcW w:type="dxa" w:w="2160"/>
          </w:tcPr>
          <w:p>
            <w:r>
              <w:rPr>
                <w:rFonts w:ascii="Calibri" w:hAnsi="Calibri"/>
                <w:sz w:val="20"/>
              </w:rPr>
              <w:t>Female</w:t>
            </w:r>
          </w:p>
        </w:tc>
        <w:tc>
          <w:tcPr>
            <w:tcW w:type="dxa" w:w="2592"/>
          </w:tcPr>
          <w:p>
            <w:r>
              <w:rPr>
                <w:rFonts w:ascii="Calibri" w:hAnsi="Calibri"/>
                <w:sz w:val="20"/>
              </w:rPr>
              <w:t>$194,671.84</w:t>
            </w:r>
          </w:p>
        </w:tc>
        <w:tc>
          <w:tcPr>
            <w:tcW w:type="dxa" w:w="2016"/>
          </w:tcPr>
          <w:p>
            <w:r>
              <w:rPr>
                <w:rFonts w:ascii="Calibri" w:hAnsi="Calibri"/>
                <w:sz w:val="20"/>
              </w:rPr>
              <w:t>571</w:t>
            </w:r>
          </w:p>
        </w:tc>
        <w:tc>
          <w:tcPr>
            <w:tcW w:type="dxa" w:w="2448"/>
          </w:tcPr>
          <w:p>
            <w:r>
              <w:rPr>
                <w:rFonts w:ascii="Calibri" w:hAnsi="Calibri"/>
                <w:sz w:val="20"/>
              </w:rPr>
              <w:t>$340.93</w:t>
            </w:r>
          </w:p>
        </w:tc>
        <w:tc>
          <w:tcPr>
            <w:tcW w:type="dxa" w:w="2160"/>
          </w:tcPr>
          <w:p>
            <w:r>
              <w:rPr>
                <w:rFonts w:ascii="Calibri" w:hAnsi="Calibri"/>
                <w:sz w:val="20"/>
              </w:rPr>
              <w:t>60.3%</w:t>
            </w:r>
          </w:p>
        </w:tc>
      </w:tr>
      <w:tr>
        <w:tc>
          <w:tcPr>
            <w:tcW w:type="dxa" w:w="2160"/>
            <w:shd w:val="clear" w:color="auto" w:fill="EEF2FF"/>
          </w:tcPr>
          <w:p>
            <w:r>
              <w:rPr>
                <w:rFonts w:ascii="Calibri" w:hAnsi="Calibri"/>
                <w:sz w:val="20"/>
              </w:rPr>
              <w:t>Male</w:t>
            </w:r>
          </w:p>
        </w:tc>
        <w:tc>
          <w:tcPr>
            <w:tcW w:type="dxa" w:w="2592"/>
            <w:shd w:val="clear" w:color="auto" w:fill="EEF2FF"/>
          </w:tcPr>
          <w:p>
            <w:r>
              <w:rPr>
                <w:rFonts w:ascii="Calibri" w:hAnsi="Calibri"/>
                <w:sz w:val="20"/>
              </w:rPr>
              <w:t>$128,294.91</w:t>
            </w:r>
          </w:p>
        </w:tc>
        <w:tc>
          <w:tcPr>
            <w:tcW w:type="dxa" w:w="2016"/>
            <w:shd w:val="clear" w:color="auto" w:fill="EEF2FF"/>
          </w:tcPr>
          <w:p>
            <w:r>
              <w:rPr>
                <w:rFonts w:ascii="Calibri" w:hAnsi="Calibri"/>
                <w:sz w:val="20"/>
              </w:rPr>
              <w:t>429</w:t>
            </w:r>
          </w:p>
        </w:tc>
        <w:tc>
          <w:tcPr>
            <w:tcW w:type="dxa" w:w="2448"/>
            <w:shd w:val="clear" w:color="auto" w:fill="EEF2FF"/>
          </w:tcPr>
          <w:p>
            <w:r>
              <w:rPr>
                <w:rFonts w:ascii="Calibri" w:hAnsi="Calibri"/>
                <w:sz w:val="20"/>
              </w:rPr>
              <w:t>$299.06</w:t>
            </w:r>
          </w:p>
        </w:tc>
        <w:tc>
          <w:tcPr>
            <w:tcW w:type="dxa" w:w="2160"/>
            <w:shd w:val="clear" w:color="auto" w:fill="EEF2FF"/>
          </w:tcPr>
          <w:p>
            <w:r>
              <w:rPr>
                <w:rFonts w:ascii="Calibri" w:hAnsi="Calibri"/>
                <w:sz w:val="20"/>
              </w:rPr>
              <w:t>39.7%</w:t>
            </w:r>
          </w:p>
        </w:tc>
      </w:tr>
    </w:tbl>
    <w:p/>
    <w:p>
      <w:pPr>
        <w:spacing w:after="160"/>
        <w:jc w:val="center"/>
      </w:pPr>
      <w:r>
        <w:rPr>
          <w:rFonts w:ascii="Calibri" w:hAnsi="Calibri"/>
          <w:i/>
          <w:color w:val="555555"/>
          <w:sz w:val="18"/>
        </w:rPr>
        <w:t>Table 15.2: Gender-Based Sales Analysis</w:t>
      </w:r>
    </w:p>
    <w:p>
      <w:pPr>
        <w:pStyle w:val="Heading2"/>
        <w:spacing w:before="240" w:after="80"/>
      </w:pPr>
      <w:r>
        <w:rPr>
          <w:color w:val="2C3E7A"/>
        </w:rPr>
        <w:t>15.3 Sales by Gender and Product Line</w:t>
      </w:r>
    </w:p>
    <w:p>
      <w:pPr>
        <w:spacing w:after="120" w:line="360" w:lineRule="auto"/>
      </w:pPr>
      <w:r>
        <w:rPr>
          <w:rFonts w:ascii="Calibri" w:hAnsi="Calibri"/>
          <w:b w:val="0"/>
          <w:i w:val="0"/>
          <w:sz w:val="22"/>
        </w:rPr>
        <w:t>The Customer Analytics tab includes a grouped bar chart showing Sales by Gender and Product Line. This chart reveals which product lines attract more Female or Male customers and can guide gender-targeted marketing campaigns.</w:t>
      </w:r>
    </w:p>
    <w:p>
      <w:pPr>
        <w:pStyle w:val="Heading2"/>
        <w:spacing w:before="240" w:after="80"/>
      </w:pPr>
      <w:r>
        <w:rPr>
          <w:color w:val="2C3E7A"/>
        </w:rPr>
        <w:t>15.4 Rating by Customer Type</w:t>
      </w:r>
    </w:p>
    <w:p>
      <w:pPr>
        <w:spacing w:after="120" w:line="360" w:lineRule="auto"/>
      </w:pPr>
      <w:r>
        <w:rPr>
          <w:rFonts w:ascii="Calibri" w:hAnsi="Calibri"/>
          <w:b w:val="0"/>
          <w:i w:val="0"/>
          <w:sz w:val="22"/>
        </w:rPr>
        <w:t>Average rating by customer type: Member customers: 6.92/10, Normal customers: 7.04/10.</w:t>
      </w:r>
    </w:p>
    <w:p>
      <w:r>
        <w:br w:type="page"/>
      </w:r>
    </w:p>
    <w:p>
      <w:pPr>
        <w:pStyle w:val="Heading1"/>
        <w:spacing w:before="360" w:after="120"/>
      </w:pPr>
      <w:r>
        <w:rPr>
          <w:color w:val="1A1A6E"/>
        </w:rPr>
        <w:t>16. Gross Income / Financial Analysis</w:t>
      </w:r>
    </w:p>
    <w:p>
      <w:pPr>
        <w:spacing w:after="120" w:line="360" w:lineRule="auto"/>
      </w:pPr>
      <w:r>
        <w:rPr>
          <w:rFonts w:ascii="Calibri" w:hAnsi="Calibri"/>
          <w:b w:val="0"/>
          <w:i w:val="0"/>
          <w:sz w:val="22"/>
        </w:rPr>
        <w:t>The Gross Income Analysis tab (Tab 5: 'Profit Analysis' in the dashboard) examines the financial performance metrics using COGS, gross income, and gross margin percentage. Important note on terminology: In this dataset, 'gross income' equals the 5% tax collected on each transaction (gross income = Tax 5%). It is not equivalent to net profit. The term 'gross income' is used as provided in the original dataset.</w:t>
      </w:r>
    </w:p>
    <w:p>
      <w:pPr>
        <w:pStyle w:val="Heading2"/>
        <w:spacing w:before="240" w:after="80"/>
      </w:pPr>
      <w:r>
        <w:rPr>
          <w:color w:val="2C3E7A"/>
        </w:rPr>
        <w:t>16.1 Financial Summary</w:t>
      </w:r>
    </w:p>
    <w:tbl>
      <w:tblPr>
        <w:tblStyle w:val="TableGrid"/>
        <w:tblW w:type="auto" w:w="0"/>
        <w:jc w:val="center"/>
        <w:tblLook w:firstColumn="1" w:firstRow="1" w:lastColumn="0" w:lastRow="0" w:noHBand="0" w:noVBand="1" w:val="04A0"/>
      </w:tblPr>
      <w:tblGrid>
        <w:gridCol w:w="2769"/>
        <w:gridCol w:w="2769"/>
        <w:gridCol w:w="2769"/>
      </w:tblGrid>
      <w:tr>
        <w:tc>
          <w:tcPr>
            <w:tcW w:type="dxa" w:w="3600"/>
            <w:shd w:val="clear" w:color="auto" w:fill="1A1A6E"/>
            <w:vAlign w:val="center"/>
          </w:tcPr>
          <w:p>
            <w:pPr>
              <w:jc w:val="center"/>
            </w:pPr>
            <w:r>
              <w:rPr>
                <w:b/>
                <w:color w:val="FFFFFF"/>
                <w:sz w:val="20"/>
              </w:rPr>
              <w:t>Financial Metric</w:t>
            </w:r>
          </w:p>
        </w:tc>
        <w:tc>
          <w:tcPr>
            <w:tcW w:type="dxa" w:w="2880"/>
            <w:shd w:val="clear" w:color="auto" w:fill="1A1A6E"/>
            <w:vAlign w:val="center"/>
          </w:tcPr>
          <w:p>
            <w:pPr>
              <w:jc w:val="center"/>
            </w:pPr>
            <w:r>
              <w:rPr>
                <w:b/>
                <w:color w:val="FFFFFF"/>
                <w:sz w:val="20"/>
              </w:rPr>
              <w:t>Value</w:t>
            </w:r>
          </w:p>
        </w:tc>
        <w:tc>
          <w:tcPr>
            <w:tcW w:type="dxa" w:w="3600"/>
            <w:shd w:val="clear" w:color="auto" w:fill="1A1A6E"/>
            <w:vAlign w:val="center"/>
          </w:tcPr>
          <w:p>
            <w:pPr>
              <w:jc w:val="center"/>
            </w:pPr>
            <w:r>
              <w:rPr>
                <w:b/>
                <w:color w:val="FFFFFF"/>
                <w:sz w:val="20"/>
              </w:rPr>
              <w:t>Notes</w:t>
            </w:r>
          </w:p>
        </w:tc>
      </w:tr>
      <w:tr>
        <w:tc>
          <w:tcPr>
            <w:tcW w:type="dxa" w:w="3600"/>
          </w:tcPr>
          <w:p>
            <w:r>
              <w:rPr>
                <w:rFonts w:ascii="Calibri" w:hAnsi="Calibri"/>
                <w:sz w:val="20"/>
              </w:rPr>
              <w:t>Total Sales (Revenue)</w:t>
            </w:r>
          </w:p>
        </w:tc>
        <w:tc>
          <w:tcPr>
            <w:tcW w:type="dxa" w:w="2880"/>
          </w:tcPr>
          <w:p>
            <w:r>
              <w:rPr>
                <w:rFonts w:ascii="Calibri" w:hAnsi="Calibri"/>
                <w:sz w:val="20"/>
              </w:rPr>
              <w:t>$322,966.75</w:t>
            </w:r>
          </w:p>
        </w:tc>
        <w:tc>
          <w:tcPr>
            <w:tcW w:type="dxa" w:w="3600"/>
          </w:tcPr>
          <w:p>
            <w:r>
              <w:rPr>
                <w:rFonts w:ascii="Calibri" w:hAnsi="Calibri"/>
                <w:sz w:val="20"/>
              </w:rPr>
              <w:t>Includes 5% tax; Sales = COGS + Gross Income</w:t>
            </w:r>
          </w:p>
        </w:tc>
      </w:tr>
      <w:tr>
        <w:tc>
          <w:tcPr>
            <w:tcW w:type="dxa" w:w="3600"/>
            <w:shd w:val="clear" w:color="auto" w:fill="EEF2FF"/>
          </w:tcPr>
          <w:p>
            <w:r>
              <w:rPr>
                <w:rFonts w:ascii="Calibri" w:hAnsi="Calibri"/>
                <w:sz w:val="20"/>
              </w:rPr>
              <w:t>Total COGS</w:t>
            </w:r>
          </w:p>
        </w:tc>
        <w:tc>
          <w:tcPr>
            <w:tcW w:type="dxa" w:w="2880"/>
            <w:shd w:val="clear" w:color="auto" w:fill="EEF2FF"/>
          </w:tcPr>
          <w:p>
            <w:r>
              <w:rPr>
                <w:rFonts w:ascii="Calibri" w:hAnsi="Calibri"/>
                <w:sz w:val="20"/>
              </w:rPr>
              <w:t>$307,587.38</w:t>
            </w:r>
          </w:p>
        </w:tc>
        <w:tc>
          <w:tcPr>
            <w:tcW w:type="dxa" w:w="3600"/>
            <w:shd w:val="clear" w:color="auto" w:fill="EEF2FF"/>
          </w:tcPr>
          <w:p>
            <w:r>
              <w:rPr>
                <w:rFonts w:ascii="Calibri" w:hAnsi="Calibri"/>
                <w:sz w:val="20"/>
              </w:rPr>
              <w:t>Cost of Goods Sold = Sales - Gross Income</w:t>
            </w:r>
          </w:p>
        </w:tc>
      </w:tr>
      <w:tr>
        <w:tc>
          <w:tcPr>
            <w:tcW w:type="dxa" w:w="3600"/>
          </w:tcPr>
          <w:p>
            <w:r>
              <w:rPr>
                <w:rFonts w:ascii="Calibri" w:hAnsi="Calibri"/>
                <w:sz w:val="20"/>
              </w:rPr>
              <w:t>Total Gross Income</w:t>
            </w:r>
          </w:p>
        </w:tc>
        <w:tc>
          <w:tcPr>
            <w:tcW w:type="dxa" w:w="2880"/>
          </w:tcPr>
          <w:p>
            <w:r>
              <w:rPr>
                <w:rFonts w:ascii="Calibri" w:hAnsi="Calibri"/>
                <w:sz w:val="20"/>
              </w:rPr>
              <w:t>$15,379.37</w:t>
            </w:r>
          </w:p>
        </w:tc>
        <w:tc>
          <w:tcPr>
            <w:tcW w:type="dxa" w:w="3600"/>
          </w:tcPr>
          <w:p>
            <w:r>
              <w:rPr>
                <w:rFonts w:ascii="Calibri" w:hAnsi="Calibri"/>
                <w:sz w:val="20"/>
              </w:rPr>
              <w:t>= Tax 5% amount; 4.76% of Sales</w:t>
            </w:r>
          </w:p>
        </w:tc>
      </w:tr>
      <w:tr>
        <w:tc>
          <w:tcPr>
            <w:tcW w:type="dxa" w:w="3600"/>
            <w:shd w:val="clear" w:color="auto" w:fill="EEF2FF"/>
          </w:tcPr>
          <w:p>
            <w:r>
              <w:rPr>
                <w:rFonts w:ascii="Calibri" w:hAnsi="Calibri"/>
                <w:sz w:val="20"/>
              </w:rPr>
              <w:t>Avg Gross Income / Txn</w:t>
            </w:r>
          </w:p>
        </w:tc>
        <w:tc>
          <w:tcPr>
            <w:tcW w:type="dxa" w:w="2880"/>
            <w:shd w:val="clear" w:color="auto" w:fill="EEF2FF"/>
          </w:tcPr>
          <w:p>
            <w:r>
              <w:rPr>
                <w:rFonts w:ascii="Calibri" w:hAnsi="Calibri"/>
                <w:sz w:val="20"/>
              </w:rPr>
              <w:t>$15.38</w:t>
            </w:r>
          </w:p>
        </w:tc>
        <w:tc>
          <w:tcPr>
            <w:tcW w:type="dxa" w:w="3600"/>
            <w:shd w:val="clear" w:color="auto" w:fill="EEF2FF"/>
          </w:tcPr>
          <w:p>
            <w:r>
              <w:rPr>
                <w:rFonts w:ascii="Calibri" w:hAnsi="Calibri"/>
                <w:sz w:val="20"/>
              </w:rPr>
              <w:t>Average per transaction</w:t>
            </w:r>
          </w:p>
        </w:tc>
      </w:tr>
      <w:tr>
        <w:tc>
          <w:tcPr>
            <w:tcW w:type="dxa" w:w="3600"/>
          </w:tcPr>
          <w:p>
            <w:r>
              <w:rPr>
                <w:rFonts w:ascii="Calibri" w:hAnsi="Calibri"/>
                <w:sz w:val="20"/>
              </w:rPr>
              <w:t>Gross Margin %</w:t>
            </w:r>
          </w:p>
        </w:tc>
        <w:tc>
          <w:tcPr>
            <w:tcW w:type="dxa" w:w="2880"/>
          </w:tcPr>
          <w:p>
            <w:r>
              <w:rPr>
                <w:rFonts w:ascii="Calibri" w:hAnsi="Calibri"/>
                <w:sz w:val="20"/>
              </w:rPr>
              <w:t>4.7619%</w:t>
            </w:r>
          </w:p>
        </w:tc>
        <w:tc>
          <w:tcPr>
            <w:tcW w:type="dxa" w:w="3600"/>
          </w:tcPr>
          <w:p>
            <w:r>
              <w:rPr>
                <w:rFonts w:ascii="Calibri" w:hAnsi="Calibri"/>
                <w:sz w:val="20"/>
              </w:rPr>
              <w:t>Fixed at ~4.76% for all transactions</w:t>
            </w:r>
          </w:p>
        </w:tc>
      </w:tr>
    </w:tbl>
    <w:p/>
    <w:p>
      <w:pPr>
        <w:spacing w:after="160"/>
        <w:jc w:val="center"/>
      </w:pPr>
      <w:r>
        <w:rPr>
          <w:rFonts w:ascii="Calibri" w:hAnsi="Calibri"/>
          <w:i/>
          <w:color w:val="555555"/>
          <w:sz w:val="18"/>
        </w:rPr>
        <w:t>Table 16.1: Financial Analysis Summary</w:t>
      </w:r>
    </w:p>
    <w:p>
      <w:pPr>
        <w:pStyle w:val="Heading2"/>
        <w:spacing w:before="240" w:after="80"/>
      </w:pPr>
      <w:r>
        <w:rPr>
          <w:color w:val="2C3E7A"/>
        </w:rPr>
        <w:t>16.2 Gross Income by Product Line</w:t>
      </w:r>
    </w:p>
    <w:tbl>
      <w:tblPr>
        <w:tblStyle w:val="TableGrid"/>
        <w:tblW w:type="auto" w:w="0"/>
        <w:jc w:val="center"/>
        <w:tblLook w:firstColumn="1" w:firstRow="1" w:lastColumn="0" w:lastRow="0" w:noHBand="0" w:noVBand="1" w:val="04A0"/>
      </w:tblPr>
      <w:tblGrid>
        <w:gridCol w:w="2769"/>
        <w:gridCol w:w="2769"/>
        <w:gridCol w:w="2769"/>
      </w:tblGrid>
      <w:tr>
        <w:tc>
          <w:tcPr>
            <w:tcW w:type="dxa" w:w="4320"/>
            <w:shd w:val="clear" w:color="auto" w:fill="1A1A6E"/>
            <w:vAlign w:val="center"/>
          </w:tcPr>
          <w:p>
            <w:pPr>
              <w:jc w:val="center"/>
            </w:pPr>
            <w:r>
              <w:rPr>
                <w:b/>
                <w:color w:val="FFFFFF"/>
                <w:sz w:val="20"/>
              </w:rPr>
              <w:t>Product Line</w:t>
            </w:r>
          </w:p>
        </w:tc>
        <w:tc>
          <w:tcPr>
            <w:tcW w:type="dxa" w:w="3168"/>
            <w:shd w:val="clear" w:color="auto" w:fill="1A1A6E"/>
            <w:vAlign w:val="center"/>
          </w:tcPr>
          <w:p>
            <w:pPr>
              <w:jc w:val="center"/>
            </w:pPr>
            <w:r>
              <w:rPr>
                <w:b/>
                <w:color w:val="FFFFFF"/>
                <w:sz w:val="20"/>
              </w:rPr>
              <w:t>Total Gross Income ($)</w:t>
            </w:r>
          </w:p>
        </w:tc>
        <w:tc>
          <w:tcPr>
            <w:tcW w:type="dxa" w:w="2592"/>
            <w:shd w:val="clear" w:color="auto" w:fill="1A1A6E"/>
            <w:vAlign w:val="center"/>
          </w:tcPr>
          <w:p>
            <w:pPr>
              <w:jc w:val="center"/>
            </w:pPr>
            <w:r>
              <w:rPr>
                <w:b/>
                <w:color w:val="FFFFFF"/>
                <w:sz w:val="20"/>
              </w:rPr>
              <w:t>% of Total Gross Income</w:t>
            </w:r>
          </w:p>
        </w:tc>
      </w:tr>
      <w:tr>
        <w:tc>
          <w:tcPr>
            <w:tcW w:type="dxa" w:w="4320"/>
          </w:tcPr>
          <w:p>
            <w:r>
              <w:rPr>
                <w:rFonts w:ascii="Calibri" w:hAnsi="Calibri"/>
                <w:sz w:val="20"/>
              </w:rPr>
              <w:t>Food and beverages</w:t>
            </w:r>
          </w:p>
        </w:tc>
        <w:tc>
          <w:tcPr>
            <w:tcW w:type="dxa" w:w="3168"/>
          </w:tcPr>
          <w:p>
            <w:r>
              <w:rPr>
                <w:rFonts w:ascii="Calibri" w:hAnsi="Calibri"/>
                <w:sz w:val="20"/>
              </w:rPr>
              <w:t>$2,673.56</w:t>
            </w:r>
          </w:p>
        </w:tc>
        <w:tc>
          <w:tcPr>
            <w:tcW w:type="dxa" w:w="2592"/>
          </w:tcPr>
          <w:p>
            <w:r>
              <w:rPr>
                <w:rFonts w:ascii="Calibri" w:hAnsi="Calibri"/>
                <w:sz w:val="20"/>
              </w:rPr>
              <w:t>17.4%</w:t>
            </w:r>
          </w:p>
        </w:tc>
      </w:tr>
      <w:tr>
        <w:tc>
          <w:tcPr>
            <w:tcW w:type="dxa" w:w="4320"/>
            <w:shd w:val="clear" w:color="auto" w:fill="EEF2FF"/>
          </w:tcPr>
          <w:p>
            <w:r>
              <w:rPr>
                <w:rFonts w:ascii="Calibri" w:hAnsi="Calibri"/>
                <w:sz w:val="20"/>
              </w:rPr>
              <w:t>Sports and travel</w:t>
            </w:r>
          </w:p>
        </w:tc>
        <w:tc>
          <w:tcPr>
            <w:tcW w:type="dxa" w:w="3168"/>
            <w:shd w:val="clear" w:color="auto" w:fill="EEF2FF"/>
          </w:tcPr>
          <w:p>
            <w:r>
              <w:rPr>
                <w:rFonts w:ascii="Calibri" w:hAnsi="Calibri"/>
                <w:sz w:val="20"/>
              </w:rPr>
              <w:t>$2,624.90</w:t>
            </w:r>
          </w:p>
        </w:tc>
        <w:tc>
          <w:tcPr>
            <w:tcW w:type="dxa" w:w="2592"/>
            <w:shd w:val="clear" w:color="auto" w:fill="EEF2FF"/>
          </w:tcPr>
          <w:p>
            <w:r>
              <w:rPr>
                <w:rFonts w:ascii="Calibri" w:hAnsi="Calibri"/>
                <w:sz w:val="20"/>
              </w:rPr>
              <w:t>17.1%</w:t>
            </w:r>
          </w:p>
        </w:tc>
      </w:tr>
      <w:tr>
        <w:tc>
          <w:tcPr>
            <w:tcW w:type="dxa" w:w="4320"/>
          </w:tcPr>
          <w:p>
            <w:r>
              <w:rPr>
                <w:rFonts w:ascii="Calibri" w:hAnsi="Calibri"/>
                <w:sz w:val="20"/>
              </w:rPr>
              <w:t>Electronic accessories</w:t>
            </w:r>
          </w:p>
        </w:tc>
        <w:tc>
          <w:tcPr>
            <w:tcW w:type="dxa" w:w="3168"/>
          </w:tcPr>
          <w:p>
            <w:r>
              <w:rPr>
                <w:rFonts w:ascii="Calibri" w:hAnsi="Calibri"/>
                <w:sz w:val="20"/>
              </w:rPr>
              <w:t>$2,587.50</w:t>
            </w:r>
          </w:p>
        </w:tc>
        <w:tc>
          <w:tcPr>
            <w:tcW w:type="dxa" w:w="2592"/>
          </w:tcPr>
          <w:p>
            <w:r>
              <w:rPr>
                <w:rFonts w:ascii="Calibri" w:hAnsi="Calibri"/>
                <w:sz w:val="20"/>
              </w:rPr>
              <w:t>16.8%</w:t>
            </w:r>
          </w:p>
        </w:tc>
      </w:tr>
      <w:tr>
        <w:tc>
          <w:tcPr>
            <w:tcW w:type="dxa" w:w="4320"/>
            <w:shd w:val="clear" w:color="auto" w:fill="EEF2FF"/>
          </w:tcPr>
          <w:p>
            <w:r>
              <w:rPr>
                <w:rFonts w:ascii="Calibri" w:hAnsi="Calibri"/>
                <w:sz w:val="20"/>
              </w:rPr>
              <w:t>Fashion accessories</w:t>
            </w:r>
          </w:p>
        </w:tc>
        <w:tc>
          <w:tcPr>
            <w:tcW w:type="dxa" w:w="3168"/>
            <w:shd w:val="clear" w:color="auto" w:fill="EEF2FF"/>
          </w:tcPr>
          <w:p>
            <w:r>
              <w:rPr>
                <w:rFonts w:ascii="Calibri" w:hAnsi="Calibri"/>
                <w:sz w:val="20"/>
              </w:rPr>
              <w:t>$2,586.00</w:t>
            </w:r>
          </w:p>
        </w:tc>
        <w:tc>
          <w:tcPr>
            <w:tcW w:type="dxa" w:w="2592"/>
            <w:shd w:val="clear" w:color="auto" w:fill="EEF2FF"/>
          </w:tcPr>
          <w:p>
            <w:r>
              <w:rPr>
                <w:rFonts w:ascii="Calibri" w:hAnsi="Calibri"/>
                <w:sz w:val="20"/>
              </w:rPr>
              <w:t>16.8%</w:t>
            </w:r>
          </w:p>
        </w:tc>
      </w:tr>
      <w:tr>
        <w:tc>
          <w:tcPr>
            <w:tcW w:type="dxa" w:w="4320"/>
          </w:tcPr>
          <w:p>
            <w:r>
              <w:rPr>
                <w:rFonts w:ascii="Calibri" w:hAnsi="Calibri"/>
                <w:sz w:val="20"/>
              </w:rPr>
              <w:t>Home and lifestyle</w:t>
            </w:r>
          </w:p>
        </w:tc>
        <w:tc>
          <w:tcPr>
            <w:tcW w:type="dxa" w:w="3168"/>
          </w:tcPr>
          <w:p>
            <w:r>
              <w:rPr>
                <w:rFonts w:ascii="Calibri" w:hAnsi="Calibri"/>
                <w:sz w:val="20"/>
              </w:rPr>
              <w:t>$2,564.85</w:t>
            </w:r>
          </w:p>
        </w:tc>
        <w:tc>
          <w:tcPr>
            <w:tcW w:type="dxa" w:w="2592"/>
          </w:tcPr>
          <w:p>
            <w:r>
              <w:rPr>
                <w:rFonts w:ascii="Calibri" w:hAnsi="Calibri"/>
                <w:sz w:val="20"/>
              </w:rPr>
              <w:t>16.7%</w:t>
            </w:r>
          </w:p>
        </w:tc>
      </w:tr>
      <w:tr>
        <w:tc>
          <w:tcPr>
            <w:tcW w:type="dxa" w:w="4320"/>
            <w:shd w:val="clear" w:color="auto" w:fill="EEF2FF"/>
          </w:tcPr>
          <w:p>
            <w:r>
              <w:rPr>
                <w:rFonts w:ascii="Calibri" w:hAnsi="Calibri"/>
                <w:sz w:val="20"/>
              </w:rPr>
              <w:t>Health and beauty</w:t>
            </w:r>
          </w:p>
        </w:tc>
        <w:tc>
          <w:tcPr>
            <w:tcW w:type="dxa" w:w="3168"/>
            <w:shd w:val="clear" w:color="auto" w:fill="EEF2FF"/>
          </w:tcPr>
          <w:p>
            <w:r>
              <w:rPr>
                <w:rFonts w:ascii="Calibri" w:hAnsi="Calibri"/>
                <w:sz w:val="20"/>
              </w:rPr>
              <w:t>$2,342.56</w:t>
            </w:r>
          </w:p>
        </w:tc>
        <w:tc>
          <w:tcPr>
            <w:tcW w:type="dxa" w:w="2592"/>
            <w:shd w:val="clear" w:color="auto" w:fill="EEF2FF"/>
          </w:tcPr>
          <w:p>
            <w:r>
              <w:rPr>
                <w:rFonts w:ascii="Calibri" w:hAnsi="Calibri"/>
                <w:sz w:val="20"/>
              </w:rPr>
              <w:t>15.2%</w:t>
            </w:r>
          </w:p>
        </w:tc>
      </w:tr>
    </w:tbl>
    <w:p/>
    <w:p>
      <w:pPr>
        <w:spacing w:after="160"/>
        <w:jc w:val="center"/>
      </w:pPr>
      <w:r>
        <w:rPr>
          <w:rFonts w:ascii="Calibri" w:hAnsi="Calibri"/>
          <w:i/>
          <w:color w:val="555555"/>
          <w:sz w:val="18"/>
        </w:rPr>
        <w:t>Table 16.2: Gross Income by Product Line</w:t>
      </w:r>
    </w:p>
    <w:p>
      <w:pPr>
        <w:pStyle w:val="Heading2"/>
        <w:spacing w:before="240" w:after="80"/>
      </w:pPr>
      <w:r>
        <w:rPr>
          <w:color w:val="2C3E7A"/>
        </w:rPr>
        <w:t>16.3 Gross Income by Branch</w:t>
      </w:r>
    </w:p>
    <w:tbl>
      <w:tblPr>
        <w:tblStyle w:val="TableGrid"/>
        <w:tblW w:type="auto" w:w="0"/>
        <w:jc w:val="center"/>
        <w:tblLook w:firstColumn="1" w:firstRow="1" w:lastColumn="0" w:lastRow="0" w:noHBand="0" w:noVBand="1" w:val="04A0"/>
      </w:tblPr>
      <w:tblGrid>
        <w:gridCol w:w="4153"/>
        <w:gridCol w:w="4153"/>
      </w:tblGrid>
      <w:tr>
        <w:tc>
          <w:tcPr>
            <w:tcW w:type="dxa" w:w="5040"/>
            <w:shd w:val="clear" w:color="auto" w:fill="1A1A6E"/>
            <w:vAlign w:val="center"/>
          </w:tcPr>
          <w:p>
            <w:pPr>
              <w:jc w:val="center"/>
            </w:pPr>
            <w:r>
              <w:rPr>
                <w:b/>
                <w:color w:val="FFFFFF"/>
                <w:sz w:val="20"/>
              </w:rPr>
              <w:t>Branch</w:t>
            </w:r>
          </w:p>
        </w:tc>
        <w:tc>
          <w:tcPr>
            <w:tcW w:type="dxa" w:w="5040"/>
            <w:shd w:val="clear" w:color="auto" w:fill="1A1A6E"/>
            <w:vAlign w:val="center"/>
          </w:tcPr>
          <w:p>
            <w:pPr>
              <w:jc w:val="center"/>
            </w:pPr>
            <w:r>
              <w:rPr>
                <w:b/>
                <w:color w:val="FFFFFF"/>
                <w:sz w:val="20"/>
              </w:rPr>
              <w:t>Total Gross Income ($)</w:t>
            </w:r>
          </w:p>
        </w:tc>
      </w:tr>
      <w:tr>
        <w:tc>
          <w:tcPr>
            <w:tcW w:type="dxa" w:w="5040"/>
          </w:tcPr>
          <w:p>
            <w:r>
              <w:rPr>
                <w:rFonts w:ascii="Calibri" w:hAnsi="Calibri"/>
                <w:sz w:val="20"/>
              </w:rPr>
              <w:t>Giza</w:t>
            </w:r>
          </w:p>
        </w:tc>
        <w:tc>
          <w:tcPr>
            <w:tcW w:type="dxa" w:w="5040"/>
          </w:tcPr>
          <w:p>
            <w:r>
              <w:rPr>
                <w:rFonts w:ascii="Calibri" w:hAnsi="Calibri"/>
                <w:sz w:val="20"/>
              </w:rPr>
              <w:t>$5,265.18</w:t>
            </w:r>
          </w:p>
        </w:tc>
      </w:tr>
      <w:tr>
        <w:tc>
          <w:tcPr>
            <w:tcW w:type="dxa" w:w="5040"/>
            <w:shd w:val="clear" w:color="auto" w:fill="EEF2FF"/>
          </w:tcPr>
          <w:p>
            <w:r>
              <w:rPr>
                <w:rFonts w:ascii="Calibri" w:hAnsi="Calibri"/>
                <w:sz w:val="20"/>
              </w:rPr>
              <w:t>Alex</w:t>
            </w:r>
          </w:p>
        </w:tc>
        <w:tc>
          <w:tcPr>
            <w:tcW w:type="dxa" w:w="5040"/>
            <w:shd w:val="clear" w:color="auto" w:fill="EEF2FF"/>
          </w:tcPr>
          <w:p>
            <w:r>
              <w:rPr>
                <w:rFonts w:ascii="Calibri" w:hAnsi="Calibri"/>
                <w:sz w:val="20"/>
              </w:rPr>
              <w:t>$5,057.16</w:t>
            </w:r>
          </w:p>
        </w:tc>
      </w:tr>
      <w:tr>
        <w:tc>
          <w:tcPr>
            <w:tcW w:type="dxa" w:w="5040"/>
          </w:tcPr>
          <w:p>
            <w:r>
              <w:rPr>
                <w:rFonts w:ascii="Calibri" w:hAnsi="Calibri"/>
                <w:sz w:val="20"/>
              </w:rPr>
              <w:t>Cairo</w:t>
            </w:r>
          </w:p>
        </w:tc>
        <w:tc>
          <w:tcPr>
            <w:tcW w:type="dxa" w:w="5040"/>
          </w:tcPr>
          <w:p>
            <w:r>
              <w:rPr>
                <w:rFonts w:ascii="Calibri" w:hAnsi="Calibri"/>
                <w:sz w:val="20"/>
              </w:rPr>
              <w:t>$5,057.03</w:t>
            </w:r>
          </w:p>
        </w:tc>
      </w:tr>
    </w:tbl>
    <w:p/>
    <w:p>
      <w:pPr>
        <w:spacing w:after="160"/>
        <w:jc w:val="center"/>
      </w:pPr>
      <w:r>
        <w:rPr>
          <w:rFonts w:ascii="Calibri" w:hAnsi="Calibri"/>
          <w:i/>
          <w:color w:val="555555"/>
          <w:sz w:val="18"/>
        </w:rPr>
        <w:t>Table 16.3: Gross Income by Branch</w:t>
      </w:r>
    </w:p>
    <w:p>
      <w:pPr>
        <w:pStyle w:val="Heading2"/>
        <w:spacing w:before="240" w:after="80"/>
      </w:pPr>
      <w:r>
        <w:rPr>
          <w:color w:val="2C3E7A"/>
        </w:rPr>
        <w:t>16.4 Gross Income Trend</w:t>
      </w:r>
    </w:p>
    <w:p>
      <w:pPr>
        <w:spacing w:after="120" w:line="360" w:lineRule="auto"/>
      </w:pPr>
      <w:r>
        <w:rPr>
          <w:rFonts w:ascii="Calibri" w:hAnsi="Calibri"/>
          <w:b w:val="0"/>
          <w:i w:val="0"/>
          <w:sz w:val="22"/>
        </w:rPr>
        <w:t>The dashboard plots a daily gross income area chart (gross_income_trend() function) tracking day-by-day gross income over the dataset period. Since gross income is directly proportional to sales (a fixed 4.76%), this chart mirrors the daily sales trend but on a smaller scale.</w:t>
      </w:r>
    </w:p>
    <w:p>
      <w:pPr>
        <w:pStyle w:val="Heading2"/>
        <w:spacing w:before="240" w:after="80"/>
      </w:pPr>
      <w:r>
        <w:rPr>
          <w:color w:val="2C3E7A"/>
        </w:rPr>
        <w:t>16.5 COGS vs Gross Income Relationship</w:t>
      </w:r>
    </w:p>
    <w:p>
      <w:pPr>
        <w:spacing w:after="120" w:line="360" w:lineRule="auto"/>
      </w:pPr>
      <w:r>
        <w:rPr>
          <w:rFonts w:ascii="Calibri" w:hAnsi="Calibri"/>
          <w:b w:val="0"/>
          <w:i w:val="0"/>
          <w:sz w:val="22"/>
        </w:rPr>
        <w:t>A scatter plot (COGS vs Gross Income) confirms the linear relationship between COGS and gross income. Because gross income = Tax 5% = Sales × (5/105), and COGS = Sales − gross income, the relationship is perfectly linear and proportional for all product lines.</w:t>
      </w:r>
    </w:p>
    <w:p>
      <w:r>
        <w:br w:type="page"/>
      </w:r>
    </w:p>
    <w:p>
      <w:pPr>
        <w:pStyle w:val="Heading1"/>
        <w:spacing w:before="360" w:after="120"/>
      </w:pPr>
      <w:r>
        <w:rPr>
          <w:color w:val="1A1A6E"/>
        </w:rPr>
        <w:t>17. Time Analytics</w:t>
      </w:r>
    </w:p>
    <w:p>
      <w:pPr>
        <w:spacing w:after="120" w:line="360" w:lineRule="auto"/>
      </w:pPr>
      <w:r>
        <w:rPr>
          <w:rFonts w:ascii="Calibri" w:hAnsi="Calibri"/>
          <w:b w:val="0"/>
          <w:i w:val="0"/>
          <w:sz w:val="22"/>
        </w:rPr>
        <w:t>The Time Analysis tab examines sales patterns across different temporal dimensions. Temporal features (Hour, Day_Name, Month, Month_Name, Week) are derived from the Date and Time columns during the data cleaning step.</w:t>
      </w:r>
    </w:p>
    <w:p>
      <w:pPr>
        <w:pStyle w:val="Heading2"/>
        <w:spacing w:before="240" w:after="80"/>
      </w:pPr>
      <w:r>
        <w:rPr>
          <w:color w:val="2C3E7A"/>
        </w:rPr>
        <w:t>17.1 Hourly Sales Pattern</w:t>
      </w:r>
    </w:p>
    <w:p>
      <w:pPr>
        <w:spacing w:after="120" w:line="360" w:lineRule="auto"/>
      </w:pPr>
      <w:r>
        <w:rPr>
          <w:rFonts w:ascii="Calibri" w:hAnsi="Calibri"/>
          <w:b w:val="0"/>
          <w:i w:val="0"/>
          <w:sz w:val="22"/>
        </w:rPr>
        <w:t>The sales_by_hour() function groups sales by the Hour feature extracted from the Time column. The resulting bar chart (sales_by_hour_chart()) reveals which hours of the day generate the highest transaction volumes and sales. The dashboard KPI card shows the peak sales hour. A second chart shows Quantity Sold by Hour, and a third shows Gross Income by Hour — all providing a complete hourly operational picture.</w:t>
      </w:r>
    </w:p>
    <w:p>
      <w:pPr>
        <w:pStyle w:val="Heading2"/>
        <w:spacing w:before="240" w:after="80"/>
      </w:pPr>
      <w:r>
        <w:rPr>
          <w:color w:val="2C3E7A"/>
        </w:rPr>
        <w:t>17.2 Daily Sales Pattern</w:t>
      </w:r>
    </w:p>
    <w:p>
      <w:pPr>
        <w:spacing w:after="120" w:line="360" w:lineRule="auto"/>
      </w:pPr>
      <w:r>
        <w:rPr>
          <w:rFonts w:ascii="Calibri" w:hAnsi="Calibri"/>
          <w:b w:val="0"/>
          <w:i w:val="0"/>
          <w:sz w:val="22"/>
        </w:rPr>
        <w:t>The sales_by_day_name() function groups sales by day of the week (Monday through Sunday). The resulting bar chart (sales_by_day_chart()) shows which weekdays are most productive for sales. The dashboard KPI card highlights the best sales day of the week.</w:t>
      </w:r>
    </w:p>
    <w:p>
      <w:pPr>
        <w:pStyle w:val="Heading2"/>
        <w:spacing w:before="240" w:after="80"/>
      </w:pPr>
      <w:r>
        <w:rPr>
          <w:color w:val="2C3E7A"/>
        </w:rPr>
        <w:t>17.3 Monthly Sales Pattern</w:t>
      </w:r>
    </w:p>
    <w:tbl>
      <w:tblPr>
        <w:tblStyle w:val="TableGrid"/>
        <w:tblW w:type="auto" w:w="0"/>
        <w:jc w:val="center"/>
        <w:tblLook w:firstColumn="1" w:firstRow="1" w:lastColumn="0" w:lastRow="0" w:noHBand="0" w:noVBand="1" w:val="04A0"/>
      </w:tblPr>
      <w:tblGrid>
        <w:gridCol w:w="4153"/>
        <w:gridCol w:w="4153"/>
      </w:tblGrid>
      <w:tr>
        <w:tc>
          <w:tcPr>
            <w:tcW w:type="dxa" w:w="5040"/>
            <w:shd w:val="clear" w:color="auto" w:fill="1A1A6E"/>
            <w:vAlign w:val="center"/>
          </w:tcPr>
          <w:p>
            <w:pPr>
              <w:jc w:val="center"/>
            </w:pPr>
            <w:r>
              <w:rPr>
                <w:b/>
                <w:color w:val="FFFFFF"/>
                <w:sz w:val="20"/>
              </w:rPr>
              <w:t>Month</w:t>
            </w:r>
          </w:p>
        </w:tc>
        <w:tc>
          <w:tcPr>
            <w:tcW w:type="dxa" w:w="5040"/>
            <w:shd w:val="clear" w:color="auto" w:fill="1A1A6E"/>
            <w:vAlign w:val="center"/>
          </w:tcPr>
          <w:p>
            <w:pPr>
              <w:jc w:val="center"/>
            </w:pPr>
            <w:r>
              <w:rPr>
                <w:b/>
                <w:color w:val="FFFFFF"/>
                <w:sz w:val="20"/>
              </w:rPr>
              <w:t>Total Sales ($)</w:t>
            </w:r>
          </w:p>
        </w:tc>
      </w:tr>
      <w:tr>
        <w:tc>
          <w:tcPr>
            <w:tcW w:type="dxa" w:w="5040"/>
          </w:tcPr>
          <w:p>
            <w:r>
              <w:rPr>
                <w:rFonts w:ascii="Calibri" w:hAnsi="Calibri"/>
                <w:sz w:val="20"/>
              </w:rPr>
              <w:t>Jan</w:t>
            </w:r>
          </w:p>
        </w:tc>
        <w:tc>
          <w:tcPr>
            <w:tcW w:type="dxa" w:w="5040"/>
          </w:tcPr>
          <w:p>
            <w:r>
              <w:rPr>
                <w:rFonts w:ascii="Calibri" w:hAnsi="Calibri"/>
                <w:sz w:val="20"/>
              </w:rPr>
              <w:t>$116,291.87</w:t>
            </w:r>
          </w:p>
        </w:tc>
      </w:tr>
      <w:tr>
        <w:tc>
          <w:tcPr>
            <w:tcW w:type="dxa" w:w="5040"/>
            <w:shd w:val="clear" w:color="auto" w:fill="EEF2FF"/>
          </w:tcPr>
          <w:p>
            <w:r>
              <w:rPr>
                <w:rFonts w:ascii="Calibri" w:hAnsi="Calibri"/>
                <w:sz w:val="20"/>
              </w:rPr>
              <w:t>Feb</w:t>
            </w:r>
          </w:p>
        </w:tc>
        <w:tc>
          <w:tcPr>
            <w:tcW w:type="dxa" w:w="5040"/>
            <w:shd w:val="clear" w:color="auto" w:fill="EEF2FF"/>
          </w:tcPr>
          <w:p>
            <w:r>
              <w:rPr>
                <w:rFonts w:ascii="Calibri" w:hAnsi="Calibri"/>
                <w:sz w:val="20"/>
              </w:rPr>
              <w:t>$97,219.37</w:t>
            </w:r>
          </w:p>
        </w:tc>
      </w:tr>
      <w:tr>
        <w:tc>
          <w:tcPr>
            <w:tcW w:type="dxa" w:w="5040"/>
          </w:tcPr>
          <w:p>
            <w:r>
              <w:rPr>
                <w:rFonts w:ascii="Calibri" w:hAnsi="Calibri"/>
                <w:sz w:val="20"/>
              </w:rPr>
              <w:t>Mar</w:t>
            </w:r>
          </w:p>
        </w:tc>
        <w:tc>
          <w:tcPr>
            <w:tcW w:type="dxa" w:w="5040"/>
          </w:tcPr>
          <w:p>
            <w:r>
              <w:rPr>
                <w:rFonts w:ascii="Calibri" w:hAnsi="Calibri"/>
                <w:sz w:val="20"/>
              </w:rPr>
              <w:t>$109,455.51</w:t>
            </w:r>
          </w:p>
        </w:tc>
      </w:tr>
    </w:tbl>
    <w:p/>
    <w:p>
      <w:pPr>
        <w:spacing w:after="160"/>
        <w:jc w:val="center"/>
      </w:pPr>
      <w:r>
        <w:rPr>
          <w:rFonts w:ascii="Calibri" w:hAnsi="Calibri"/>
          <w:i/>
          <w:color w:val="555555"/>
          <w:sz w:val="18"/>
        </w:rPr>
        <w:t>Table 17.1: Monthly Sales Summary (Jan–Mar 2019)</w:t>
      </w:r>
    </w:p>
    <w:p>
      <w:pPr>
        <w:spacing w:after="120" w:line="360" w:lineRule="auto"/>
      </w:pPr>
      <w:r>
        <w:rPr>
          <w:rFonts w:ascii="Calibri" w:hAnsi="Calibri"/>
          <w:b w:val="0"/>
          <w:i w:val="0"/>
          <w:sz w:val="22"/>
        </w:rPr>
        <w:t>The sales_by_month() function and monthly line chart (sales_by_month_chart()) reveal month-over-month trends. The dataset covers three months (January, February, and March 2019), providing a baseline view of seasonal or monthly variation within the quarter.</w:t>
      </w:r>
    </w:p>
    <w:p>
      <w:pPr>
        <w:pStyle w:val="Heading2"/>
        <w:spacing w:before="240" w:after="80"/>
      </w:pPr>
      <w:r>
        <w:rPr>
          <w:color w:val="2C3E7A"/>
        </w:rPr>
        <w:t>17.4 Daily Sales Trend</w:t>
      </w:r>
    </w:p>
    <w:p>
      <w:pPr>
        <w:spacing w:after="120" w:line="360" w:lineRule="auto"/>
      </w:pPr>
      <w:r>
        <w:rPr>
          <w:rFonts w:ascii="Calibri" w:hAnsi="Calibri"/>
          <w:b w:val="0"/>
          <w:i w:val="0"/>
          <w:sz w:val="22"/>
        </w:rPr>
        <w:t>The sales_over_time() function computes daily aggregated sales and the sales_trend() function renders a filled area chart showing the daily sales trend line. This provides the granular day-by-day view of sales performance across the dataset period.</w:t>
      </w:r>
    </w:p>
    <w:p>
      <w:r>
        <w:br w:type="page"/>
      </w:r>
    </w:p>
    <w:p>
      <w:pPr>
        <w:pStyle w:val="Heading1"/>
        <w:spacing w:before="360" w:after="120"/>
      </w:pPr>
      <w:r>
        <w:rPr>
          <w:color w:val="1A1A6E"/>
        </w:rPr>
        <w:t>18. Payment Analytics</w:t>
      </w:r>
    </w:p>
    <w:p>
      <w:pPr>
        <w:spacing w:after="120" w:line="360" w:lineRule="auto"/>
      </w:pPr>
      <w:r>
        <w:rPr>
          <w:rFonts w:ascii="Calibri" w:hAnsi="Calibri"/>
          <w:b w:val="0"/>
          <w:i w:val="0"/>
          <w:sz w:val="22"/>
        </w:rPr>
        <w:t>The Payment Analysis tab examines how transactions are distributed across payment methods and how payment method choice relates to transaction value.</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2592"/>
            <w:shd w:val="clear" w:color="auto" w:fill="1A1A6E"/>
            <w:vAlign w:val="center"/>
          </w:tcPr>
          <w:p>
            <w:pPr>
              <w:jc w:val="center"/>
            </w:pPr>
            <w:r>
              <w:rPr>
                <w:b/>
                <w:color w:val="FFFFFF"/>
                <w:sz w:val="20"/>
              </w:rPr>
              <w:t>Payment Method</w:t>
            </w:r>
          </w:p>
        </w:tc>
        <w:tc>
          <w:tcPr>
            <w:tcW w:type="dxa" w:w="2304"/>
            <w:shd w:val="clear" w:color="auto" w:fill="1A1A6E"/>
            <w:vAlign w:val="center"/>
          </w:tcPr>
          <w:p>
            <w:pPr>
              <w:jc w:val="center"/>
            </w:pPr>
            <w:r>
              <w:rPr>
                <w:b/>
                <w:color w:val="FFFFFF"/>
                <w:sz w:val="20"/>
              </w:rPr>
              <w:t>Total Sales ($)</w:t>
            </w:r>
          </w:p>
        </w:tc>
        <w:tc>
          <w:tcPr>
            <w:tcW w:type="dxa" w:w="2016"/>
            <w:shd w:val="clear" w:color="auto" w:fill="1A1A6E"/>
            <w:vAlign w:val="center"/>
          </w:tcPr>
          <w:p>
            <w:pPr>
              <w:jc w:val="center"/>
            </w:pPr>
            <w:r>
              <w:rPr>
                <w:b/>
                <w:color w:val="FFFFFF"/>
                <w:sz w:val="20"/>
              </w:rPr>
              <w:t>Transactions</w:t>
            </w:r>
          </w:p>
        </w:tc>
        <w:tc>
          <w:tcPr>
            <w:tcW w:type="dxa" w:w="2016"/>
            <w:shd w:val="clear" w:color="auto" w:fill="1A1A6E"/>
            <w:vAlign w:val="center"/>
          </w:tcPr>
          <w:p>
            <w:pPr>
              <w:jc w:val="center"/>
            </w:pPr>
            <w:r>
              <w:rPr>
                <w:b/>
                <w:color w:val="FFFFFF"/>
                <w:sz w:val="20"/>
              </w:rPr>
              <w:t>% Transactions</w:t>
            </w:r>
          </w:p>
        </w:tc>
        <w:tc>
          <w:tcPr>
            <w:tcW w:type="dxa" w:w="2304"/>
            <w:shd w:val="clear" w:color="auto" w:fill="1A1A6E"/>
            <w:vAlign w:val="center"/>
          </w:tcPr>
          <w:p>
            <w:pPr>
              <w:jc w:val="center"/>
            </w:pPr>
            <w:r>
              <w:rPr>
                <w:b/>
                <w:color w:val="FFFFFF"/>
                <w:sz w:val="20"/>
              </w:rPr>
              <w:t>Avg Transaction ($)</w:t>
            </w:r>
          </w:p>
        </w:tc>
      </w:tr>
      <w:tr>
        <w:tc>
          <w:tcPr>
            <w:tcW w:type="dxa" w:w="2592"/>
          </w:tcPr>
          <w:p>
            <w:r>
              <w:rPr>
                <w:rFonts w:ascii="Calibri" w:hAnsi="Calibri"/>
                <w:sz w:val="20"/>
              </w:rPr>
              <w:t>Cash</w:t>
            </w:r>
          </w:p>
        </w:tc>
        <w:tc>
          <w:tcPr>
            <w:tcW w:type="dxa" w:w="2304"/>
          </w:tcPr>
          <w:p>
            <w:r>
              <w:rPr>
                <w:rFonts w:ascii="Calibri" w:hAnsi="Calibri"/>
                <w:sz w:val="20"/>
              </w:rPr>
              <w:t>$112,206.57</w:t>
            </w:r>
          </w:p>
        </w:tc>
        <w:tc>
          <w:tcPr>
            <w:tcW w:type="dxa" w:w="2016"/>
          </w:tcPr>
          <w:p>
            <w:r>
              <w:rPr>
                <w:rFonts w:ascii="Calibri" w:hAnsi="Calibri"/>
                <w:sz w:val="20"/>
              </w:rPr>
              <w:t>344</w:t>
            </w:r>
          </w:p>
        </w:tc>
        <w:tc>
          <w:tcPr>
            <w:tcW w:type="dxa" w:w="2016"/>
          </w:tcPr>
          <w:p>
            <w:r>
              <w:rPr>
                <w:rFonts w:ascii="Calibri" w:hAnsi="Calibri"/>
                <w:sz w:val="20"/>
              </w:rPr>
              <w:t>34.4%</w:t>
            </w:r>
          </w:p>
        </w:tc>
        <w:tc>
          <w:tcPr>
            <w:tcW w:type="dxa" w:w="2304"/>
          </w:tcPr>
          <w:p>
            <w:r>
              <w:rPr>
                <w:rFonts w:ascii="Calibri" w:hAnsi="Calibri"/>
                <w:sz w:val="20"/>
              </w:rPr>
              <w:t>$326.18</w:t>
            </w:r>
          </w:p>
        </w:tc>
      </w:tr>
      <w:tr>
        <w:tc>
          <w:tcPr>
            <w:tcW w:type="dxa" w:w="2592"/>
            <w:shd w:val="clear" w:color="auto" w:fill="EEF2FF"/>
          </w:tcPr>
          <w:p>
            <w:r>
              <w:rPr>
                <w:rFonts w:ascii="Calibri" w:hAnsi="Calibri"/>
                <w:sz w:val="20"/>
              </w:rPr>
              <w:t>Ewallet</w:t>
            </w:r>
          </w:p>
        </w:tc>
        <w:tc>
          <w:tcPr>
            <w:tcW w:type="dxa" w:w="2304"/>
            <w:shd w:val="clear" w:color="auto" w:fill="EEF2FF"/>
          </w:tcPr>
          <w:p>
            <w:r>
              <w:rPr>
                <w:rFonts w:ascii="Calibri" w:hAnsi="Calibri"/>
                <w:sz w:val="20"/>
              </w:rPr>
              <w:t>$109,993.11</w:t>
            </w:r>
          </w:p>
        </w:tc>
        <w:tc>
          <w:tcPr>
            <w:tcW w:type="dxa" w:w="2016"/>
            <w:shd w:val="clear" w:color="auto" w:fill="EEF2FF"/>
          </w:tcPr>
          <w:p>
            <w:r>
              <w:rPr>
                <w:rFonts w:ascii="Calibri" w:hAnsi="Calibri"/>
                <w:sz w:val="20"/>
              </w:rPr>
              <w:t>345</w:t>
            </w:r>
          </w:p>
        </w:tc>
        <w:tc>
          <w:tcPr>
            <w:tcW w:type="dxa" w:w="2016"/>
            <w:shd w:val="clear" w:color="auto" w:fill="EEF2FF"/>
          </w:tcPr>
          <w:p>
            <w:r>
              <w:rPr>
                <w:rFonts w:ascii="Calibri" w:hAnsi="Calibri"/>
                <w:sz w:val="20"/>
              </w:rPr>
              <w:t>34.5%</w:t>
            </w:r>
          </w:p>
        </w:tc>
        <w:tc>
          <w:tcPr>
            <w:tcW w:type="dxa" w:w="2304"/>
            <w:shd w:val="clear" w:color="auto" w:fill="EEF2FF"/>
          </w:tcPr>
          <w:p>
            <w:r>
              <w:rPr>
                <w:rFonts w:ascii="Calibri" w:hAnsi="Calibri"/>
                <w:sz w:val="20"/>
              </w:rPr>
              <w:t>$318.82</w:t>
            </w:r>
          </w:p>
        </w:tc>
      </w:tr>
      <w:tr>
        <w:tc>
          <w:tcPr>
            <w:tcW w:type="dxa" w:w="2592"/>
          </w:tcPr>
          <w:p>
            <w:r>
              <w:rPr>
                <w:rFonts w:ascii="Calibri" w:hAnsi="Calibri"/>
                <w:sz w:val="20"/>
              </w:rPr>
              <w:t>Credit card</w:t>
            </w:r>
          </w:p>
        </w:tc>
        <w:tc>
          <w:tcPr>
            <w:tcW w:type="dxa" w:w="2304"/>
          </w:tcPr>
          <w:p>
            <w:r>
              <w:rPr>
                <w:rFonts w:ascii="Calibri" w:hAnsi="Calibri"/>
                <w:sz w:val="20"/>
              </w:rPr>
              <w:t>$100,767.07</w:t>
            </w:r>
          </w:p>
        </w:tc>
        <w:tc>
          <w:tcPr>
            <w:tcW w:type="dxa" w:w="2016"/>
          </w:tcPr>
          <w:p>
            <w:r>
              <w:rPr>
                <w:rFonts w:ascii="Calibri" w:hAnsi="Calibri"/>
                <w:sz w:val="20"/>
              </w:rPr>
              <w:t>311</w:t>
            </w:r>
          </w:p>
        </w:tc>
        <w:tc>
          <w:tcPr>
            <w:tcW w:type="dxa" w:w="2016"/>
          </w:tcPr>
          <w:p>
            <w:r>
              <w:rPr>
                <w:rFonts w:ascii="Calibri" w:hAnsi="Calibri"/>
                <w:sz w:val="20"/>
              </w:rPr>
              <w:t>31.1%</w:t>
            </w:r>
          </w:p>
        </w:tc>
        <w:tc>
          <w:tcPr>
            <w:tcW w:type="dxa" w:w="2304"/>
          </w:tcPr>
          <w:p>
            <w:r>
              <w:rPr>
                <w:rFonts w:ascii="Calibri" w:hAnsi="Calibri"/>
                <w:sz w:val="20"/>
              </w:rPr>
              <w:t>$324.01</w:t>
            </w:r>
          </w:p>
        </w:tc>
      </w:tr>
    </w:tbl>
    <w:p/>
    <w:p>
      <w:pPr>
        <w:spacing w:after="160"/>
        <w:jc w:val="center"/>
      </w:pPr>
      <w:r>
        <w:rPr>
          <w:rFonts w:ascii="Calibri" w:hAnsi="Calibri"/>
          <w:i/>
          <w:color w:val="555555"/>
          <w:sz w:val="18"/>
        </w:rPr>
        <w:t>Table 18.1: Payment Method Analysis</w:t>
      </w:r>
    </w:p>
    <w:p>
      <w:pPr>
        <w:spacing w:after="120" w:line="360" w:lineRule="auto"/>
      </w:pPr>
      <w:r>
        <w:rPr>
          <w:rFonts w:ascii="Calibri" w:hAnsi="Calibri"/>
          <w:b w:val="0"/>
          <w:i w:val="0"/>
          <w:sz w:val="22"/>
        </w:rPr>
        <w:t>Cash leads in total sales ($112,206.57), followed by Ewallet ($109,993.11) and Credit card ($100,767.07). However, by transaction count, Ewallet (345 transactions) is used slightly more often than Cash (344 transactions), with Credit card trailing at 311 transactions.</w:t>
      </w:r>
    </w:p>
    <w:p>
      <w:pPr>
        <w:spacing w:after="120" w:line="360" w:lineRule="auto"/>
      </w:pPr>
      <w:r>
        <w:rPr>
          <w:rFonts w:ascii="Calibri" w:hAnsi="Calibri"/>
          <w:b w:val="0"/>
          <w:i w:val="0"/>
          <w:sz w:val="22"/>
        </w:rPr>
        <w:t>The dashboard renders four payment charts: (1) Sales by Payment Method donut chart, (2) Transaction Count by Payment Method bar chart, (3) Total Sales by Payment Method bar chart, (4) Average Transaction by Payment Method bar chart. An expandable Payment Summary Table is also provided for numerical reference.</w:t>
      </w:r>
    </w:p>
    <w:p>
      <w:r>
        <w:br w:type="page"/>
      </w:r>
    </w:p>
    <w:p>
      <w:pPr>
        <w:pStyle w:val="Heading1"/>
        <w:spacing w:before="360" w:after="120"/>
      </w:pPr>
      <w:r>
        <w:rPr>
          <w:color w:val="1A1A6E"/>
        </w:rPr>
        <w:t>19. Branch and Location Analysis</w:t>
      </w:r>
    </w:p>
    <w:tbl>
      <w:tblPr>
        <w:tblStyle w:val="TableGrid"/>
        <w:tblW w:type="auto" w:w="0"/>
        <w:jc w:val="center"/>
        <w:tblLook w:firstColumn="1" w:firstRow="1" w:lastColumn="0" w:lastRow="0" w:noHBand="0" w:noVBand="1" w:val="04A0"/>
      </w:tblPr>
      <w:tblGrid>
        <w:gridCol w:w="1384"/>
        <w:gridCol w:w="1384"/>
        <w:gridCol w:w="1384"/>
        <w:gridCol w:w="1384"/>
        <w:gridCol w:w="1384"/>
        <w:gridCol w:w="1384"/>
      </w:tblGrid>
      <w:tr>
        <w:tc>
          <w:tcPr>
            <w:tcW w:type="dxa" w:w="1296"/>
            <w:shd w:val="clear" w:color="auto" w:fill="1A1A6E"/>
            <w:vAlign w:val="center"/>
          </w:tcPr>
          <w:p>
            <w:pPr>
              <w:jc w:val="center"/>
            </w:pPr>
            <w:r>
              <w:rPr>
                <w:b/>
                <w:color w:val="FFFFFF"/>
                <w:sz w:val="20"/>
              </w:rPr>
              <w:t>Branch</w:t>
            </w:r>
          </w:p>
        </w:tc>
        <w:tc>
          <w:tcPr>
            <w:tcW w:type="dxa" w:w="2160"/>
            <w:shd w:val="clear" w:color="auto" w:fill="1A1A6E"/>
            <w:vAlign w:val="center"/>
          </w:tcPr>
          <w:p>
            <w:pPr>
              <w:jc w:val="center"/>
            </w:pPr>
            <w:r>
              <w:rPr>
                <w:b/>
                <w:color w:val="FFFFFF"/>
                <w:sz w:val="20"/>
              </w:rPr>
              <w:t>City</w:t>
            </w:r>
          </w:p>
        </w:tc>
        <w:tc>
          <w:tcPr>
            <w:tcW w:type="dxa" w:w="2304"/>
            <w:shd w:val="clear" w:color="auto" w:fill="1A1A6E"/>
            <w:vAlign w:val="center"/>
          </w:tcPr>
          <w:p>
            <w:pPr>
              <w:jc w:val="center"/>
            </w:pPr>
            <w:r>
              <w:rPr>
                <w:b/>
                <w:color w:val="FFFFFF"/>
                <w:sz w:val="20"/>
              </w:rPr>
              <w:t>Total Sales ($)</w:t>
            </w:r>
          </w:p>
        </w:tc>
        <w:tc>
          <w:tcPr>
            <w:tcW w:type="dxa" w:w="2304"/>
            <w:shd w:val="clear" w:color="auto" w:fill="1A1A6E"/>
            <w:vAlign w:val="center"/>
          </w:tcPr>
          <w:p>
            <w:pPr>
              <w:jc w:val="center"/>
            </w:pPr>
            <w:r>
              <w:rPr>
                <w:b/>
                <w:color w:val="FFFFFF"/>
                <w:sz w:val="20"/>
              </w:rPr>
              <w:t>Gross Income ($)</w:t>
            </w:r>
          </w:p>
        </w:tc>
        <w:tc>
          <w:tcPr>
            <w:tcW w:type="dxa" w:w="1440"/>
            <w:shd w:val="clear" w:color="auto" w:fill="1A1A6E"/>
            <w:vAlign w:val="center"/>
          </w:tcPr>
          <w:p>
            <w:pPr>
              <w:jc w:val="center"/>
            </w:pPr>
            <w:r>
              <w:rPr>
                <w:b/>
                <w:color w:val="FFFFFF"/>
                <w:sz w:val="20"/>
              </w:rPr>
              <w:t>Qty Sold</w:t>
            </w:r>
          </w:p>
        </w:tc>
        <w:tc>
          <w:tcPr>
            <w:tcW w:type="dxa" w:w="1584"/>
            <w:shd w:val="clear" w:color="auto" w:fill="1A1A6E"/>
            <w:vAlign w:val="center"/>
          </w:tcPr>
          <w:p>
            <w:pPr>
              <w:jc w:val="center"/>
            </w:pPr>
            <w:r>
              <w:rPr>
                <w:b/>
                <w:color w:val="FFFFFF"/>
                <w:sz w:val="20"/>
              </w:rPr>
              <w:t>Avg Rating</w:t>
            </w:r>
          </w:p>
        </w:tc>
      </w:tr>
      <w:tr>
        <w:tc>
          <w:tcPr>
            <w:tcW w:type="dxa" w:w="1296"/>
          </w:tcPr>
          <w:p>
            <w:r>
              <w:rPr>
                <w:rFonts w:ascii="Calibri" w:hAnsi="Calibri"/>
                <w:sz w:val="20"/>
              </w:rPr>
              <w:t>Giza</w:t>
            </w:r>
          </w:p>
        </w:tc>
        <w:tc>
          <w:tcPr>
            <w:tcW w:type="dxa" w:w="2160"/>
          </w:tcPr>
          <w:p>
            <w:r>
              <w:rPr>
                <w:rFonts w:ascii="Calibri" w:hAnsi="Calibri"/>
                <w:sz w:val="20"/>
              </w:rPr>
              <w:t>Naypyitaw</w:t>
            </w:r>
          </w:p>
        </w:tc>
        <w:tc>
          <w:tcPr>
            <w:tcW w:type="dxa" w:w="2304"/>
          </w:tcPr>
          <w:p>
            <w:r>
              <w:rPr>
                <w:rFonts w:ascii="Calibri" w:hAnsi="Calibri"/>
                <w:sz w:val="20"/>
              </w:rPr>
              <w:t>$110,568.71</w:t>
            </w:r>
          </w:p>
        </w:tc>
        <w:tc>
          <w:tcPr>
            <w:tcW w:type="dxa" w:w="2304"/>
          </w:tcPr>
          <w:p>
            <w:r>
              <w:rPr>
                <w:rFonts w:ascii="Calibri" w:hAnsi="Calibri"/>
                <w:sz w:val="20"/>
              </w:rPr>
              <w:t>$5,265.18</w:t>
            </w:r>
          </w:p>
        </w:tc>
        <w:tc>
          <w:tcPr>
            <w:tcW w:type="dxa" w:w="1440"/>
          </w:tcPr>
          <w:p>
            <w:r>
              <w:rPr>
                <w:rFonts w:ascii="Calibri" w:hAnsi="Calibri"/>
                <w:sz w:val="20"/>
              </w:rPr>
              <w:t>1,831</w:t>
            </w:r>
          </w:p>
        </w:tc>
        <w:tc>
          <w:tcPr>
            <w:tcW w:type="dxa" w:w="1584"/>
          </w:tcPr>
          <w:p>
            <w:r>
              <w:rPr>
                <w:rFonts w:ascii="Calibri" w:hAnsi="Calibri"/>
                <w:sz w:val="20"/>
              </w:rPr>
              <w:t>7.07/10</w:t>
            </w:r>
          </w:p>
        </w:tc>
      </w:tr>
      <w:tr>
        <w:tc>
          <w:tcPr>
            <w:tcW w:type="dxa" w:w="1296"/>
            <w:shd w:val="clear" w:color="auto" w:fill="EEF2FF"/>
          </w:tcPr>
          <w:p>
            <w:r>
              <w:rPr>
                <w:rFonts w:ascii="Calibri" w:hAnsi="Calibri"/>
                <w:sz w:val="20"/>
              </w:rPr>
              <w:t>Alex</w:t>
            </w:r>
          </w:p>
        </w:tc>
        <w:tc>
          <w:tcPr>
            <w:tcW w:type="dxa" w:w="2160"/>
            <w:shd w:val="clear" w:color="auto" w:fill="EEF2FF"/>
          </w:tcPr>
          <w:p>
            <w:r>
              <w:rPr>
                <w:rFonts w:ascii="Calibri" w:hAnsi="Calibri"/>
                <w:sz w:val="20"/>
              </w:rPr>
              <w:t>Yangon</w:t>
            </w:r>
          </w:p>
        </w:tc>
        <w:tc>
          <w:tcPr>
            <w:tcW w:type="dxa" w:w="2304"/>
            <w:shd w:val="clear" w:color="auto" w:fill="EEF2FF"/>
          </w:tcPr>
          <w:p>
            <w:r>
              <w:rPr>
                <w:rFonts w:ascii="Calibri" w:hAnsi="Calibri"/>
                <w:sz w:val="20"/>
              </w:rPr>
              <w:t>$106,200.37</w:t>
            </w:r>
          </w:p>
        </w:tc>
        <w:tc>
          <w:tcPr>
            <w:tcW w:type="dxa" w:w="2304"/>
            <w:shd w:val="clear" w:color="auto" w:fill="EEF2FF"/>
          </w:tcPr>
          <w:p>
            <w:r>
              <w:rPr>
                <w:rFonts w:ascii="Calibri" w:hAnsi="Calibri"/>
                <w:sz w:val="20"/>
              </w:rPr>
              <w:t>$5,057.16</w:t>
            </w:r>
          </w:p>
        </w:tc>
        <w:tc>
          <w:tcPr>
            <w:tcW w:type="dxa" w:w="1440"/>
            <w:shd w:val="clear" w:color="auto" w:fill="EEF2FF"/>
          </w:tcPr>
          <w:p>
            <w:r>
              <w:rPr>
                <w:rFonts w:ascii="Calibri" w:hAnsi="Calibri"/>
                <w:sz w:val="20"/>
              </w:rPr>
              <w:t>1,859</w:t>
            </w:r>
          </w:p>
        </w:tc>
        <w:tc>
          <w:tcPr>
            <w:tcW w:type="dxa" w:w="1584"/>
            <w:shd w:val="clear" w:color="auto" w:fill="EEF2FF"/>
          </w:tcPr>
          <w:p>
            <w:r>
              <w:rPr>
                <w:rFonts w:ascii="Calibri" w:hAnsi="Calibri"/>
                <w:sz w:val="20"/>
              </w:rPr>
              <w:t>7.03/10</w:t>
            </w:r>
          </w:p>
        </w:tc>
      </w:tr>
      <w:tr>
        <w:tc>
          <w:tcPr>
            <w:tcW w:type="dxa" w:w="1296"/>
          </w:tcPr>
          <w:p>
            <w:r>
              <w:rPr>
                <w:rFonts w:ascii="Calibri" w:hAnsi="Calibri"/>
                <w:sz w:val="20"/>
              </w:rPr>
              <w:t>Cairo</w:t>
            </w:r>
          </w:p>
        </w:tc>
        <w:tc>
          <w:tcPr>
            <w:tcW w:type="dxa" w:w="2160"/>
          </w:tcPr>
          <w:p>
            <w:r>
              <w:rPr>
                <w:rFonts w:ascii="Calibri" w:hAnsi="Calibri"/>
                <w:sz w:val="20"/>
              </w:rPr>
              <w:t>Mandalay</w:t>
            </w:r>
          </w:p>
        </w:tc>
        <w:tc>
          <w:tcPr>
            <w:tcW w:type="dxa" w:w="2304"/>
          </w:tcPr>
          <w:p>
            <w:r>
              <w:rPr>
                <w:rFonts w:ascii="Calibri" w:hAnsi="Calibri"/>
                <w:sz w:val="20"/>
              </w:rPr>
              <w:t>$106,197.67</w:t>
            </w:r>
          </w:p>
        </w:tc>
        <w:tc>
          <w:tcPr>
            <w:tcW w:type="dxa" w:w="2304"/>
          </w:tcPr>
          <w:p>
            <w:r>
              <w:rPr>
                <w:rFonts w:ascii="Calibri" w:hAnsi="Calibri"/>
                <w:sz w:val="20"/>
              </w:rPr>
              <w:t>$5,057.03</w:t>
            </w:r>
          </w:p>
        </w:tc>
        <w:tc>
          <w:tcPr>
            <w:tcW w:type="dxa" w:w="1440"/>
          </w:tcPr>
          <w:p>
            <w:r>
              <w:rPr>
                <w:rFonts w:ascii="Calibri" w:hAnsi="Calibri"/>
                <w:sz w:val="20"/>
              </w:rPr>
              <w:t>1,820</w:t>
            </w:r>
          </w:p>
        </w:tc>
        <w:tc>
          <w:tcPr>
            <w:tcW w:type="dxa" w:w="1584"/>
          </w:tcPr>
          <w:p>
            <w:r>
              <w:rPr>
                <w:rFonts w:ascii="Calibri" w:hAnsi="Calibri"/>
                <w:sz w:val="20"/>
              </w:rPr>
              <w:t>6.82/10</w:t>
            </w:r>
          </w:p>
        </w:tc>
      </w:tr>
    </w:tbl>
    <w:p/>
    <w:p>
      <w:pPr>
        <w:spacing w:after="160"/>
        <w:jc w:val="center"/>
      </w:pPr>
      <w:r>
        <w:rPr>
          <w:rFonts w:ascii="Calibri" w:hAnsi="Calibri"/>
          <w:i/>
          <w:color w:val="555555"/>
          <w:sz w:val="18"/>
        </w:rPr>
        <w:t>Table 19.1: Branch Performance Comparison</w:t>
      </w:r>
    </w:p>
    <w:p>
      <w:pPr>
        <w:spacing w:after="120" w:line="360" w:lineRule="auto"/>
      </w:pPr>
      <w:r>
        <w:rPr>
          <w:rFonts w:ascii="Calibri" w:hAnsi="Calibri"/>
          <w:b w:val="0"/>
          <w:i w:val="0"/>
          <w:sz w:val="22"/>
        </w:rPr>
        <w:t>Branch Giza (Naypyitaw) leads overall with $110,568.71 in total sales and the highest average customer rating of 7.07/10. Branch Alex (Yangon) and Branch Cairo (Mandalay) are closely matched at $106,200.37 and $106,197.67 respectively.</w:t>
      </w:r>
    </w:p>
    <w:p>
      <w:pPr>
        <w:spacing w:after="120" w:line="360" w:lineRule="auto"/>
      </w:pPr>
      <w:r>
        <w:rPr>
          <w:rFonts w:ascii="Calibri" w:hAnsi="Calibri"/>
          <w:b w:val="0"/>
          <w:i w:val="0"/>
          <w:sz w:val="22"/>
        </w:rPr>
        <w:t>The Branch &amp; Location tab also includes a Product Line Sales by Branch grouped bar chart, which compares how each product line performs across the three branches, revealing branch-specific product preferences. A city-level sales bar chart is also included.</w:t>
      </w:r>
    </w:p>
    <w:p>
      <w:pPr>
        <w:pStyle w:val="Heading1"/>
        <w:spacing w:before="360" w:after="120"/>
      </w:pPr>
      <w:r>
        <w:rPr>
          <w:color w:val="1A1A6E"/>
        </w:rPr>
        <w:t>20. Rating Analysis</w:t>
      </w:r>
    </w:p>
    <w:p>
      <w:pPr>
        <w:spacing w:after="120" w:line="360" w:lineRule="auto"/>
      </w:pPr>
      <w:r>
        <w:rPr>
          <w:rFonts w:ascii="Calibri" w:hAnsi="Calibri"/>
          <w:b w:val="0"/>
          <w:i w:val="0"/>
          <w:sz w:val="22"/>
        </w:rPr>
        <w:t>Customer satisfaction ratings in this dataset range from 4.0 to 10.0, with a mean of 6.97/10. The Ratings tab provides a comprehensive view of customer satisfaction.</w:t>
      </w:r>
    </w:p>
    <w:tbl>
      <w:tblPr>
        <w:tblStyle w:val="TableGrid"/>
        <w:tblW w:type="auto" w:w="0"/>
        <w:jc w:val="center"/>
        <w:tblLook w:firstColumn="1" w:firstRow="1" w:lastColumn="0" w:lastRow="0" w:noHBand="0" w:noVBand="1" w:val="04A0"/>
      </w:tblPr>
      <w:tblGrid>
        <w:gridCol w:w="4153"/>
        <w:gridCol w:w="4153"/>
      </w:tblGrid>
      <w:tr>
        <w:tc>
          <w:tcPr>
            <w:tcW w:type="dxa" w:w="5760"/>
            <w:shd w:val="clear" w:color="auto" w:fill="1A1A6E"/>
            <w:vAlign w:val="center"/>
          </w:tcPr>
          <w:p>
            <w:pPr>
              <w:jc w:val="center"/>
            </w:pPr>
            <w:r>
              <w:rPr>
                <w:b/>
                <w:color w:val="FFFFFF"/>
                <w:sz w:val="20"/>
              </w:rPr>
              <w:t>Metric</w:t>
            </w:r>
          </w:p>
        </w:tc>
        <w:tc>
          <w:tcPr>
            <w:tcW w:type="dxa" w:w="4320"/>
            <w:shd w:val="clear" w:color="auto" w:fill="1A1A6E"/>
            <w:vAlign w:val="center"/>
          </w:tcPr>
          <w:p>
            <w:pPr>
              <w:jc w:val="center"/>
            </w:pPr>
            <w:r>
              <w:rPr>
                <w:b/>
                <w:color w:val="FFFFFF"/>
                <w:sz w:val="20"/>
              </w:rPr>
              <w:t>Value</w:t>
            </w:r>
          </w:p>
        </w:tc>
      </w:tr>
      <w:tr>
        <w:tc>
          <w:tcPr>
            <w:tcW w:type="dxa" w:w="5760"/>
          </w:tcPr>
          <w:p>
            <w:r>
              <w:rPr>
                <w:rFonts w:ascii="Calibri" w:hAnsi="Calibri"/>
                <w:sz w:val="20"/>
              </w:rPr>
              <w:t>Average Rating (All Transactions)</w:t>
            </w:r>
          </w:p>
        </w:tc>
        <w:tc>
          <w:tcPr>
            <w:tcW w:type="dxa" w:w="4320"/>
          </w:tcPr>
          <w:p>
            <w:r>
              <w:rPr>
                <w:rFonts w:ascii="Calibri" w:hAnsi="Calibri"/>
                <w:sz w:val="20"/>
              </w:rPr>
              <w:t>6.97 / 10</w:t>
            </w:r>
          </w:p>
        </w:tc>
      </w:tr>
      <w:tr>
        <w:tc>
          <w:tcPr>
            <w:tcW w:type="dxa" w:w="5760"/>
            <w:shd w:val="clear" w:color="auto" w:fill="EEF2FF"/>
          </w:tcPr>
          <w:p>
            <w:r>
              <w:rPr>
                <w:rFonts w:ascii="Calibri" w:hAnsi="Calibri"/>
                <w:sz w:val="20"/>
              </w:rPr>
              <w:t>Maximum Rating</w:t>
            </w:r>
          </w:p>
        </w:tc>
        <w:tc>
          <w:tcPr>
            <w:tcW w:type="dxa" w:w="4320"/>
            <w:shd w:val="clear" w:color="auto" w:fill="EEF2FF"/>
          </w:tcPr>
          <w:p>
            <w:r>
              <w:rPr>
                <w:rFonts w:ascii="Calibri" w:hAnsi="Calibri"/>
                <w:sz w:val="20"/>
              </w:rPr>
              <w:t>10.0 / 10</w:t>
            </w:r>
          </w:p>
        </w:tc>
      </w:tr>
      <w:tr>
        <w:tc>
          <w:tcPr>
            <w:tcW w:type="dxa" w:w="5760"/>
          </w:tcPr>
          <w:p>
            <w:r>
              <w:rPr>
                <w:rFonts w:ascii="Calibri" w:hAnsi="Calibri"/>
                <w:sz w:val="20"/>
              </w:rPr>
              <w:t>Minimum Rating</w:t>
            </w:r>
          </w:p>
        </w:tc>
        <w:tc>
          <w:tcPr>
            <w:tcW w:type="dxa" w:w="4320"/>
          </w:tcPr>
          <w:p>
            <w:r>
              <w:rPr>
                <w:rFonts w:ascii="Calibri" w:hAnsi="Calibri"/>
                <w:sz w:val="20"/>
              </w:rPr>
              <w:t>4.0 / 10</w:t>
            </w:r>
          </w:p>
        </w:tc>
      </w:tr>
      <w:tr>
        <w:tc>
          <w:tcPr>
            <w:tcW w:type="dxa" w:w="5760"/>
            <w:shd w:val="clear" w:color="auto" w:fill="EEF2FF"/>
          </w:tcPr>
          <w:p>
            <w:r>
              <w:rPr>
                <w:rFonts w:ascii="Calibri" w:hAnsi="Calibri"/>
                <w:sz w:val="20"/>
              </w:rPr>
              <w:t>Median Rating</w:t>
            </w:r>
          </w:p>
        </w:tc>
        <w:tc>
          <w:tcPr>
            <w:tcW w:type="dxa" w:w="4320"/>
            <w:shd w:val="clear" w:color="auto" w:fill="EEF2FF"/>
          </w:tcPr>
          <w:p>
            <w:r>
              <w:rPr>
                <w:rFonts w:ascii="Calibri" w:hAnsi="Calibri"/>
                <w:sz w:val="20"/>
              </w:rPr>
              <w:t>7.0 / 10</w:t>
            </w:r>
          </w:p>
        </w:tc>
      </w:tr>
      <w:tr>
        <w:tc>
          <w:tcPr>
            <w:tcW w:type="dxa" w:w="5760"/>
          </w:tcPr>
          <w:p>
            <w:r>
              <w:rPr>
                <w:rFonts w:ascii="Calibri" w:hAnsi="Calibri"/>
                <w:sz w:val="20"/>
              </w:rPr>
              <w:t>Standard Deviation</w:t>
            </w:r>
          </w:p>
        </w:tc>
        <w:tc>
          <w:tcPr>
            <w:tcW w:type="dxa" w:w="4320"/>
          </w:tcPr>
          <w:p>
            <w:r>
              <w:rPr>
                <w:rFonts w:ascii="Calibri" w:hAnsi="Calibri"/>
                <w:sz w:val="20"/>
              </w:rPr>
              <w:t>1.72</w:t>
            </w:r>
          </w:p>
        </w:tc>
      </w:tr>
    </w:tbl>
    <w:p/>
    <w:p>
      <w:pPr>
        <w:spacing w:after="160"/>
        <w:jc w:val="center"/>
      </w:pPr>
      <w:r>
        <w:rPr>
          <w:rFonts w:ascii="Calibri" w:hAnsi="Calibri"/>
          <w:i/>
          <w:color w:val="555555"/>
          <w:sz w:val="18"/>
        </w:rPr>
        <w:t>Table 20.1: Rating Statistics</w:t>
      </w:r>
    </w:p>
    <w:p>
      <w:pPr>
        <w:pStyle w:val="Heading2"/>
        <w:spacing w:before="240" w:after="80"/>
      </w:pPr>
      <w:r>
        <w:rPr>
          <w:color w:val="2C3E7A"/>
        </w:rPr>
        <w:t>20.1 Rating by Product Line</w:t>
      </w:r>
    </w:p>
    <w:tbl>
      <w:tblPr>
        <w:tblStyle w:val="TableGrid"/>
        <w:tblW w:type="auto" w:w="0"/>
        <w:jc w:val="center"/>
        <w:tblLook w:firstColumn="1" w:firstRow="1" w:lastColumn="0" w:lastRow="0" w:noHBand="0" w:noVBand="1" w:val="04A0"/>
      </w:tblPr>
      <w:tblGrid>
        <w:gridCol w:w="4153"/>
        <w:gridCol w:w="4153"/>
      </w:tblGrid>
      <w:tr>
        <w:tc>
          <w:tcPr>
            <w:tcW w:type="dxa" w:w="5760"/>
            <w:shd w:val="clear" w:color="auto" w:fill="1A1A6E"/>
            <w:vAlign w:val="center"/>
          </w:tcPr>
          <w:p>
            <w:pPr>
              <w:jc w:val="center"/>
            </w:pPr>
            <w:r>
              <w:rPr>
                <w:b/>
                <w:color w:val="FFFFFF"/>
                <w:sz w:val="20"/>
              </w:rPr>
              <w:t>Product Line</w:t>
            </w:r>
          </w:p>
        </w:tc>
        <w:tc>
          <w:tcPr>
            <w:tcW w:type="dxa" w:w="4320"/>
            <w:shd w:val="clear" w:color="auto" w:fill="1A1A6E"/>
            <w:vAlign w:val="center"/>
          </w:tcPr>
          <w:p>
            <w:pPr>
              <w:jc w:val="center"/>
            </w:pPr>
            <w:r>
              <w:rPr>
                <w:b/>
                <w:color w:val="FFFFFF"/>
                <w:sz w:val="20"/>
              </w:rPr>
              <w:t>Avg Rating</w:t>
            </w:r>
          </w:p>
        </w:tc>
      </w:tr>
      <w:tr>
        <w:tc>
          <w:tcPr>
            <w:tcW w:type="dxa" w:w="5760"/>
          </w:tcPr>
          <w:p>
            <w:r>
              <w:rPr>
                <w:rFonts w:ascii="Calibri" w:hAnsi="Calibri"/>
                <w:sz w:val="20"/>
              </w:rPr>
              <w:t>Food and beverages</w:t>
            </w:r>
          </w:p>
        </w:tc>
        <w:tc>
          <w:tcPr>
            <w:tcW w:type="dxa" w:w="4320"/>
          </w:tcPr>
          <w:p>
            <w:r>
              <w:rPr>
                <w:rFonts w:ascii="Calibri" w:hAnsi="Calibri"/>
                <w:sz w:val="20"/>
              </w:rPr>
              <w:t>7.11/10</w:t>
            </w:r>
          </w:p>
        </w:tc>
      </w:tr>
      <w:tr>
        <w:tc>
          <w:tcPr>
            <w:tcW w:type="dxa" w:w="5760"/>
            <w:shd w:val="clear" w:color="auto" w:fill="EEF2FF"/>
          </w:tcPr>
          <w:p>
            <w:r>
              <w:rPr>
                <w:rFonts w:ascii="Calibri" w:hAnsi="Calibri"/>
                <w:sz w:val="20"/>
              </w:rPr>
              <w:t>Fashion accessories</w:t>
            </w:r>
          </w:p>
        </w:tc>
        <w:tc>
          <w:tcPr>
            <w:tcW w:type="dxa" w:w="4320"/>
            <w:shd w:val="clear" w:color="auto" w:fill="EEF2FF"/>
          </w:tcPr>
          <w:p>
            <w:r>
              <w:rPr>
                <w:rFonts w:ascii="Calibri" w:hAnsi="Calibri"/>
                <w:sz w:val="20"/>
              </w:rPr>
              <w:t>7.03/10</w:t>
            </w:r>
          </w:p>
        </w:tc>
      </w:tr>
      <w:tr>
        <w:tc>
          <w:tcPr>
            <w:tcW w:type="dxa" w:w="5760"/>
          </w:tcPr>
          <w:p>
            <w:r>
              <w:rPr>
                <w:rFonts w:ascii="Calibri" w:hAnsi="Calibri"/>
                <w:sz w:val="20"/>
              </w:rPr>
              <w:t>Health and beauty</w:t>
            </w:r>
          </w:p>
        </w:tc>
        <w:tc>
          <w:tcPr>
            <w:tcW w:type="dxa" w:w="4320"/>
          </w:tcPr>
          <w:p>
            <w:r>
              <w:rPr>
                <w:rFonts w:ascii="Calibri" w:hAnsi="Calibri"/>
                <w:sz w:val="20"/>
              </w:rPr>
              <w:t>7.00/10</w:t>
            </w:r>
          </w:p>
        </w:tc>
      </w:tr>
      <w:tr>
        <w:tc>
          <w:tcPr>
            <w:tcW w:type="dxa" w:w="5760"/>
            <w:shd w:val="clear" w:color="auto" w:fill="EEF2FF"/>
          </w:tcPr>
          <w:p>
            <w:r>
              <w:rPr>
                <w:rFonts w:ascii="Calibri" w:hAnsi="Calibri"/>
                <w:sz w:val="20"/>
              </w:rPr>
              <w:t>Electronic accessories</w:t>
            </w:r>
          </w:p>
        </w:tc>
        <w:tc>
          <w:tcPr>
            <w:tcW w:type="dxa" w:w="4320"/>
            <w:shd w:val="clear" w:color="auto" w:fill="EEF2FF"/>
          </w:tcPr>
          <w:p>
            <w:r>
              <w:rPr>
                <w:rFonts w:ascii="Calibri" w:hAnsi="Calibri"/>
                <w:sz w:val="20"/>
              </w:rPr>
              <w:t>6.92/10</w:t>
            </w:r>
          </w:p>
        </w:tc>
      </w:tr>
      <w:tr>
        <w:tc>
          <w:tcPr>
            <w:tcW w:type="dxa" w:w="5760"/>
          </w:tcPr>
          <w:p>
            <w:r>
              <w:rPr>
                <w:rFonts w:ascii="Calibri" w:hAnsi="Calibri"/>
                <w:sz w:val="20"/>
              </w:rPr>
              <w:t>Sports and travel</w:t>
            </w:r>
          </w:p>
        </w:tc>
        <w:tc>
          <w:tcPr>
            <w:tcW w:type="dxa" w:w="4320"/>
          </w:tcPr>
          <w:p>
            <w:r>
              <w:rPr>
                <w:rFonts w:ascii="Calibri" w:hAnsi="Calibri"/>
                <w:sz w:val="20"/>
              </w:rPr>
              <w:t>6.92/10</w:t>
            </w:r>
          </w:p>
        </w:tc>
      </w:tr>
      <w:tr>
        <w:tc>
          <w:tcPr>
            <w:tcW w:type="dxa" w:w="5760"/>
            <w:shd w:val="clear" w:color="auto" w:fill="EEF2FF"/>
          </w:tcPr>
          <w:p>
            <w:r>
              <w:rPr>
                <w:rFonts w:ascii="Calibri" w:hAnsi="Calibri"/>
                <w:sz w:val="20"/>
              </w:rPr>
              <w:t>Home and lifestyle</w:t>
            </w:r>
          </w:p>
        </w:tc>
        <w:tc>
          <w:tcPr>
            <w:tcW w:type="dxa" w:w="4320"/>
            <w:shd w:val="clear" w:color="auto" w:fill="EEF2FF"/>
          </w:tcPr>
          <w:p>
            <w:r>
              <w:rPr>
                <w:rFonts w:ascii="Calibri" w:hAnsi="Calibri"/>
                <w:sz w:val="20"/>
              </w:rPr>
              <w:t>6.84/10</w:t>
            </w:r>
          </w:p>
        </w:tc>
      </w:tr>
    </w:tbl>
    <w:p/>
    <w:p>
      <w:pPr>
        <w:spacing w:after="160"/>
        <w:jc w:val="center"/>
      </w:pPr>
      <w:r>
        <w:rPr>
          <w:rFonts w:ascii="Calibri" w:hAnsi="Calibri"/>
          <w:i/>
          <w:color w:val="555555"/>
          <w:sz w:val="18"/>
        </w:rPr>
        <w:t>Table 20.2: Average Rating by Product Line</w:t>
      </w:r>
    </w:p>
    <w:p>
      <w:pPr>
        <w:spacing w:after="120" w:line="360" w:lineRule="auto"/>
      </w:pPr>
      <w:r>
        <w:rPr>
          <w:rFonts w:ascii="Calibri" w:hAnsi="Calibri"/>
          <w:b w:val="0"/>
          <w:i w:val="0"/>
          <w:sz w:val="22"/>
        </w:rPr>
        <w:t>Food and Beverages has the highest average rating (7.11/10), while Home and Lifestyle has the lowest (6.84/10).</w:t>
      </w:r>
    </w:p>
    <w:p>
      <w:pPr>
        <w:pStyle w:val="Heading2"/>
        <w:spacing w:before="240" w:after="80"/>
      </w:pPr>
      <w:r>
        <w:rPr>
          <w:color w:val="2C3E7A"/>
        </w:rPr>
        <w:t>20.2 Rating by Branch</w:t>
      </w:r>
    </w:p>
    <w:tbl>
      <w:tblPr>
        <w:tblStyle w:val="TableGrid"/>
        <w:tblW w:type="auto" w:w="0"/>
        <w:jc w:val="center"/>
        <w:tblLook w:firstColumn="1" w:firstRow="1" w:lastColumn="0" w:lastRow="0" w:noHBand="0" w:noVBand="1" w:val="04A0"/>
      </w:tblPr>
      <w:tblGrid>
        <w:gridCol w:w="4153"/>
        <w:gridCol w:w="4153"/>
      </w:tblGrid>
      <w:tr>
        <w:tc>
          <w:tcPr>
            <w:tcW w:type="dxa" w:w="5760"/>
            <w:shd w:val="clear" w:color="auto" w:fill="1A1A6E"/>
            <w:vAlign w:val="center"/>
          </w:tcPr>
          <w:p>
            <w:pPr>
              <w:jc w:val="center"/>
            </w:pPr>
            <w:r>
              <w:rPr>
                <w:b/>
                <w:color w:val="FFFFFF"/>
                <w:sz w:val="20"/>
              </w:rPr>
              <w:t>Branch</w:t>
            </w:r>
          </w:p>
        </w:tc>
        <w:tc>
          <w:tcPr>
            <w:tcW w:type="dxa" w:w="4320"/>
            <w:shd w:val="clear" w:color="auto" w:fill="1A1A6E"/>
            <w:vAlign w:val="center"/>
          </w:tcPr>
          <w:p>
            <w:pPr>
              <w:jc w:val="center"/>
            </w:pPr>
            <w:r>
              <w:rPr>
                <w:b/>
                <w:color w:val="FFFFFF"/>
                <w:sz w:val="20"/>
              </w:rPr>
              <w:t>Avg Rating</w:t>
            </w:r>
          </w:p>
        </w:tc>
      </w:tr>
      <w:tr>
        <w:tc>
          <w:tcPr>
            <w:tcW w:type="dxa" w:w="5760"/>
          </w:tcPr>
          <w:p>
            <w:r>
              <w:rPr>
                <w:rFonts w:ascii="Calibri" w:hAnsi="Calibri"/>
                <w:sz w:val="20"/>
              </w:rPr>
              <w:t>Giza</w:t>
            </w:r>
          </w:p>
        </w:tc>
        <w:tc>
          <w:tcPr>
            <w:tcW w:type="dxa" w:w="4320"/>
          </w:tcPr>
          <w:p>
            <w:r>
              <w:rPr>
                <w:rFonts w:ascii="Calibri" w:hAnsi="Calibri"/>
                <w:sz w:val="20"/>
              </w:rPr>
              <w:t>7.07/10</w:t>
            </w:r>
          </w:p>
        </w:tc>
      </w:tr>
      <w:tr>
        <w:tc>
          <w:tcPr>
            <w:tcW w:type="dxa" w:w="5760"/>
            <w:shd w:val="clear" w:color="auto" w:fill="EEF2FF"/>
          </w:tcPr>
          <w:p>
            <w:r>
              <w:rPr>
                <w:rFonts w:ascii="Calibri" w:hAnsi="Calibri"/>
                <w:sz w:val="20"/>
              </w:rPr>
              <w:t>Alex</w:t>
            </w:r>
          </w:p>
        </w:tc>
        <w:tc>
          <w:tcPr>
            <w:tcW w:type="dxa" w:w="4320"/>
            <w:shd w:val="clear" w:color="auto" w:fill="EEF2FF"/>
          </w:tcPr>
          <w:p>
            <w:r>
              <w:rPr>
                <w:rFonts w:ascii="Calibri" w:hAnsi="Calibri"/>
                <w:sz w:val="20"/>
              </w:rPr>
              <w:t>7.03/10</w:t>
            </w:r>
          </w:p>
        </w:tc>
      </w:tr>
      <w:tr>
        <w:tc>
          <w:tcPr>
            <w:tcW w:type="dxa" w:w="5760"/>
          </w:tcPr>
          <w:p>
            <w:r>
              <w:rPr>
                <w:rFonts w:ascii="Calibri" w:hAnsi="Calibri"/>
                <w:sz w:val="20"/>
              </w:rPr>
              <w:t>Cairo</w:t>
            </w:r>
          </w:p>
        </w:tc>
        <w:tc>
          <w:tcPr>
            <w:tcW w:type="dxa" w:w="4320"/>
          </w:tcPr>
          <w:p>
            <w:r>
              <w:rPr>
                <w:rFonts w:ascii="Calibri" w:hAnsi="Calibri"/>
                <w:sz w:val="20"/>
              </w:rPr>
              <w:t>6.82/10</w:t>
            </w:r>
          </w:p>
        </w:tc>
      </w:tr>
    </w:tbl>
    <w:p/>
    <w:p>
      <w:pPr>
        <w:spacing w:after="160"/>
        <w:jc w:val="center"/>
      </w:pPr>
      <w:r>
        <w:rPr>
          <w:rFonts w:ascii="Calibri" w:hAnsi="Calibri"/>
          <w:i/>
          <w:color w:val="555555"/>
          <w:sz w:val="18"/>
        </w:rPr>
        <w:t>Table 20.3: Average Rating by Branch</w:t>
      </w:r>
    </w:p>
    <w:p>
      <w:r>
        <w:br w:type="page"/>
      </w:r>
    </w:p>
    <w:p>
      <w:pPr>
        <w:pStyle w:val="Heading1"/>
        <w:spacing w:before="360" w:after="120"/>
      </w:pPr>
      <w:r>
        <w:rPr>
          <w:color w:val="1A1A6E"/>
        </w:rPr>
        <w:t>21. Interactive Dashboard Features</w:t>
      </w:r>
    </w:p>
    <w:p>
      <w:pPr>
        <w:spacing w:after="120" w:line="360" w:lineRule="auto"/>
      </w:pPr>
      <w:r>
        <w:rPr>
          <w:rFonts w:ascii="Calibri" w:hAnsi="Calibri"/>
          <w:b w:val="0"/>
          <w:i w:val="0"/>
          <w:sz w:val="22"/>
        </w:rPr>
        <w:t>The dashboard is built using Streamlit (app.py, 583 lines) and provides a rich, interactive user experience. The following section documents all implemented features.</w:t>
      </w:r>
    </w:p>
    <w:p>
      <w:pPr>
        <w:pStyle w:val="Heading2"/>
        <w:spacing w:before="240" w:after="80"/>
      </w:pPr>
      <w:r>
        <w:rPr>
          <w:color w:val="2C3E7A"/>
        </w:rPr>
        <w:t>21.1 Sidebar — Data Source and Filters</w:t>
      </w:r>
    </w:p>
    <w:p>
      <w:pPr>
        <w:spacing w:after="120" w:line="360" w:lineRule="auto"/>
      </w:pPr>
      <w:r>
        <w:rPr>
          <w:rFonts w:ascii="Calibri" w:hAnsi="Calibri"/>
          <w:b w:val="0"/>
          <w:i w:val="0"/>
          <w:sz w:val="22"/>
        </w:rPr>
        <w:t>The left sidebar provides:</w:t>
      </w:r>
    </w:p>
    <w:p>
      <w:pPr>
        <w:pStyle w:val="ListBullet"/>
        <w:spacing w:after="60"/>
      </w:pPr>
      <w:r>
        <w:rPr>
          <w:rFonts w:ascii="Calibri" w:hAnsi="Calibri"/>
          <w:sz w:val="22"/>
        </w:rPr>
        <w:t>CSV File Uploader: Users can upload a compatible supermarket CSV to replace the default dataset. The application validates the schema and warns about missing columns.</w:t>
      </w:r>
    </w:p>
    <w:p>
      <w:pPr>
        <w:pStyle w:val="ListBullet"/>
        <w:spacing w:after="60"/>
      </w:pPr>
      <w:r>
        <w:rPr>
          <w:rFonts w:ascii="Calibri" w:hAnsi="Calibri"/>
          <w:sz w:val="22"/>
        </w:rPr>
        <w:t>Date Range Filter: An interactive date picker allowing users to select a custom date range. Filters the displayed data to the selected period.</w:t>
      </w:r>
    </w:p>
    <w:p>
      <w:pPr>
        <w:pStyle w:val="ListBullet"/>
        <w:spacing w:after="60"/>
      </w:pPr>
      <w:r>
        <w:rPr>
          <w:rFonts w:ascii="Calibri" w:hAnsi="Calibri"/>
          <w:sz w:val="22"/>
        </w:rPr>
        <w:t>Branch Filter: Multi-select widget for selecting one or more branches (Alex, Giza, Cairo).</w:t>
      </w:r>
    </w:p>
    <w:p>
      <w:pPr>
        <w:pStyle w:val="ListBullet"/>
        <w:spacing w:after="60"/>
      </w:pPr>
      <w:r>
        <w:rPr>
          <w:rFonts w:ascii="Calibri" w:hAnsi="Calibri"/>
          <w:sz w:val="22"/>
        </w:rPr>
        <w:t>City Filter: Multi-select widget for selecting one or more cities (Yangon, Naypyitaw, Mandalay).</w:t>
      </w:r>
    </w:p>
    <w:p>
      <w:pPr>
        <w:pStyle w:val="ListBullet"/>
        <w:spacing w:after="60"/>
      </w:pPr>
      <w:r>
        <w:rPr>
          <w:rFonts w:ascii="Calibri" w:hAnsi="Calibri"/>
          <w:sz w:val="22"/>
        </w:rPr>
        <w:t>Customer Type Filter: Multi-select for Member and/or Normal customers.</w:t>
      </w:r>
    </w:p>
    <w:p>
      <w:pPr>
        <w:pStyle w:val="ListBullet"/>
        <w:spacing w:after="60"/>
      </w:pPr>
      <w:r>
        <w:rPr>
          <w:rFonts w:ascii="Calibri" w:hAnsi="Calibri"/>
          <w:sz w:val="22"/>
        </w:rPr>
        <w:t>Gender Filter: Multi-select for Female and/or Male customers.</w:t>
      </w:r>
    </w:p>
    <w:p>
      <w:pPr>
        <w:pStyle w:val="ListBullet"/>
        <w:spacing w:after="60"/>
      </w:pPr>
      <w:r>
        <w:rPr>
          <w:rFonts w:ascii="Calibri" w:hAnsi="Calibri"/>
          <w:sz w:val="22"/>
        </w:rPr>
        <w:t>Product Line Filter: Multi-select for any combination of the six product lines.</w:t>
      </w:r>
    </w:p>
    <w:p>
      <w:pPr>
        <w:pStyle w:val="ListBullet"/>
        <w:spacing w:after="60"/>
      </w:pPr>
      <w:r>
        <w:rPr>
          <w:rFonts w:ascii="Calibri" w:hAnsi="Calibri"/>
          <w:sz w:val="22"/>
        </w:rPr>
        <w:t>Payment Method Filter: Multi-select for Ewallet, Cash, and/or Credit card transactions.</w:t>
      </w:r>
    </w:p>
    <w:p>
      <w:pPr>
        <w:pStyle w:val="ListBullet"/>
        <w:spacing w:after="60"/>
      </w:pPr>
      <w:r>
        <w:rPr>
          <w:rFonts w:ascii="Calibri" w:hAnsi="Calibri"/>
          <w:sz w:val="22"/>
        </w:rPr>
        <w:t>Reset Filters Button: One-click button (st.rerun()) that resets all filters to their default (full dataset) state.</w:t>
      </w:r>
    </w:p>
    <w:p>
      <w:pPr>
        <w:pStyle w:val="ListBullet"/>
        <w:spacing w:after="60"/>
      </w:pPr>
      <w:r>
        <w:rPr>
          <w:rFonts w:ascii="Calibri" w:hAnsi="Calibri"/>
          <w:sz w:val="22"/>
        </w:rPr>
        <w:t>Record Counter: Displays 'Showing X / 1,000 records' to inform the user of the current filter scope.</w:t>
      </w:r>
    </w:p>
    <w:p>
      <w:pPr>
        <w:pStyle w:val="Heading2"/>
        <w:spacing w:before="240" w:after="80"/>
      </w:pPr>
      <w:r>
        <w:rPr>
          <w:color w:val="2C3E7A"/>
        </w:rPr>
        <w:t>21.2 Analytics Tabs</w:t>
      </w:r>
    </w:p>
    <w:tbl>
      <w:tblPr>
        <w:tblStyle w:val="TableGrid"/>
        <w:tblW w:type="auto" w:w="0"/>
        <w:jc w:val="center"/>
        <w:tblLook w:firstColumn="1" w:firstRow="1" w:lastColumn="0" w:lastRow="0" w:noHBand="0" w:noVBand="1" w:val="04A0"/>
      </w:tblPr>
      <w:tblGrid>
        <w:gridCol w:w="2769"/>
        <w:gridCol w:w="2769"/>
        <w:gridCol w:w="2769"/>
      </w:tblGrid>
      <w:tr>
        <w:tc>
          <w:tcPr>
            <w:tcW w:type="dxa" w:w="720"/>
            <w:shd w:val="clear" w:color="auto" w:fill="1A1A6E"/>
            <w:vAlign w:val="center"/>
          </w:tcPr>
          <w:p>
            <w:pPr>
              <w:jc w:val="center"/>
            </w:pPr>
            <w:r>
              <w:rPr>
                <w:b/>
                <w:color w:val="FFFFFF"/>
                <w:sz w:val="20"/>
              </w:rPr>
              <w:t>Tab</w:t>
            </w:r>
          </w:p>
        </w:tc>
        <w:tc>
          <w:tcPr>
            <w:tcW w:type="dxa" w:w="2160"/>
            <w:shd w:val="clear" w:color="auto" w:fill="1A1A6E"/>
            <w:vAlign w:val="center"/>
          </w:tcPr>
          <w:p>
            <w:pPr>
              <w:jc w:val="center"/>
            </w:pPr>
            <w:r>
              <w:rPr>
                <w:b/>
                <w:color w:val="FFFFFF"/>
                <w:sz w:val="20"/>
              </w:rPr>
              <w:t>Title</w:t>
            </w:r>
          </w:p>
        </w:tc>
        <w:tc>
          <w:tcPr>
            <w:tcW w:type="dxa" w:w="7200"/>
            <w:shd w:val="clear" w:color="auto" w:fill="1A1A6E"/>
            <w:vAlign w:val="center"/>
          </w:tcPr>
          <w:p>
            <w:pPr>
              <w:jc w:val="center"/>
            </w:pPr>
            <w:r>
              <w:rPr>
                <w:b/>
                <w:color w:val="FFFFFF"/>
                <w:sz w:val="20"/>
              </w:rPr>
              <w:t>Key Features</w:t>
            </w:r>
          </w:p>
        </w:tc>
      </w:tr>
      <w:tr>
        <w:tc>
          <w:tcPr>
            <w:tcW w:type="dxa" w:w="720"/>
          </w:tcPr>
          <w:p>
            <w:r>
              <w:rPr>
                <w:rFonts w:ascii="Calibri" w:hAnsi="Calibri"/>
                <w:sz w:val="20"/>
              </w:rPr>
              <w:t>Tab 1</w:t>
            </w:r>
          </w:p>
        </w:tc>
        <w:tc>
          <w:tcPr>
            <w:tcW w:type="dxa" w:w="2160"/>
          </w:tcPr>
          <w:p>
            <w:r>
              <w:rPr>
                <w:rFonts w:ascii="Calibri" w:hAnsi="Calibri"/>
                <w:sz w:val="20"/>
              </w:rPr>
              <w:t>Overview</w:t>
            </w:r>
          </w:p>
        </w:tc>
        <w:tc>
          <w:tcPr>
            <w:tcW w:type="dxa" w:w="7200"/>
          </w:tcPr>
          <w:p>
            <w:r>
              <w:rPr>
                <w:rFonts w:ascii="Calibri" w:hAnsi="Calibri"/>
                <w:sz w:val="20"/>
              </w:rPr>
              <w:t>8 KPI cards, daily sales trend, product line sunburst pie, sales by branch/city, auto-generated business insights</w:t>
            </w:r>
          </w:p>
        </w:tc>
      </w:tr>
      <w:tr>
        <w:tc>
          <w:tcPr>
            <w:tcW w:type="dxa" w:w="720"/>
            <w:shd w:val="clear" w:color="auto" w:fill="EEF2FF"/>
          </w:tcPr>
          <w:p>
            <w:r>
              <w:rPr>
                <w:rFonts w:ascii="Calibri" w:hAnsi="Calibri"/>
                <w:sz w:val="20"/>
              </w:rPr>
              <w:t>Tab 2</w:t>
            </w:r>
          </w:p>
        </w:tc>
        <w:tc>
          <w:tcPr>
            <w:tcW w:type="dxa" w:w="2160"/>
            <w:shd w:val="clear" w:color="auto" w:fill="EEF2FF"/>
          </w:tcPr>
          <w:p>
            <w:r>
              <w:rPr>
                <w:rFonts w:ascii="Calibri" w:hAnsi="Calibri"/>
                <w:sz w:val="20"/>
              </w:rPr>
              <w:t>Sales Analytics</w:t>
            </w:r>
          </w:p>
        </w:tc>
        <w:tc>
          <w:tcPr>
            <w:tcW w:type="dxa" w:w="7200"/>
            <w:shd w:val="clear" w:color="auto" w:fill="EEF2FF"/>
          </w:tcPr>
          <w:p>
            <w:r>
              <w:rPr>
                <w:rFonts w:ascii="Calibri" w:hAnsi="Calibri"/>
                <w:sz w:val="20"/>
              </w:rPr>
              <w:t>Daily trend, sales by product line, branch, customer type, gender, payment, quantity by product line, avg price by product line, sales by city</w:t>
            </w:r>
          </w:p>
        </w:tc>
      </w:tr>
      <w:tr>
        <w:tc>
          <w:tcPr>
            <w:tcW w:type="dxa" w:w="720"/>
          </w:tcPr>
          <w:p>
            <w:r>
              <w:rPr>
                <w:rFonts w:ascii="Calibri" w:hAnsi="Calibri"/>
                <w:sz w:val="20"/>
              </w:rPr>
              <w:t>Tab 3</w:t>
            </w:r>
          </w:p>
        </w:tc>
        <w:tc>
          <w:tcPr>
            <w:tcW w:type="dxa" w:w="2160"/>
          </w:tcPr>
          <w:p>
            <w:r>
              <w:rPr>
                <w:rFonts w:ascii="Calibri" w:hAnsi="Calibri"/>
                <w:sz w:val="20"/>
              </w:rPr>
              <w:t>Product Analytics</w:t>
            </w:r>
          </w:p>
        </w:tc>
        <w:tc>
          <w:tcPr>
            <w:tcW w:type="dxa" w:w="7200"/>
          </w:tcPr>
          <w:p>
            <w:r>
              <w:rPr>
                <w:rFonts w:ascii="Calibri" w:hAnsi="Calibri"/>
                <w:sz w:val="20"/>
              </w:rPr>
              <w:t>Product line sunburst, units sold, top/bottom 5 by sales, avg unit price, gross income by product line, Pareto chart</w:t>
            </w:r>
          </w:p>
        </w:tc>
      </w:tr>
      <w:tr>
        <w:tc>
          <w:tcPr>
            <w:tcW w:type="dxa" w:w="720"/>
            <w:shd w:val="clear" w:color="auto" w:fill="EEF2FF"/>
          </w:tcPr>
          <w:p>
            <w:r>
              <w:rPr>
                <w:rFonts w:ascii="Calibri" w:hAnsi="Calibri"/>
                <w:sz w:val="20"/>
              </w:rPr>
              <w:t>Tab 4</w:t>
            </w:r>
          </w:p>
        </w:tc>
        <w:tc>
          <w:tcPr>
            <w:tcW w:type="dxa" w:w="2160"/>
            <w:shd w:val="clear" w:color="auto" w:fill="EEF2FF"/>
          </w:tcPr>
          <w:p>
            <w:r>
              <w:rPr>
                <w:rFonts w:ascii="Calibri" w:hAnsi="Calibri"/>
                <w:sz w:val="20"/>
              </w:rPr>
              <w:t>Customer Analytics</w:t>
            </w:r>
          </w:p>
        </w:tc>
        <w:tc>
          <w:tcPr>
            <w:tcW w:type="dxa" w:w="7200"/>
            <w:shd w:val="clear" w:color="auto" w:fill="EEF2FF"/>
          </w:tcPr>
          <w:p>
            <w:r>
              <w:rPr>
                <w:rFonts w:ascii="Calibri" w:hAnsi="Calibri"/>
                <w:sz w:val="20"/>
              </w:rPr>
              <w:t>Gender sales pie, customer type sales pie, avg transaction by type, quantity by type, sales by gender × product line, avg rating by type</w:t>
            </w:r>
          </w:p>
        </w:tc>
      </w:tr>
      <w:tr>
        <w:tc>
          <w:tcPr>
            <w:tcW w:type="dxa" w:w="720"/>
          </w:tcPr>
          <w:p>
            <w:r>
              <w:rPr>
                <w:rFonts w:ascii="Calibri" w:hAnsi="Calibri"/>
                <w:sz w:val="20"/>
              </w:rPr>
              <w:t>Tab 5</w:t>
            </w:r>
          </w:p>
        </w:tc>
        <w:tc>
          <w:tcPr>
            <w:tcW w:type="dxa" w:w="2160"/>
          </w:tcPr>
          <w:p>
            <w:r>
              <w:rPr>
                <w:rFonts w:ascii="Calibri" w:hAnsi="Calibri"/>
                <w:sz w:val="20"/>
              </w:rPr>
              <w:t>Profit Analysis</w:t>
            </w:r>
          </w:p>
        </w:tc>
        <w:tc>
          <w:tcPr>
            <w:tcW w:type="dxa" w:w="7200"/>
          </w:tcPr>
          <w:p>
            <w:r>
              <w:rPr>
                <w:rFonts w:ascii="Calibri" w:hAnsi="Calibri"/>
                <w:sz w:val="20"/>
              </w:rPr>
              <w:t>Gross income KPIs, gross income by product line/branch, daily trend, gross income vs sales scatter, COGS vs gross income scatter, COGS by product line</w:t>
            </w:r>
          </w:p>
        </w:tc>
      </w:tr>
      <w:tr>
        <w:tc>
          <w:tcPr>
            <w:tcW w:type="dxa" w:w="720"/>
            <w:shd w:val="clear" w:color="auto" w:fill="EEF2FF"/>
          </w:tcPr>
          <w:p>
            <w:r>
              <w:rPr>
                <w:rFonts w:ascii="Calibri" w:hAnsi="Calibri"/>
                <w:sz w:val="20"/>
              </w:rPr>
              <w:t>Tab 6</w:t>
            </w:r>
          </w:p>
        </w:tc>
        <w:tc>
          <w:tcPr>
            <w:tcW w:type="dxa" w:w="2160"/>
            <w:shd w:val="clear" w:color="auto" w:fill="EEF2FF"/>
          </w:tcPr>
          <w:p>
            <w:r>
              <w:rPr>
                <w:rFonts w:ascii="Calibri" w:hAnsi="Calibri"/>
                <w:sz w:val="20"/>
              </w:rPr>
              <w:t>Time Analysis</w:t>
            </w:r>
          </w:p>
        </w:tc>
        <w:tc>
          <w:tcPr>
            <w:tcW w:type="dxa" w:w="7200"/>
            <w:shd w:val="clear" w:color="auto" w:fill="EEF2FF"/>
          </w:tcPr>
          <w:p>
            <w:r>
              <w:rPr>
                <w:rFonts w:ascii="Calibri" w:hAnsi="Calibri"/>
                <w:sz w:val="20"/>
              </w:rPr>
              <w:t>Peak hour KPI, best day KPI, best month KPI, hourly sales bar, sales by day of week, monthly sales line, daily trend, quantity by hour, gross income by hour</w:t>
            </w:r>
          </w:p>
        </w:tc>
      </w:tr>
      <w:tr>
        <w:tc>
          <w:tcPr>
            <w:tcW w:type="dxa" w:w="720"/>
          </w:tcPr>
          <w:p>
            <w:r>
              <w:rPr>
                <w:rFonts w:ascii="Calibri" w:hAnsi="Calibri"/>
                <w:sz w:val="20"/>
              </w:rPr>
              <w:t>Tab 7</w:t>
            </w:r>
          </w:p>
        </w:tc>
        <w:tc>
          <w:tcPr>
            <w:tcW w:type="dxa" w:w="2160"/>
          </w:tcPr>
          <w:p>
            <w:r>
              <w:rPr>
                <w:rFonts w:ascii="Calibri" w:hAnsi="Calibri"/>
                <w:sz w:val="20"/>
              </w:rPr>
              <w:t>Payment Analysis</w:t>
            </w:r>
          </w:p>
        </w:tc>
        <w:tc>
          <w:tcPr>
            <w:tcW w:type="dxa" w:w="7200"/>
          </w:tcPr>
          <w:p>
            <w:r>
              <w:rPr>
                <w:rFonts w:ascii="Calibri" w:hAnsi="Calibri"/>
                <w:sz w:val="20"/>
              </w:rPr>
              <w:t>Payment donut, transaction count bar, total sales by payment, avg transaction by payment, expandable payment summary table</w:t>
            </w:r>
          </w:p>
        </w:tc>
      </w:tr>
      <w:tr>
        <w:tc>
          <w:tcPr>
            <w:tcW w:type="dxa" w:w="720"/>
            <w:shd w:val="clear" w:color="auto" w:fill="EEF2FF"/>
          </w:tcPr>
          <w:p>
            <w:r>
              <w:rPr>
                <w:rFonts w:ascii="Calibri" w:hAnsi="Calibri"/>
                <w:sz w:val="20"/>
              </w:rPr>
              <w:t>Tab 8</w:t>
            </w:r>
          </w:p>
        </w:tc>
        <w:tc>
          <w:tcPr>
            <w:tcW w:type="dxa" w:w="2160"/>
            <w:shd w:val="clear" w:color="auto" w:fill="EEF2FF"/>
          </w:tcPr>
          <w:p>
            <w:r>
              <w:rPr>
                <w:rFonts w:ascii="Calibri" w:hAnsi="Calibri"/>
                <w:sz w:val="20"/>
              </w:rPr>
              <w:t>Branch &amp; Location</w:t>
            </w:r>
          </w:p>
        </w:tc>
        <w:tc>
          <w:tcPr>
            <w:tcW w:type="dxa" w:w="7200"/>
            <w:shd w:val="clear" w:color="auto" w:fill="EEF2FF"/>
          </w:tcPr>
          <w:p>
            <w:r>
              <w:rPr>
                <w:rFonts w:ascii="Calibri" w:hAnsi="Calibri"/>
                <w:sz w:val="20"/>
              </w:rPr>
              <w:t>Best branch insight card, sales by branch, gross income by branch, quantity by branch, avg rating by branch, product line × branch grouped bar, sales by city</w:t>
            </w:r>
          </w:p>
        </w:tc>
      </w:tr>
      <w:tr>
        <w:tc>
          <w:tcPr>
            <w:tcW w:type="dxa" w:w="720"/>
          </w:tcPr>
          <w:p>
            <w:r>
              <w:rPr>
                <w:rFonts w:ascii="Calibri" w:hAnsi="Calibri"/>
                <w:sz w:val="20"/>
              </w:rPr>
              <w:t>Tab 9</w:t>
            </w:r>
          </w:p>
        </w:tc>
        <w:tc>
          <w:tcPr>
            <w:tcW w:type="dxa" w:w="2160"/>
          </w:tcPr>
          <w:p>
            <w:r>
              <w:rPr>
                <w:rFonts w:ascii="Calibri" w:hAnsi="Calibri"/>
                <w:sz w:val="20"/>
              </w:rPr>
              <w:t>Ratings</w:t>
            </w:r>
          </w:p>
        </w:tc>
        <w:tc>
          <w:tcPr>
            <w:tcW w:type="dxa" w:w="7200"/>
          </w:tcPr>
          <w:p>
            <w:r>
              <w:rPr>
                <w:rFonts w:ascii="Calibri" w:hAnsi="Calibri"/>
                <w:sz w:val="20"/>
              </w:rPr>
              <w:t>Avg/max/min rating KPIs, rating histogram, avg rating by product line, avg rating by branch, rating vs sales scatter, avg rating by gender</w:t>
            </w:r>
          </w:p>
        </w:tc>
      </w:tr>
      <w:tr>
        <w:tc>
          <w:tcPr>
            <w:tcW w:type="dxa" w:w="720"/>
            <w:shd w:val="clear" w:color="auto" w:fill="EEF2FF"/>
          </w:tcPr>
          <w:p>
            <w:r>
              <w:rPr>
                <w:rFonts w:ascii="Calibri" w:hAnsi="Calibri"/>
                <w:sz w:val="20"/>
              </w:rPr>
              <w:t>Tab 10</w:t>
            </w:r>
          </w:p>
        </w:tc>
        <w:tc>
          <w:tcPr>
            <w:tcW w:type="dxa" w:w="2160"/>
            <w:shd w:val="clear" w:color="auto" w:fill="EEF2FF"/>
          </w:tcPr>
          <w:p>
            <w:r>
              <w:rPr>
                <w:rFonts w:ascii="Calibri" w:hAnsi="Calibri"/>
                <w:sz w:val="20"/>
              </w:rPr>
              <w:t>Advanced Analytics</w:t>
            </w:r>
          </w:p>
        </w:tc>
        <w:tc>
          <w:tcPr>
            <w:tcW w:type="dxa" w:w="7200"/>
            <w:shd w:val="clear" w:color="auto" w:fill="EEF2FF"/>
          </w:tcPr>
          <w:p>
            <w:r>
              <w:rPr>
                <w:rFonts w:ascii="Calibri" w:hAnsi="Calibri"/>
                <w:sz w:val="20"/>
              </w:rPr>
              <w:t>Unit price histogram, price vs quantity scatter, price vs sales scatter, correlation heatmap, Pareto by product line (sales &amp; gross income), sales contribution % bar, sales vs quantity scatter</w:t>
            </w:r>
          </w:p>
        </w:tc>
      </w:tr>
      <w:tr>
        <w:tc>
          <w:tcPr>
            <w:tcW w:type="dxa" w:w="720"/>
          </w:tcPr>
          <w:p>
            <w:r>
              <w:rPr>
                <w:rFonts w:ascii="Calibri" w:hAnsi="Calibri"/>
                <w:sz w:val="20"/>
              </w:rPr>
              <w:t>Tab 11</w:t>
            </w:r>
          </w:p>
        </w:tc>
        <w:tc>
          <w:tcPr>
            <w:tcW w:type="dxa" w:w="2160"/>
          </w:tcPr>
          <w:p>
            <w:r>
              <w:rPr>
                <w:rFonts w:ascii="Calibri" w:hAnsi="Calibri"/>
                <w:sz w:val="20"/>
              </w:rPr>
              <w:t>Data Explorer</w:t>
            </w:r>
          </w:p>
        </w:tc>
        <w:tc>
          <w:tcPr>
            <w:tcW w:type="dxa" w:w="7200"/>
          </w:tcPr>
          <w:p>
            <w:r>
              <w:rPr>
                <w:rFonts w:ascii="Calibri" w:hAnsi="Calibri"/>
                <w:sz w:val="20"/>
              </w:rPr>
              <w:t>Raw data quality KPIs, cleaning log, missing values by column, column info &amp; data types, filtered dataframe table, descriptive statistics, unique values, CSV download button</w:t>
            </w:r>
          </w:p>
        </w:tc>
      </w:tr>
    </w:tbl>
    <w:p/>
    <w:p>
      <w:pPr>
        <w:spacing w:after="160"/>
        <w:jc w:val="center"/>
      </w:pPr>
      <w:r>
        <w:rPr>
          <w:rFonts w:ascii="Calibri" w:hAnsi="Calibri"/>
          <w:i/>
          <w:color w:val="555555"/>
          <w:sz w:val="18"/>
        </w:rPr>
        <w:t>Table 21.1: Dashboard Analytics Tabs</w:t>
      </w:r>
    </w:p>
    <w:p>
      <w:pPr>
        <w:pStyle w:val="Heading2"/>
        <w:spacing w:before="240" w:after="80"/>
      </w:pPr>
      <w:r>
        <w:rPr>
          <w:color w:val="2C3E7A"/>
        </w:rPr>
        <w:t>21.3 KPI Cards</w:t>
      </w:r>
    </w:p>
    <w:p>
      <w:pPr>
        <w:spacing w:after="120" w:line="360" w:lineRule="auto"/>
      </w:pPr>
      <w:r>
        <w:rPr>
          <w:rFonts w:ascii="Calibri" w:hAnsi="Calibri"/>
          <w:b w:val="0"/>
          <w:i w:val="0"/>
          <w:sz w:val="22"/>
        </w:rPr>
        <w:t>KPI cards are rendered using custom HTML/CSS with a glassmorphism dark theme. Each card displays an icon, a label, and a dynamically computed value. The eight main KPIs in the Overview tab are: Total Sales, Total Gross Income, Total Transactions, Total Quantity Sold, Avg Order Value, Avg Unit Price, Gross Margin %, and Avg Customer Rating. Additional KPI cards are displayed in the Time Analysis, Rating, and Gross Income tabs.</w:t>
      </w:r>
    </w:p>
    <w:p>
      <w:pPr>
        <w:pStyle w:val="Heading2"/>
        <w:spacing w:before="240" w:after="80"/>
      </w:pPr>
      <w:r>
        <w:rPr>
          <w:color w:val="2C3E7A"/>
        </w:rPr>
        <w:t>21.4 Business Insights</w:t>
      </w:r>
    </w:p>
    <w:p>
      <w:pPr>
        <w:spacing w:after="120" w:line="360" w:lineRule="auto"/>
      </w:pPr>
      <w:r>
        <w:rPr>
          <w:rFonts w:ascii="Calibri" w:hAnsi="Calibri"/>
          <w:b w:val="0"/>
          <w:i w:val="0"/>
          <w:sz w:val="22"/>
        </w:rPr>
        <w:t>The generate_insights() function (utils/insights.py) dynamically generates plain-English insight strings from the filtered DataFrame. Insights cover: top and lowest selling product lines, best branch and city by revenue, peak hour and best day/month, customer type transaction comparison, gender sales share, most popular payment method, product line with highest unit price, product line with highest gross income, highest and lowest rated product lines, branch with highest satisfaction, and product line with highest quantity sold. Insights are displayed as styled 'insight cards' in the Overview tab.</w:t>
      </w:r>
    </w:p>
    <w:p>
      <w:pPr>
        <w:pStyle w:val="Heading2"/>
        <w:spacing w:before="240" w:after="80"/>
      </w:pPr>
      <w:r>
        <w:rPr>
          <w:color w:val="2C3E7A"/>
        </w:rPr>
        <w:t>21.5 Data Export</w:t>
      </w:r>
    </w:p>
    <w:p>
      <w:pPr>
        <w:spacing w:after="120" w:line="360" w:lineRule="auto"/>
      </w:pPr>
      <w:r>
        <w:rPr>
          <w:rFonts w:ascii="Calibri" w:hAnsi="Calibri"/>
          <w:b w:val="0"/>
          <w:i w:val="0"/>
          <w:sz w:val="22"/>
        </w:rPr>
        <w:t>The Data Explorer tab provides a 'Download Filtered CSV' button using Streamlit's st.download_button(). This allows users to export the currently filtered dataset as a CSV file named 'filtered_supermarket_data.csv'.</w:t>
      </w:r>
    </w:p>
    <w:p>
      <w:r>
        <w:br w:type="page"/>
      </w:r>
    </w:p>
    <w:p>
      <w:pPr>
        <w:pStyle w:val="Heading1"/>
        <w:spacing w:before="360" w:after="120"/>
      </w:pPr>
      <w:r>
        <w:rPr>
          <w:color w:val="1A1A6E"/>
        </w:rPr>
        <w:t>22. Business Insights</w:t>
      </w:r>
    </w:p>
    <w:p>
      <w:pPr>
        <w:spacing w:after="120" w:line="360" w:lineRule="auto"/>
      </w:pPr>
      <w:r>
        <w:rPr>
          <w:rFonts w:ascii="Calibri" w:hAnsi="Calibri"/>
          <w:b w:val="0"/>
          <w:i w:val="0"/>
          <w:sz w:val="22"/>
        </w:rPr>
        <w:t>The following insights are derived from the actual dataset values:</w:t>
      </w:r>
    </w:p>
    <w:p>
      <w:pPr>
        <w:pStyle w:val="Heading2"/>
        <w:spacing w:before="240" w:after="80"/>
      </w:pPr>
      <w:r>
        <w:rPr>
          <w:color w:val="2C3E7A"/>
        </w:rPr>
        <w:t>22.x Product Line Performance</w:t>
      </w:r>
    </w:p>
    <w:p>
      <w:pPr>
        <w:spacing w:after="120" w:line="360" w:lineRule="auto"/>
      </w:pPr>
      <w:r>
        <w:rPr>
          <w:rFonts w:ascii="Calibri" w:hAnsi="Calibri"/>
          <w:b w:val="0"/>
          <w:i w:val="0"/>
          <w:sz w:val="22"/>
        </w:rPr>
        <w:t>Finding: Food and Beverages is the top-selling product line with $56,144.84 in sales.</w:t>
      </w:r>
    </w:p>
    <w:p>
      <w:pPr>
        <w:spacing w:after="120" w:line="360" w:lineRule="auto"/>
      </w:pPr>
      <w:r>
        <w:rPr>
          <w:rFonts w:ascii="Calibri" w:hAnsi="Calibri"/>
          <w:b w:val="0"/>
          <w:i/>
          <w:sz w:val="22"/>
        </w:rPr>
        <w:t>Business Interpretation: The supermarket should ensure adequate stock levels and promotional activity for Food and Beverages. Seasonal promotions could further increase revenue from this category.</w:t>
      </w:r>
    </w:p>
    <w:p>
      <w:pPr>
        <w:pStyle w:val="Heading2"/>
        <w:spacing w:before="240" w:after="80"/>
      </w:pPr>
      <w:r>
        <w:rPr>
          <w:color w:val="2C3E7A"/>
        </w:rPr>
        <w:t>22.x Lowest Product Line</w:t>
      </w:r>
    </w:p>
    <w:p>
      <w:pPr>
        <w:spacing w:after="120" w:line="360" w:lineRule="auto"/>
      </w:pPr>
      <w:r>
        <w:rPr>
          <w:rFonts w:ascii="Calibri" w:hAnsi="Calibri"/>
          <w:b w:val="0"/>
          <w:i w:val="0"/>
          <w:sz w:val="22"/>
        </w:rPr>
        <w:t>Finding: Health and Beauty is the lowest-selling product line with $49,193.74 in sales, despite having a competitive average unit price of $54.85.</w:t>
      </w:r>
    </w:p>
    <w:p>
      <w:pPr>
        <w:spacing w:after="120" w:line="360" w:lineRule="auto"/>
      </w:pPr>
      <w:r>
        <w:rPr>
          <w:rFonts w:ascii="Calibri" w:hAnsi="Calibri"/>
          <w:b w:val="0"/>
          <w:i/>
          <w:sz w:val="22"/>
        </w:rPr>
        <w:t>Business Interpretation: Marketing campaigns, shelf placement improvements, or bundled offers for Health and Beauty products may improve their sales performance.</w:t>
      </w:r>
    </w:p>
    <w:p>
      <w:pPr>
        <w:pStyle w:val="Heading2"/>
        <w:spacing w:before="240" w:after="80"/>
      </w:pPr>
      <w:r>
        <w:rPr>
          <w:color w:val="2C3E7A"/>
        </w:rPr>
        <w:t>22.x Branch Performance</w:t>
      </w:r>
    </w:p>
    <w:p>
      <w:pPr>
        <w:spacing w:after="120" w:line="360" w:lineRule="auto"/>
      </w:pPr>
      <w:r>
        <w:rPr>
          <w:rFonts w:ascii="Calibri" w:hAnsi="Calibri"/>
          <w:b w:val="0"/>
          <w:i w:val="0"/>
          <w:sz w:val="22"/>
        </w:rPr>
        <w:t>Finding: Branch Giza leads with $110,568.71 in sales, while Branch Alex ($106,200.37) and Branch Cairo ($106,197.67) are closely matched.</w:t>
      </w:r>
    </w:p>
    <w:p>
      <w:pPr>
        <w:spacing w:after="120" w:line="360" w:lineRule="auto"/>
      </w:pPr>
      <w:r>
        <w:rPr>
          <w:rFonts w:ascii="Calibri" w:hAnsi="Calibri"/>
          <w:b w:val="0"/>
          <w:i/>
          <w:sz w:val="22"/>
        </w:rPr>
        <w:t>Business Interpretation: Branches are well-balanced. Cairo branch may benefit from examining product line mix or operational improvements to close the gap with Giza.</w:t>
      </w:r>
    </w:p>
    <w:p>
      <w:pPr>
        <w:pStyle w:val="Heading2"/>
        <w:spacing w:before="240" w:after="80"/>
      </w:pPr>
      <w:r>
        <w:rPr>
          <w:color w:val="2C3E7A"/>
        </w:rPr>
        <w:t>22.x Customer Ratings</w:t>
      </w:r>
    </w:p>
    <w:p>
      <w:pPr>
        <w:spacing w:after="120" w:line="360" w:lineRule="auto"/>
      </w:pPr>
      <w:r>
        <w:rPr>
          <w:rFonts w:ascii="Calibri" w:hAnsi="Calibri"/>
          <w:b w:val="0"/>
          <w:i w:val="0"/>
          <w:sz w:val="22"/>
        </w:rPr>
        <w:t>Finding: Overall average customer rating is 6.97/10. Branch Giza has the highest satisfaction at 7.07/10, and Branch Cairo the lowest at 6.82/10.</w:t>
      </w:r>
    </w:p>
    <w:p>
      <w:pPr>
        <w:spacing w:after="120" w:line="360" w:lineRule="auto"/>
      </w:pPr>
      <w:r>
        <w:rPr>
          <w:rFonts w:ascii="Calibri" w:hAnsi="Calibri"/>
          <w:b w:val="0"/>
          <w:i/>
          <w:sz w:val="22"/>
        </w:rPr>
        <w:t>Business Interpretation: Cairo branch's lower rating warrants investigation into service quality, product availability, or checkout experience.</w:t>
      </w:r>
    </w:p>
    <w:p>
      <w:pPr>
        <w:pStyle w:val="Heading2"/>
        <w:spacing w:before="240" w:after="80"/>
      </w:pPr>
      <w:r>
        <w:rPr>
          <w:color w:val="2C3E7A"/>
        </w:rPr>
        <w:t>22.x Highest Rated Product</w:t>
      </w:r>
    </w:p>
    <w:p>
      <w:pPr>
        <w:spacing w:after="120" w:line="360" w:lineRule="auto"/>
      </w:pPr>
      <w:r>
        <w:rPr>
          <w:rFonts w:ascii="Calibri" w:hAnsi="Calibri"/>
          <w:b w:val="0"/>
          <w:i w:val="0"/>
          <w:sz w:val="22"/>
        </w:rPr>
        <w:t>Finding: Food and Beverages receives the highest average rating of 7.11/10.</w:t>
      </w:r>
    </w:p>
    <w:p>
      <w:pPr>
        <w:spacing w:after="120" w:line="360" w:lineRule="auto"/>
      </w:pPr>
      <w:r>
        <w:rPr>
          <w:rFonts w:ascii="Calibri" w:hAnsi="Calibri"/>
          <w:b w:val="0"/>
          <w:i/>
          <w:sz w:val="22"/>
        </w:rPr>
        <w:t>Business Interpretation: Customers are most satisfied with the Food and Beverages category, consistent with it also being the top-selling line — positive customer experience drives repeat purchases.</w:t>
      </w:r>
    </w:p>
    <w:p>
      <w:pPr>
        <w:pStyle w:val="Heading2"/>
        <w:spacing w:before="240" w:after="80"/>
      </w:pPr>
      <w:r>
        <w:rPr>
          <w:color w:val="2C3E7A"/>
        </w:rPr>
        <w:t>22.x Payment Method Distribution</w:t>
      </w:r>
    </w:p>
    <w:p>
      <w:pPr>
        <w:spacing w:after="120" w:line="360" w:lineRule="auto"/>
      </w:pPr>
      <w:r>
        <w:rPr>
          <w:rFonts w:ascii="Calibri" w:hAnsi="Calibri"/>
          <w:b w:val="0"/>
          <w:i w:val="0"/>
          <w:sz w:val="22"/>
        </w:rPr>
        <w:t>Finding: Cash ($112,206.57) and Ewallet ($109,993.11) are nearly tied for top position by sales. Credit card usage is lower at $100,767.07.</w:t>
      </w:r>
    </w:p>
    <w:p>
      <w:pPr>
        <w:spacing w:after="120" w:line="360" w:lineRule="auto"/>
      </w:pPr>
      <w:r>
        <w:rPr>
          <w:rFonts w:ascii="Calibri" w:hAnsi="Calibri"/>
          <w:b w:val="0"/>
          <w:i/>
          <w:sz w:val="22"/>
        </w:rPr>
        <w:t>Business Interpretation: The near-equal split between Cash and Ewallet indicates that the customer base is split between traditional and digital payment preferences. Promoting Ewallet incentives could shift customers towards digital payments, reducing cash handling costs.</w:t>
      </w:r>
    </w:p>
    <w:p>
      <w:pPr>
        <w:pStyle w:val="Heading2"/>
        <w:spacing w:before="240" w:after="80"/>
      </w:pPr>
      <w:r>
        <w:rPr>
          <w:color w:val="2C3E7A"/>
        </w:rPr>
        <w:t>22.x Quantity Sold — Electronic Accessories</w:t>
      </w:r>
    </w:p>
    <w:p>
      <w:pPr>
        <w:spacing w:after="120" w:line="360" w:lineRule="auto"/>
      </w:pPr>
      <w:r>
        <w:rPr>
          <w:rFonts w:ascii="Calibri" w:hAnsi="Calibri"/>
          <w:b w:val="0"/>
          <w:i w:val="0"/>
          <w:sz w:val="22"/>
        </w:rPr>
        <w:t>Finding: Electronic Accessories has the highest quantity sold (971 units) despite not being the highest in total sales.</w:t>
      </w:r>
    </w:p>
    <w:p>
      <w:pPr>
        <w:spacing w:after="120" w:line="360" w:lineRule="auto"/>
      </w:pPr>
      <w:r>
        <w:rPr>
          <w:rFonts w:ascii="Calibri" w:hAnsi="Calibri"/>
          <w:b w:val="0"/>
          <w:i/>
          <w:sz w:val="22"/>
        </w:rPr>
        <w:t>Business Interpretation: Electronic Accessories items are high-volume but lower total value per transaction, suggesting lower average unit prices compared to other categories. Volume-based promotions and bundle deals could increase the revenue per transaction.</w:t>
      </w:r>
    </w:p>
    <w:p>
      <w:pPr>
        <w:pStyle w:val="Heading2"/>
        <w:spacing w:before="240" w:after="80"/>
      </w:pPr>
      <w:r>
        <w:rPr>
          <w:color w:val="2C3E7A"/>
        </w:rPr>
        <w:t>22.x Member vs Normal Customers</w:t>
      </w:r>
    </w:p>
    <w:p>
      <w:pPr>
        <w:spacing w:after="120" w:line="360" w:lineRule="auto"/>
      </w:pPr>
      <w:r>
        <w:rPr>
          <w:rFonts w:ascii="Calibri" w:hAnsi="Calibri"/>
          <w:b w:val="0"/>
          <w:i w:val="0"/>
          <w:sz w:val="22"/>
        </w:rPr>
        <w:t>Finding: Member customers generate $189,694.76 vs Normal customers' $133,271.98.</w:t>
      </w:r>
    </w:p>
    <w:p>
      <w:pPr>
        <w:spacing w:after="120" w:line="360" w:lineRule="auto"/>
      </w:pPr>
      <w:r>
        <w:rPr>
          <w:rFonts w:ascii="Calibri" w:hAnsi="Calibri"/>
          <w:b w:val="0"/>
          <w:i/>
          <w:sz w:val="22"/>
        </w:rPr>
        <w:t>Business Interpretation: Membership program is delivering higher revenue per customer segment. Expanding membership benefits or introducing referral bonuses could convert Normal customers to Members.</w:t>
      </w:r>
    </w:p>
    <w:p>
      <w:pPr>
        <w:pStyle w:val="Heading2"/>
        <w:spacing w:before="240" w:after="80"/>
      </w:pPr>
      <w:r>
        <w:rPr>
          <w:color w:val="2C3E7A"/>
        </w:rPr>
        <w:t>22.x Gender Sales Distribution</w:t>
      </w:r>
    </w:p>
    <w:p>
      <w:pPr>
        <w:spacing w:after="120" w:line="360" w:lineRule="auto"/>
      </w:pPr>
      <w:r>
        <w:rPr>
          <w:rFonts w:ascii="Calibri" w:hAnsi="Calibri"/>
          <w:b w:val="0"/>
          <w:i w:val="0"/>
          <w:sz w:val="22"/>
        </w:rPr>
        <w:t>Finding: Female customers account for $194,671.84 (60.3%) compared to Male customers' $128,294.91 (39.7%).</w:t>
      </w:r>
    </w:p>
    <w:p>
      <w:pPr>
        <w:spacing w:after="120" w:line="360" w:lineRule="auto"/>
      </w:pPr>
      <w:r>
        <w:rPr>
          <w:rFonts w:ascii="Calibri" w:hAnsi="Calibri"/>
          <w:b w:val="0"/>
          <w:i/>
          <w:sz w:val="22"/>
        </w:rPr>
        <w:t>Business Interpretation: Female customers contribute significantly more to total sales. Gender-targeted marketing campaigns and product placement strategies tailored towards female shoppers can sustain this advantage.</w:t>
      </w:r>
    </w:p>
    <w:p>
      <w:r>
        <w:br w:type="page"/>
      </w:r>
    </w:p>
    <w:p>
      <w:pPr>
        <w:pStyle w:val="Heading1"/>
        <w:spacing w:before="360" w:after="120"/>
      </w:pPr>
      <w:r>
        <w:rPr>
          <w:color w:val="1A1A6E"/>
        </w:rPr>
        <w:t>23. Data Quality and Validation</w:t>
      </w:r>
    </w:p>
    <w:p>
      <w:pPr>
        <w:spacing w:after="120" w:line="360" w:lineRule="auto"/>
      </w:pPr>
      <w:r>
        <w:rPr>
          <w:rFonts w:ascii="Calibri" w:hAnsi="Calibri"/>
          <w:b w:val="0"/>
          <w:i w:val="0"/>
          <w:sz w:val="22"/>
        </w:rPr>
        <w:t>The project implements a two-stage data quality system:</w:t>
      </w:r>
    </w:p>
    <w:p>
      <w:pPr>
        <w:pStyle w:val="Heading2"/>
        <w:spacing w:before="240" w:after="80"/>
      </w:pPr>
      <w:r>
        <w:rPr>
          <w:color w:val="2C3E7A"/>
        </w:rPr>
        <w:t>23.1 Pre-Cleaning Quality Report (get_quality_report())</w:t>
      </w:r>
    </w:p>
    <w:p>
      <w:pPr>
        <w:spacing w:after="120" w:line="360" w:lineRule="auto"/>
      </w:pPr>
      <w:r>
        <w:rPr>
          <w:rFonts w:ascii="Calibri" w:hAnsi="Calibri"/>
          <w:b w:val="0"/>
          <w:i w:val="0"/>
          <w:sz w:val="22"/>
        </w:rPr>
        <w:t>The quality report function computes the following metrics from the raw DataFrame before any cleaning:</w:t>
      </w:r>
    </w:p>
    <w:p>
      <w:pPr>
        <w:pStyle w:val="ListBullet"/>
        <w:spacing w:after="60"/>
      </w:pPr>
      <w:r>
        <w:rPr>
          <w:rFonts w:ascii="Calibri" w:hAnsi="Calibri"/>
          <w:sz w:val="22"/>
        </w:rPr>
        <w:t>Total number of rows and columns</w:t>
      </w:r>
    </w:p>
    <w:p>
      <w:pPr>
        <w:pStyle w:val="ListBullet"/>
        <w:spacing w:after="60"/>
      </w:pPr>
      <w:r>
        <w:rPr>
          <w:rFonts w:ascii="Calibri" w:hAnsi="Calibri"/>
          <w:sz w:val="22"/>
        </w:rPr>
        <w:t>Total number of missing cells and percentage of missing values overall</w:t>
      </w:r>
    </w:p>
    <w:p>
      <w:pPr>
        <w:pStyle w:val="ListBullet"/>
        <w:spacing w:after="60"/>
      </w:pPr>
      <w:r>
        <w:rPr>
          <w:rFonts w:ascii="Calibri" w:hAnsi="Calibri"/>
          <w:sz w:val="22"/>
        </w:rPr>
        <w:t>Number of duplicate rows (exact row-level duplicates)</w:t>
      </w:r>
    </w:p>
    <w:p>
      <w:pPr>
        <w:pStyle w:val="ListBullet"/>
        <w:spacing w:after="60"/>
      </w:pPr>
      <w:r>
        <w:rPr>
          <w:rFonts w:ascii="Calibri" w:hAnsi="Calibri"/>
          <w:sz w:val="22"/>
        </w:rPr>
        <w:t>Column names and data types</w:t>
      </w:r>
    </w:p>
    <w:p>
      <w:pPr>
        <w:pStyle w:val="ListBullet"/>
        <w:spacing w:after="60"/>
      </w:pPr>
      <w:r>
        <w:rPr>
          <w:rFonts w:ascii="Calibri" w:hAnsi="Calibri"/>
          <w:sz w:val="22"/>
        </w:rPr>
        <w:t>Missing value count per individual column</w:t>
      </w:r>
    </w:p>
    <w:p>
      <w:pPr>
        <w:spacing w:after="120" w:line="360" w:lineRule="auto"/>
      </w:pPr>
      <w:r>
        <w:rPr>
          <w:rFonts w:ascii="Calibri" w:hAnsi="Calibri"/>
          <w:b w:val="0"/>
          <w:i w:val="0"/>
          <w:sz w:val="22"/>
        </w:rPr>
        <w:t>For the default dataset, the quality report confirms: 1000 rows, 17 columns, 0 missing cells (0%), and 0 duplicate rows — a high-quality dataset requiring no imputation or deduplication.</w:t>
      </w:r>
    </w:p>
    <w:p>
      <w:pPr>
        <w:pStyle w:val="Heading2"/>
        <w:spacing w:before="240" w:after="80"/>
      </w:pPr>
      <w:r>
        <w:rPr>
          <w:color w:val="2C3E7A"/>
        </w:rPr>
        <w:t>23.2 Cleaning Steps and Validation</w:t>
      </w:r>
    </w:p>
    <w:p>
      <w:pPr>
        <w:spacing w:after="120" w:line="360" w:lineRule="auto"/>
      </w:pPr>
      <w:r>
        <w:rPr>
          <w:rFonts w:ascii="Calibri" w:hAnsi="Calibri"/>
          <w:b w:val="0"/>
          <w:i w:val="0"/>
          <w:sz w:val="22"/>
        </w:rPr>
        <w:t>The clean_dataframe() function applies and logs each step:</w:t>
      </w:r>
    </w:p>
    <w:tbl>
      <w:tblPr>
        <w:tblStyle w:val="TableGrid"/>
        <w:tblW w:type="auto" w:w="0"/>
        <w:jc w:val="center"/>
        <w:tblLook w:firstColumn="1" w:firstRow="1" w:lastColumn="0" w:lastRow="0" w:noHBand="0" w:noVBand="1" w:val="04A0"/>
      </w:tblPr>
      <w:tblGrid>
        <w:gridCol w:w="2769"/>
        <w:gridCol w:w="2769"/>
        <w:gridCol w:w="2769"/>
      </w:tblGrid>
      <w:tr>
        <w:tc>
          <w:tcPr>
            <w:tcW w:type="dxa" w:w="576"/>
            <w:shd w:val="clear" w:color="auto" w:fill="1A1A6E"/>
            <w:vAlign w:val="center"/>
          </w:tcPr>
          <w:p>
            <w:pPr>
              <w:jc w:val="center"/>
            </w:pPr>
            <w:r>
              <w:rPr>
                <w:b/>
                <w:color w:val="FFFFFF"/>
                <w:sz w:val="20"/>
              </w:rPr>
              <w:t>Step</w:t>
            </w:r>
          </w:p>
        </w:tc>
        <w:tc>
          <w:tcPr>
            <w:tcW w:type="dxa" w:w="4608"/>
            <w:shd w:val="clear" w:color="auto" w:fill="1A1A6E"/>
            <w:vAlign w:val="center"/>
          </w:tcPr>
          <w:p>
            <w:pPr>
              <w:jc w:val="center"/>
            </w:pPr>
            <w:r>
              <w:rPr>
                <w:b/>
                <w:color w:val="FFFFFF"/>
                <w:sz w:val="20"/>
              </w:rPr>
              <w:t>Check / Action</w:t>
            </w:r>
          </w:p>
        </w:tc>
        <w:tc>
          <w:tcPr>
            <w:tcW w:type="dxa" w:w="4896"/>
            <w:shd w:val="clear" w:color="auto" w:fill="1A1A6E"/>
            <w:vAlign w:val="center"/>
          </w:tcPr>
          <w:p>
            <w:pPr>
              <w:jc w:val="center"/>
            </w:pPr>
            <w:r>
              <w:rPr>
                <w:b/>
                <w:color w:val="FFFFFF"/>
                <w:sz w:val="20"/>
              </w:rPr>
              <w:t>Outcome (Default Dataset)</w:t>
            </w:r>
          </w:p>
        </w:tc>
      </w:tr>
      <w:tr>
        <w:tc>
          <w:tcPr>
            <w:tcW w:type="dxa" w:w="576"/>
          </w:tcPr>
          <w:p>
            <w:r>
              <w:rPr>
                <w:rFonts w:ascii="Calibri" w:hAnsi="Calibri"/>
                <w:sz w:val="20"/>
              </w:rPr>
              <w:t>1</w:t>
            </w:r>
          </w:p>
        </w:tc>
        <w:tc>
          <w:tcPr>
            <w:tcW w:type="dxa" w:w="4608"/>
          </w:tcPr>
          <w:p>
            <w:r>
              <w:rPr>
                <w:rFonts w:ascii="Calibri" w:hAnsi="Calibri"/>
                <w:sz w:val="20"/>
              </w:rPr>
              <w:t>Remove fully empty rows (all columns NaN)</w:t>
            </w:r>
          </w:p>
        </w:tc>
        <w:tc>
          <w:tcPr>
            <w:tcW w:type="dxa" w:w="4896"/>
          </w:tcPr>
          <w:p>
            <w:r>
              <w:rPr>
                <w:rFonts w:ascii="Calibri" w:hAnsi="Calibri"/>
                <w:sz w:val="20"/>
              </w:rPr>
              <w:t>0 rows removed</w:t>
            </w:r>
          </w:p>
        </w:tc>
      </w:tr>
      <w:tr>
        <w:tc>
          <w:tcPr>
            <w:tcW w:type="dxa" w:w="576"/>
            <w:shd w:val="clear" w:color="auto" w:fill="EEF2FF"/>
          </w:tcPr>
          <w:p>
            <w:r>
              <w:rPr>
                <w:rFonts w:ascii="Calibri" w:hAnsi="Calibri"/>
                <w:sz w:val="20"/>
              </w:rPr>
              <w:t>2</w:t>
            </w:r>
          </w:p>
        </w:tc>
        <w:tc>
          <w:tcPr>
            <w:tcW w:type="dxa" w:w="4608"/>
            <w:shd w:val="clear" w:color="auto" w:fill="EEF2FF"/>
          </w:tcPr>
          <w:p>
            <w:r>
              <w:rPr>
                <w:rFonts w:ascii="Calibri" w:hAnsi="Calibri"/>
                <w:sz w:val="20"/>
              </w:rPr>
              <w:t>Parse Date column to datetime; log unparseable values</w:t>
            </w:r>
          </w:p>
        </w:tc>
        <w:tc>
          <w:tcPr>
            <w:tcW w:type="dxa" w:w="4896"/>
            <w:shd w:val="clear" w:color="auto" w:fill="EEF2FF"/>
          </w:tcPr>
          <w:p>
            <w:r>
              <w:rPr>
                <w:rFonts w:ascii="Calibri" w:hAnsi="Calibri"/>
                <w:sz w:val="20"/>
              </w:rPr>
              <w:t>All 1,000 dates parsed successfully</w:t>
            </w:r>
          </w:p>
        </w:tc>
      </w:tr>
      <w:tr>
        <w:tc>
          <w:tcPr>
            <w:tcW w:type="dxa" w:w="576"/>
          </w:tcPr>
          <w:p>
            <w:r>
              <w:rPr>
                <w:rFonts w:ascii="Calibri" w:hAnsi="Calibri"/>
                <w:sz w:val="20"/>
              </w:rPr>
              <w:t>3</w:t>
            </w:r>
          </w:p>
        </w:tc>
        <w:tc>
          <w:tcPr>
            <w:tcW w:type="dxa" w:w="4608"/>
          </w:tcPr>
          <w:p>
            <w:r>
              <w:rPr>
                <w:rFonts w:ascii="Calibri" w:hAnsi="Calibri"/>
                <w:sz w:val="20"/>
              </w:rPr>
              <w:t>Derive temporal features: Year, Month, Month_Name, Day, Day_Name, Week</w:t>
            </w:r>
          </w:p>
        </w:tc>
        <w:tc>
          <w:tcPr>
            <w:tcW w:type="dxa" w:w="4896"/>
          </w:tcPr>
          <w:p>
            <w:r>
              <w:rPr>
                <w:rFonts w:ascii="Calibri" w:hAnsi="Calibri"/>
                <w:sz w:val="20"/>
              </w:rPr>
              <w:t>6 new columns added</w:t>
            </w:r>
          </w:p>
        </w:tc>
      </w:tr>
      <w:tr>
        <w:tc>
          <w:tcPr>
            <w:tcW w:type="dxa" w:w="576"/>
            <w:shd w:val="clear" w:color="auto" w:fill="EEF2FF"/>
          </w:tcPr>
          <w:p>
            <w:r>
              <w:rPr>
                <w:rFonts w:ascii="Calibri" w:hAnsi="Calibri"/>
                <w:sz w:val="20"/>
              </w:rPr>
              <w:t>4</w:t>
            </w:r>
          </w:p>
        </w:tc>
        <w:tc>
          <w:tcPr>
            <w:tcW w:type="dxa" w:w="4608"/>
            <w:shd w:val="clear" w:color="auto" w:fill="EEF2FF"/>
          </w:tcPr>
          <w:p>
            <w:r>
              <w:rPr>
                <w:rFonts w:ascii="Calibri" w:hAnsi="Calibri"/>
                <w:sz w:val="20"/>
              </w:rPr>
              <w:t>Parse Time column (format: HH:MM:SS AM/PM); derive Hour feature</w:t>
            </w:r>
          </w:p>
        </w:tc>
        <w:tc>
          <w:tcPr>
            <w:tcW w:type="dxa" w:w="4896"/>
            <w:shd w:val="clear" w:color="auto" w:fill="EEF2FF"/>
          </w:tcPr>
          <w:p>
            <w:r>
              <w:rPr>
                <w:rFonts w:ascii="Calibri" w:hAnsi="Calibri"/>
                <w:sz w:val="20"/>
              </w:rPr>
              <w:t>All 1,000 times parsed; Hour column derived</w:t>
            </w:r>
          </w:p>
        </w:tc>
      </w:tr>
      <w:tr>
        <w:tc>
          <w:tcPr>
            <w:tcW w:type="dxa" w:w="576"/>
          </w:tcPr>
          <w:p>
            <w:r>
              <w:rPr>
                <w:rFonts w:ascii="Calibri" w:hAnsi="Calibri"/>
                <w:sz w:val="20"/>
              </w:rPr>
              <w:t>5</w:t>
            </w:r>
          </w:p>
        </w:tc>
        <w:tc>
          <w:tcPr>
            <w:tcW w:type="dxa" w:w="4608"/>
          </w:tcPr>
          <w:p>
            <w:r>
              <w:rPr>
                <w:rFonts w:ascii="Calibri" w:hAnsi="Calibri"/>
                <w:sz w:val="20"/>
              </w:rPr>
              <w:t>Remove duplicate Invoice IDs (keep first occurrence)</w:t>
            </w:r>
          </w:p>
        </w:tc>
        <w:tc>
          <w:tcPr>
            <w:tcW w:type="dxa" w:w="4896"/>
          </w:tcPr>
          <w:p>
            <w:r>
              <w:rPr>
                <w:rFonts w:ascii="Calibri" w:hAnsi="Calibri"/>
                <w:sz w:val="20"/>
              </w:rPr>
              <w:t>0 duplicate Invoice IDs found</w:t>
            </w:r>
          </w:p>
        </w:tc>
      </w:tr>
      <w:tr>
        <w:tc>
          <w:tcPr>
            <w:tcW w:type="dxa" w:w="576"/>
            <w:shd w:val="clear" w:color="auto" w:fill="EEF2FF"/>
          </w:tcPr>
          <w:p>
            <w:r>
              <w:rPr>
                <w:rFonts w:ascii="Calibri" w:hAnsi="Calibri"/>
                <w:sz w:val="20"/>
              </w:rPr>
              <w:t>6</w:t>
            </w:r>
          </w:p>
        </w:tc>
        <w:tc>
          <w:tcPr>
            <w:tcW w:type="dxa" w:w="4608"/>
            <w:shd w:val="clear" w:color="auto" w:fill="EEF2FF"/>
          </w:tcPr>
          <w:p>
            <w:r>
              <w:rPr>
                <w:rFonts w:ascii="Calibri" w:hAnsi="Calibri"/>
                <w:sz w:val="20"/>
              </w:rPr>
              <w:t>Drop rows with missing Sales or Unit price values</w:t>
            </w:r>
          </w:p>
        </w:tc>
        <w:tc>
          <w:tcPr>
            <w:tcW w:type="dxa" w:w="4896"/>
            <w:shd w:val="clear" w:color="auto" w:fill="EEF2FF"/>
          </w:tcPr>
          <w:p>
            <w:r>
              <w:rPr>
                <w:rFonts w:ascii="Calibri" w:hAnsi="Calibri"/>
                <w:sz w:val="20"/>
              </w:rPr>
              <w:t>0 rows removed</w:t>
            </w:r>
          </w:p>
        </w:tc>
      </w:tr>
      <w:tr>
        <w:tc>
          <w:tcPr>
            <w:tcW w:type="dxa" w:w="576"/>
          </w:tcPr>
          <w:p>
            <w:r>
              <w:rPr>
                <w:rFonts w:ascii="Calibri" w:hAnsi="Calibri"/>
                <w:sz w:val="20"/>
              </w:rPr>
              <w:t>7</w:t>
            </w:r>
          </w:p>
        </w:tc>
        <w:tc>
          <w:tcPr>
            <w:tcW w:type="dxa" w:w="4608"/>
          </w:tcPr>
          <w:p>
            <w:r>
              <w:rPr>
                <w:rFonts w:ascii="Calibri" w:hAnsi="Calibri"/>
                <w:sz w:val="20"/>
              </w:rPr>
              <w:t>Strip whitespace from all string columns</w:t>
            </w:r>
          </w:p>
        </w:tc>
        <w:tc>
          <w:tcPr>
            <w:tcW w:type="dxa" w:w="4896"/>
          </w:tcPr>
          <w:p>
            <w:r>
              <w:rPr>
                <w:rFonts w:ascii="Calibri" w:hAnsi="Calibri"/>
                <w:sz w:val="20"/>
              </w:rPr>
              <w:t>Applied to all object-type columns</w:t>
            </w:r>
          </w:p>
        </w:tc>
      </w:tr>
    </w:tbl>
    <w:p/>
    <w:p>
      <w:pPr>
        <w:spacing w:after="160"/>
        <w:jc w:val="center"/>
      </w:pPr>
      <w:r>
        <w:rPr>
          <w:rFonts w:ascii="Calibri" w:hAnsi="Calibri"/>
          <w:i/>
          <w:color w:val="555555"/>
          <w:sz w:val="18"/>
        </w:rPr>
        <w:t>Table 23.1: Data Cleaning Steps and Outcomes</w:t>
      </w:r>
    </w:p>
    <w:p>
      <w:pPr>
        <w:pStyle w:val="Heading2"/>
        <w:spacing w:before="240" w:after="80"/>
      </w:pPr>
      <w:r>
        <w:rPr>
          <w:color w:val="2C3E7A"/>
        </w:rPr>
        <w:t>23.3 Schema Validation</w:t>
      </w:r>
    </w:p>
    <w:p>
      <w:pPr>
        <w:spacing w:after="120" w:line="360" w:lineRule="auto"/>
      </w:pPr>
      <w:r>
        <w:rPr>
          <w:rFonts w:ascii="Calibri" w:hAnsi="Calibri"/>
          <w:b w:val="0"/>
          <w:i w:val="0"/>
          <w:sz w:val="22"/>
        </w:rPr>
        <w:t>The validate_schema() function checks for the minimum required columns: Invoice ID, Branch, Sales, Quantity, Rating, and Date. If any are missing, the dashboard displays a warning message to the user but continues gracefully with available columns. This ensures compatibility with a variety of real-world CSV uploads.</w:t>
      </w:r>
    </w:p>
    <w:p>
      <w:r>
        <w:br w:type="page"/>
      </w:r>
    </w:p>
    <w:p>
      <w:pPr>
        <w:pStyle w:val="Heading1"/>
        <w:spacing w:before="360" w:after="120"/>
      </w:pPr>
      <w:r>
        <w:rPr>
          <w:color w:val="1A1A6E"/>
        </w:rPr>
        <w:t>24. Results</w:t>
      </w:r>
    </w:p>
    <w:p>
      <w:pPr>
        <w:spacing w:after="120" w:line="360" w:lineRule="auto"/>
      </w:pPr>
      <w:r>
        <w:rPr>
          <w:rFonts w:ascii="Calibri" w:hAnsi="Calibri"/>
          <w:b w:val="0"/>
          <w:i w:val="0"/>
          <w:sz w:val="22"/>
        </w:rPr>
        <w:t>The SuperMarket Sales Analytics Dashboard successfully delivers the following outcomes:</w:t>
      </w:r>
    </w:p>
    <w:p>
      <w:pPr>
        <w:pStyle w:val="ListBullet"/>
        <w:spacing w:after="60"/>
      </w:pPr>
      <w:r>
        <w:rPr>
          <w:rFonts w:ascii="Calibri" w:hAnsi="Calibri"/>
          <w:sz w:val="22"/>
        </w:rPr>
        <w:t>A fully functional, interactive Streamlit dashboard that loads 1,000 supermarket transactions and displays analytics within seconds of startup.</w:t>
      </w:r>
    </w:p>
    <w:p>
      <w:pPr>
        <w:pStyle w:val="ListBullet"/>
        <w:spacing w:after="60"/>
      </w:pPr>
      <w:r>
        <w:rPr>
          <w:rFonts w:ascii="Calibri" w:hAnsi="Calibri"/>
          <w:sz w:val="22"/>
        </w:rPr>
        <w:t>Eight dynamically computed KPIs displayed as visual cards, updating in real time as filters are applied.</w:t>
      </w:r>
    </w:p>
    <w:p>
      <w:pPr>
        <w:pStyle w:val="ListBullet"/>
        <w:spacing w:after="60"/>
      </w:pPr>
      <w:r>
        <w:rPr>
          <w:rFonts w:ascii="Calibri" w:hAnsi="Calibri"/>
          <w:sz w:val="22"/>
        </w:rPr>
        <w:t>Eleven analytics tabs covering Sales, Product, Customer, Financial, Time, Payment, Branch, Rating, and Advanced dimensions with over 40 Plotly charts.</w:t>
      </w:r>
    </w:p>
    <w:p>
      <w:pPr>
        <w:pStyle w:val="ListBullet"/>
        <w:spacing w:after="60"/>
      </w:pPr>
      <w:r>
        <w:rPr>
          <w:rFonts w:ascii="Calibri" w:hAnsi="Calibri"/>
          <w:sz w:val="22"/>
        </w:rPr>
        <w:t>Seven interactive sidebar filters (Date Range, Branch, City, Customer Type, Gender, Product Line, Payment Method) with a one-click Reset function.</w:t>
      </w:r>
    </w:p>
    <w:p>
      <w:pPr>
        <w:pStyle w:val="ListBullet"/>
        <w:spacing w:after="60"/>
      </w:pPr>
      <w:r>
        <w:rPr>
          <w:rFonts w:ascii="Calibri" w:hAnsi="Calibri"/>
          <w:sz w:val="22"/>
        </w:rPr>
        <w:t>A dynamic business insights engine that generates 15+ text insights automatically from the filtered data without manual coding.</w:t>
      </w:r>
    </w:p>
    <w:p>
      <w:pPr>
        <w:pStyle w:val="ListBullet"/>
        <w:spacing w:after="60"/>
      </w:pPr>
      <w:r>
        <w:rPr>
          <w:rFonts w:ascii="Calibri" w:hAnsi="Calibri"/>
          <w:sz w:val="22"/>
        </w:rPr>
        <w:t>A complete data quality report with a cleaning log displayed in the Data Explorer tab.</w:t>
      </w:r>
    </w:p>
    <w:p>
      <w:pPr>
        <w:pStyle w:val="ListBullet"/>
        <w:spacing w:after="60"/>
      </w:pPr>
      <w:r>
        <w:rPr>
          <w:rFonts w:ascii="Calibri" w:hAnsi="Calibri"/>
          <w:sz w:val="22"/>
        </w:rPr>
        <w:t>A Pareto chart and Sales Contribution % chart for identifying high-priority product lines.</w:t>
      </w:r>
    </w:p>
    <w:p>
      <w:pPr>
        <w:pStyle w:val="ListBullet"/>
        <w:spacing w:after="60"/>
      </w:pPr>
      <w:r>
        <w:rPr>
          <w:rFonts w:ascii="Calibri" w:hAnsi="Calibri"/>
          <w:sz w:val="22"/>
        </w:rPr>
        <w:t>A correlation heatmap for numerical feature relationships.</w:t>
      </w:r>
    </w:p>
    <w:p>
      <w:pPr>
        <w:pStyle w:val="ListBullet"/>
        <w:spacing w:after="60"/>
      </w:pPr>
      <w:r>
        <w:rPr>
          <w:rFonts w:ascii="Calibri" w:hAnsi="Calibri"/>
          <w:sz w:val="22"/>
        </w:rPr>
        <w:t>CSV upload support for using the dashboard with alternative datasets.</w:t>
      </w:r>
    </w:p>
    <w:p>
      <w:pPr>
        <w:pStyle w:val="ListBullet"/>
        <w:spacing w:after="60"/>
      </w:pPr>
      <w:r>
        <w:rPr>
          <w:rFonts w:ascii="Calibri" w:hAnsi="Calibri"/>
          <w:sz w:val="22"/>
        </w:rPr>
        <w:t>Filtered data CSV export for offline analysis.</w:t>
      </w:r>
    </w:p>
    <w:p>
      <w:pPr>
        <w:pStyle w:val="ListBullet"/>
        <w:spacing w:after="60"/>
      </w:pPr>
      <w:r>
        <w:rPr>
          <w:rFonts w:ascii="Calibri" w:hAnsi="Calibri"/>
          <w:sz w:val="22"/>
        </w:rPr>
        <w:t>A clean, professional dark-theme UI using glassmorphism cards, the Inter font, and Plotly transparent chart backgrounds.</w:t>
      </w:r>
    </w:p>
    <w:p>
      <w:pPr>
        <w:pStyle w:val="Heading1"/>
        <w:spacing w:before="360" w:after="120"/>
      </w:pPr>
      <w:r>
        <w:rPr>
          <w:color w:val="1A1A6E"/>
        </w:rPr>
        <w:t>25. Limitations</w:t>
      </w:r>
    </w:p>
    <w:p>
      <w:pPr>
        <w:pStyle w:val="ListBullet"/>
        <w:spacing w:after="60"/>
      </w:pPr>
      <w:r>
        <w:rPr>
          <w:rFonts w:ascii="Calibri" w:hAnsi="Calibri"/>
          <w:sz w:val="22"/>
        </w:rPr>
        <w:t>Static Historical Dataset: The dataset covers only January to March 2019 — a 3-month period with 1,000 transactions. Conclusions drawn from this data may not represent current market conditions or long-term trends.</w:t>
      </w:r>
    </w:p>
    <w:p>
      <w:pPr>
        <w:pStyle w:val="ListBullet"/>
        <w:spacing w:after="60"/>
      </w:pPr>
      <w:r>
        <w:rPr>
          <w:rFonts w:ascii="Calibri" w:hAnsi="Calibri"/>
          <w:sz w:val="22"/>
        </w:rPr>
        <w:t>No Real-Time Data: The dashboard works with static CSV files and does not connect to a live database or real-time data feed. All analysis is batch-based.</w:t>
      </w:r>
    </w:p>
    <w:p>
      <w:pPr>
        <w:pStyle w:val="ListBullet"/>
        <w:spacing w:after="60"/>
      </w:pPr>
      <w:r>
        <w:rPr>
          <w:rFonts w:ascii="Calibri" w:hAnsi="Calibri"/>
          <w:sz w:val="22"/>
        </w:rPr>
        <w:t>Fixed Gross Margin: The gross margin percentage is fixed at approximately 4.76% for all transactions across all product lines. Real supermarkets have variable margins across products; this constraint limits the depth of financial analysis.</w:t>
      </w:r>
    </w:p>
    <w:p>
      <w:pPr>
        <w:pStyle w:val="ListBullet"/>
        <w:spacing w:after="60"/>
      </w:pPr>
      <w:r>
        <w:rPr>
          <w:rFonts w:ascii="Calibri" w:hAnsi="Calibri"/>
          <w:sz w:val="22"/>
        </w:rPr>
        <w:t>Limited Geospatial Analysis: City and branch information is available, but no geospatial or map-based visualisation is implemented. Geographic analysis is limited to tabular and bar chart comparisons.</w:t>
      </w:r>
    </w:p>
    <w:p>
      <w:pPr>
        <w:pStyle w:val="ListBullet"/>
        <w:spacing w:after="60"/>
      </w:pPr>
      <w:r>
        <w:rPr>
          <w:rFonts w:ascii="Calibri" w:hAnsi="Calibri"/>
          <w:sz w:val="22"/>
        </w:rPr>
        <w:t>No Forecasting: The project does not include predictive models for sales forecasting, demand prediction, or trend extrapolation.</w:t>
      </w:r>
    </w:p>
    <w:p>
      <w:pPr>
        <w:pStyle w:val="ListBullet"/>
        <w:spacing w:after="60"/>
      </w:pPr>
      <w:r>
        <w:rPr>
          <w:rFonts w:ascii="Calibri" w:hAnsi="Calibri"/>
          <w:sz w:val="22"/>
        </w:rPr>
        <w:t>No Inventory Data: The dataset does not include stock levels, reorder points, or inventory turnover metrics, limiting supply chain analysis.</w:t>
      </w:r>
    </w:p>
    <w:p>
      <w:pPr>
        <w:pStyle w:val="ListBullet"/>
        <w:spacing w:after="60"/>
      </w:pPr>
      <w:r>
        <w:rPr>
          <w:rFonts w:ascii="Calibri" w:hAnsi="Calibri"/>
          <w:sz w:val="22"/>
        </w:rPr>
        <w:t>Single-User: The Streamlit app runs as a single-user local server. It is not configured for multi-user concurrent access or role-based access control.</w:t>
      </w:r>
    </w:p>
    <w:p>
      <w:pPr>
        <w:pStyle w:val="ListBullet"/>
        <w:spacing w:after="60"/>
      </w:pPr>
      <w:r>
        <w:rPr>
          <w:rFonts w:ascii="Calibri" w:hAnsi="Calibri"/>
          <w:sz w:val="22"/>
        </w:rPr>
        <w:t>Time Period: With only three months of data, seasonality and annual trends cannot be assessed reliably.</w:t>
      </w:r>
    </w:p>
    <w:p>
      <w:pPr>
        <w:pStyle w:val="Heading1"/>
        <w:spacing w:before="360" w:after="120"/>
      </w:pPr>
      <w:r>
        <w:rPr>
          <w:color w:val="1A1A6E"/>
        </w:rPr>
        <w:t>26. Future Scope</w:t>
      </w:r>
    </w:p>
    <w:p>
      <w:pPr>
        <w:spacing w:after="120" w:line="360" w:lineRule="auto"/>
      </w:pPr>
      <w:r>
        <w:rPr>
          <w:rFonts w:ascii="Calibri" w:hAnsi="Calibri"/>
          <w:b w:val="0"/>
          <w:i w:val="0"/>
          <w:sz w:val="22"/>
        </w:rPr>
        <w:t>The following enhancements are identified as future improvements. None of these are currently implemented:</w:t>
      </w:r>
    </w:p>
    <w:p>
      <w:pPr>
        <w:pStyle w:val="ListBullet"/>
        <w:spacing w:after="60"/>
      </w:pPr>
      <w:r>
        <w:rPr>
          <w:rFonts w:ascii="Calibri" w:hAnsi="Calibri"/>
          <w:sz w:val="22"/>
        </w:rPr>
        <w:t>Real-Time Database Integration: Connect the dashboard to a live SQL or NoSQL database to support real-time transaction monitoring.</w:t>
      </w:r>
    </w:p>
    <w:p>
      <w:pPr>
        <w:pStyle w:val="ListBullet"/>
        <w:spacing w:after="60"/>
      </w:pPr>
      <w:r>
        <w:rPr>
          <w:rFonts w:ascii="Calibri" w:hAnsi="Calibri"/>
          <w:sz w:val="22"/>
        </w:rPr>
        <w:t>Sales Forecasting: Integrate time-series forecasting models (Facebook Prophet, ARIMA, SARIMA) to predict future sales based on historical trends.</w:t>
      </w:r>
    </w:p>
    <w:p>
      <w:pPr>
        <w:pStyle w:val="ListBullet"/>
        <w:spacing w:after="60"/>
      </w:pPr>
      <w:r>
        <w:rPr>
          <w:rFonts w:ascii="Calibri" w:hAnsi="Calibri"/>
          <w:sz w:val="22"/>
        </w:rPr>
        <w:t>Demand Forecasting: Predict product-level demand to support inventory management and prevent stockouts.</w:t>
      </w:r>
    </w:p>
    <w:p>
      <w:pPr>
        <w:pStyle w:val="ListBullet"/>
        <w:spacing w:after="60"/>
      </w:pPr>
      <w:r>
        <w:rPr>
          <w:rFonts w:ascii="Calibri" w:hAnsi="Calibri"/>
          <w:sz w:val="22"/>
        </w:rPr>
        <w:t>Customer Segmentation: Apply clustering algorithms (K-Means, DBSCAN) to segment customers by purchase behaviour for personalised marketing.</w:t>
      </w:r>
    </w:p>
    <w:p>
      <w:pPr>
        <w:pStyle w:val="ListBullet"/>
        <w:spacing w:after="60"/>
      </w:pPr>
      <w:r>
        <w:rPr>
          <w:rFonts w:ascii="Calibri" w:hAnsi="Calibri"/>
          <w:sz w:val="22"/>
        </w:rPr>
        <w:t>Anomaly Detection: Implement statistical or machine learning-based anomaly detection to flag unusual transactions or potential fraud.</w:t>
      </w:r>
    </w:p>
    <w:p>
      <w:pPr>
        <w:pStyle w:val="ListBullet"/>
        <w:spacing w:after="60"/>
      </w:pPr>
      <w:r>
        <w:rPr>
          <w:rFonts w:ascii="Calibri" w:hAnsi="Calibri"/>
          <w:sz w:val="22"/>
        </w:rPr>
        <w:t>Cloud Deployment: Deploy the Streamlit app on cloud platforms such as Streamlit Community Cloud, AWS, GCP, or Azure for multi-user access.</w:t>
      </w:r>
    </w:p>
    <w:p>
      <w:pPr>
        <w:pStyle w:val="ListBullet"/>
        <w:spacing w:after="60"/>
      </w:pPr>
      <w:r>
        <w:rPr>
          <w:rFonts w:ascii="Calibri" w:hAnsi="Calibri"/>
          <w:sz w:val="22"/>
        </w:rPr>
        <w:t>PDF Report Export: Add automated PDF export functionality to generate scheduled analytics reports.</w:t>
      </w:r>
    </w:p>
    <w:p>
      <w:pPr>
        <w:pStyle w:val="ListBullet"/>
        <w:spacing w:after="60"/>
      </w:pPr>
      <w:r>
        <w:rPr>
          <w:rFonts w:ascii="Calibri" w:hAnsi="Calibri"/>
          <w:sz w:val="22"/>
        </w:rPr>
        <w:t>Machine Learning Integration: Integrate regression or classification models to predict customer rating, churn risk, or basket size.</w:t>
      </w:r>
    </w:p>
    <w:p>
      <w:pPr>
        <w:pStyle w:val="ListBullet"/>
        <w:spacing w:after="60"/>
      </w:pPr>
      <w:r>
        <w:rPr>
          <w:rFonts w:ascii="Calibri" w:hAnsi="Calibri"/>
          <w:sz w:val="22"/>
        </w:rPr>
        <w:t>Mobile-Responsive Layout: Improve the CSS layout for better usability on tablets and mobile devices.</w:t>
      </w:r>
    </w:p>
    <w:p>
      <w:pPr>
        <w:pStyle w:val="ListBullet"/>
        <w:spacing w:after="60"/>
      </w:pPr>
      <w:r>
        <w:rPr>
          <w:rFonts w:ascii="Calibri" w:hAnsi="Calibri"/>
          <w:sz w:val="22"/>
        </w:rPr>
        <w:t>Multi-Store Comparison: Support side-by-side comparison of multiple uploaded datasets from different store locations or time periods.</w:t>
      </w:r>
    </w:p>
    <w:p>
      <w:pPr>
        <w:pStyle w:val="ListBullet"/>
        <w:spacing w:after="60"/>
      </w:pPr>
      <w:r>
        <w:rPr>
          <w:rFonts w:ascii="Calibri" w:hAnsi="Calibri"/>
          <w:sz w:val="22"/>
        </w:rPr>
        <w:t>Automated Data Pipeline: Integrate ETL pipelines using Apache Airflow or Python scheduling to automatically ingest, clean, and update data from source systems.</w:t>
      </w:r>
    </w:p>
    <w:p>
      <w:r>
        <w:br w:type="page"/>
      </w:r>
    </w:p>
    <w:p>
      <w:pPr>
        <w:pStyle w:val="Heading1"/>
        <w:spacing w:before="360" w:after="120"/>
      </w:pPr>
      <w:r>
        <w:rPr>
          <w:color w:val="1A1A6E"/>
        </w:rPr>
        <w:t>27. Conclusion</w:t>
      </w:r>
    </w:p>
    <w:p>
      <w:pPr>
        <w:spacing w:after="120" w:line="360" w:lineRule="auto"/>
      </w:pPr>
      <w:r>
        <w:rPr>
          <w:rFonts w:ascii="Calibri" w:hAnsi="Calibri"/>
          <w:b w:val="0"/>
          <w:i w:val="0"/>
          <w:sz w:val="22"/>
        </w:rPr>
        <w:t>The SuperMarket Sales Analytics Dashboard successfully demonstrates how Python-based data analytics tools can transform raw transaction records into a powerful, interactive business intelligence platform. Starting from a dataset of 1,000 supermarket transactions covering January 01, 2019 to March 30, 2019, the project implements a complete analytics pipeline: from data loading, cleaning, and feature engineering through to KPI computation, multi-dimensional analysis, dynamic visualisation, and automated insight generation.</w:t>
      </w:r>
    </w:p>
    <w:p>
      <w:pPr>
        <w:spacing w:after="120" w:line="360" w:lineRule="auto"/>
      </w:pPr>
      <w:r>
        <w:rPr>
          <w:rFonts w:ascii="Calibri" w:hAnsi="Calibri"/>
          <w:b w:val="0"/>
          <w:i w:val="0"/>
          <w:sz w:val="22"/>
        </w:rPr>
        <w:t>The key findings from the data include: Food and Beverages is the top-selling and highest-rated product line; Branch Giza leads all branches in sales ($110,568.71) and customer satisfaction (7.07/10); Member customers outperform Normal customers in total sales; Female customers contribute 60.3% of total sales; Cash and Ewallet are nearly equally preferred payment methods; and the overall customer satisfaction level of 6.97/10 indicates a generally positive shopping experience across all branches.</w:t>
      </w:r>
    </w:p>
    <w:p>
      <w:pPr>
        <w:spacing w:after="120" w:line="360" w:lineRule="auto"/>
      </w:pPr>
      <w:r>
        <w:rPr>
          <w:rFonts w:ascii="Calibri" w:hAnsi="Calibri"/>
          <w:b w:val="0"/>
          <w:i w:val="0"/>
          <w:sz w:val="22"/>
        </w:rPr>
        <w:t>This project demonstrates proficiency in end-to-end data analytics development using the Python data science ecosystem, including Pandas for data manipulation, NumPy for numerical operations, Plotly for interactive visualisation, and Streamlit for rapid web application development. The modular architecture ensures the codebase is maintainable, extensible, and reusable for other datasets.</w:t>
      </w:r>
    </w:p>
    <w:p>
      <w:pPr>
        <w:spacing w:after="120" w:line="360" w:lineRule="auto"/>
      </w:pPr>
      <w:r>
        <w:rPr>
          <w:rFonts w:ascii="Calibri" w:hAnsi="Calibri"/>
          <w:b w:val="0"/>
          <w:i w:val="0"/>
          <w:sz w:val="22"/>
        </w:rPr>
        <w:t>As part of the AICTE | IBM SkillsBuild Data Analytics with AI Internship 2026 under BharatCares, this project fulfils the internship requirements by demonstrating real-world application of data analytics skills to a practical business domain. The dashboard can serve as a foundation for more advanced analytics solutions incorporating real-time data, machine learning, and cloud deployment.</w:t>
      </w:r>
    </w:p>
    <w:p>
      <w:pPr>
        <w:pStyle w:val="Heading1"/>
        <w:spacing w:before="360" w:after="120"/>
      </w:pPr>
      <w:r>
        <w:rPr>
          <w:color w:val="1A1A6E"/>
        </w:rPr>
        <w:t>28. References</w:t>
      </w:r>
    </w:p>
    <w:p>
      <w:pPr>
        <w:spacing w:after="80"/>
        <w:ind w:left="360"/>
      </w:pPr>
      <w:r>
        <w:rPr>
          <w:rFonts w:ascii="Calibri" w:hAnsi="Calibri"/>
          <w:sz w:val="20"/>
        </w:rPr>
        <w:t>[1] McKinney, W. (2010). Data Structures for Statistical Computing in Python. Proceedings of the 9th Python in Science Conference. — Pandas library.</w:t>
      </w:r>
    </w:p>
    <w:p>
      <w:pPr>
        <w:spacing w:after="80"/>
        <w:ind w:left="360"/>
      </w:pPr>
      <w:r>
        <w:rPr>
          <w:rFonts w:ascii="Calibri" w:hAnsi="Calibri"/>
          <w:sz w:val="20"/>
        </w:rPr>
        <w:t>[2] Harris, C.R., et al. (2020). Array programming with NumPy. Nature, 585, 357–362. — NumPy library.</w:t>
      </w:r>
    </w:p>
    <w:p>
      <w:pPr>
        <w:spacing w:after="80"/>
        <w:ind w:left="360"/>
      </w:pPr>
      <w:r>
        <w:rPr>
          <w:rFonts w:ascii="Calibri" w:hAnsi="Calibri"/>
          <w:sz w:val="20"/>
        </w:rPr>
        <w:t>[3] Plotly Technologies Inc. (2015). Collaborative data science. Montreal, QC: Plotly Technologies Inc. URL: https://plotly.com</w:t>
      </w:r>
    </w:p>
    <w:p>
      <w:pPr>
        <w:spacing w:after="80"/>
        <w:ind w:left="360"/>
      </w:pPr>
      <w:r>
        <w:rPr>
          <w:rFonts w:ascii="Calibri" w:hAnsi="Calibri"/>
          <w:sz w:val="20"/>
        </w:rPr>
        <w:t>[4] Streamlit Inc. (2019). Streamlit — The fastest way to build data apps. URL: https://streamlit.io</w:t>
      </w:r>
    </w:p>
    <w:p>
      <w:pPr>
        <w:spacing w:after="80"/>
        <w:ind w:left="360"/>
      </w:pPr>
      <w:r>
        <w:rPr>
          <w:rFonts w:ascii="Calibri" w:hAnsi="Calibri"/>
          <w:sz w:val="20"/>
        </w:rPr>
        <w:t>[5] Scikit-learn: Machine Learning in Python. Pedregosa et al., JMLR 12, pp. 2825–2830, 2011. — scikit-learn library.</w:t>
      </w:r>
    </w:p>
    <w:p>
      <w:pPr>
        <w:spacing w:after="80"/>
        <w:ind w:left="360"/>
      </w:pPr>
      <w:r>
        <w:rPr>
          <w:rFonts w:ascii="Calibri" w:hAnsi="Calibri"/>
          <w:sz w:val="20"/>
        </w:rPr>
        <w:t>[6] Python Software Foundation. Python Language Reference, version 3.9+. Available at https://www.python.org</w:t>
      </w:r>
    </w:p>
    <w:p>
      <w:pPr>
        <w:spacing w:after="80"/>
        <w:ind w:left="360"/>
      </w:pPr>
      <w:r>
        <w:rPr>
          <w:rFonts w:ascii="Calibri" w:hAnsi="Calibri"/>
          <w:sz w:val="20"/>
        </w:rPr>
        <w:t>[7] Dataset: SuperMarket Analysis.csv — Supermarket sales transaction dataset (January–March 2019). Used as the primary data source for this project.</w:t>
      </w:r>
    </w:p>
    <w:p>
      <w:pPr>
        <w:spacing w:after="80"/>
        <w:ind w:left="360"/>
      </w:pPr>
      <w:r>
        <w:rPr>
          <w:rFonts w:ascii="Calibri" w:hAnsi="Calibri"/>
          <w:sz w:val="20"/>
        </w:rPr>
        <w:t>[8] IBM SkillsBuild. Data Analytics with AI Internship 2026. URL: https://skillsbuild.org</w:t>
      </w:r>
    </w:p>
    <w:p>
      <w:pPr>
        <w:spacing w:after="80"/>
        <w:ind w:left="360"/>
      </w:pPr>
      <w:r>
        <w:rPr>
          <w:rFonts w:ascii="Calibri" w:hAnsi="Calibri"/>
          <w:sz w:val="20"/>
        </w:rPr>
        <w:t>[9] AICTE. All India Council for Technical Education — Internship and Project Guidelines. URL: https://aicte-india.org</w:t>
      </w:r>
    </w:p>
    <w:p>
      <w:pPr>
        <w:spacing w:after="80"/>
        <w:ind w:left="360"/>
      </w:pPr>
      <w:r>
        <w:rPr>
          <w:rFonts w:ascii="Calibri" w:hAnsi="Calibri"/>
          <w:sz w:val="20"/>
        </w:rPr>
        <w:t>[10] Wickham, H. (2016). ggplot2: Elegant Graphics for Data Analysis. Springer. — Inspiration for data visualisation best practices.</w:t>
      </w:r>
    </w:p>
    <w:p>
      <w:r>
        <w:br w:type="page"/>
      </w:r>
    </w:p>
    <w:p>
      <w:pPr>
        <w:pStyle w:val="Heading1"/>
        <w:spacing w:before="360" w:after="120"/>
      </w:pPr>
      <w:r>
        <w:rPr>
          <w:color w:val="1A1A6E"/>
        </w:rPr>
        <w:t>29. Appendix</w:t>
      </w:r>
    </w:p>
    <w:p>
      <w:pPr>
        <w:pStyle w:val="Heading2"/>
        <w:spacing w:before="240" w:after="80"/>
      </w:pPr>
      <w:r>
        <w:rPr>
          <w:color w:val="2C3E7A"/>
        </w:rPr>
        <w:t>Appendix A: Dataset Sample (First 5 Rows)</w:t>
      </w:r>
    </w:p>
    <w:tbl>
      <w:tblPr>
        <w:tblStyle w:val="TableGrid"/>
        <w:tblW w:type="auto" w:w="0"/>
        <w:jc w:val="center"/>
        <w:tblLook w:firstColumn="1" w:firstRow="1" w:lastColumn="0" w:lastRow="0" w:noHBand="0" w:noVBand="1" w:val="04A0"/>
      </w:tblPr>
      <w:tblGrid>
        <w:gridCol w:w="755"/>
        <w:gridCol w:w="755"/>
        <w:gridCol w:w="755"/>
        <w:gridCol w:w="755"/>
        <w:gridCol w:w="755"/>
        <w:gridCol w:w="755"/>
        <w:gridCol w:w="755"/>
        <w:gridCol w:w="755"/>
        <w:gridCol w:w="755"/>
        <w:gridCol w:w="755"/>
        <w:gridCol w:w="755"/>
      </w:tblGrid>
      <w:tr>
        <w:tc>
          <w:tcPr>
            <w:tcW w:type="dxa" w:w="2016"/>
            <w:shd w:val="clear" w:color="auto" w:fill="1A1A6E"/>
            <w:vAlign w:val="center"/>
          </w:tcPr>
          <w:p>
            <w:pPr>
              <w:jc w:val="center"/>
            </w:pPr>
            <w:r>
              <w:rPr>
                <w:b/>
                <w:color w:val="FFFFFF"/>
                <w:sz w:val="20"/>
              </w:rPr>
              <w:t>Invoice ID</w:t>
            </w:r>
          </w:p>
        </w:tc>
        <w:tc>
          <w:tcPr>
            <w:tcW w:type="dxa" w:w="1008"/>
            <w:shd w:val="clear" w:color="auto" w:fill="1A1A6E"/>
            <w:vAlign w:val="center"/>
          </w:tcPr>
          <w:p>
            <w:pPr>
              <w:jc w:val="center"/>
            </w:pPr>
            <w:r>
              <w:rPr>
                <w:b/>
                <w:color w:val="FFFFFF"/>
                <w:sz w:val="20"/>
              </w:rPr>
              <w:t>Branch</w:t>
            </w:r>
          </w:p>
        </w:tc>
        <w:tc>
          <w:tcPr>
            <w:tcW w:type="dxa" w:w="1440"/>
            <w:shd w:val="clear" w:color="auto" w:fill="1A1A6E"/>
            <w:vAlign w:val="center"/>
          </w:tcPr>
          <w:p>
            <w:pPr>
              <w:jc w:val="center"/>
            </w:pPr>
            <w:r>
              <w:rPr>
                <w:b/>
                <w:color w:val="FFFFFF"/>
                <w:sz w:val="20"/>
              </w:rPr>
              <w:t>City</w:t>
            </w:r>
          </w:p>
        </w:tc>
        <w:tc>
          <w:tcPr>
            <w:tcW w:type="dxa" w:w="1440"/>
            <w:shd w:val="clear" w:color="auto" w:fill="1A1A6E"/>
            <w:vAlign w:val="center"/>
          </w:tcPr>
          <w:p>
            <w:pPr>
              <w:jc w:val="center"/>
            </w:pPr>
            <w:r>
              <w:rPr>
                <w:b/>
                <w:color w:val="FFFFFF"/>
                <w:sz w:val="20"/>
              </w:rPr>
              <w:t>Customer type</w:t>
            </w:r>
          </w:p>
        </w:tc>
        <w:tc>
          <w:tcPr>
            <w:tcW w:type="dxa" w:w="1008"/>
            <w:shd w:val="clear" w:color="auto" w:fill="1A1A6E"/>
            <w:vAlign w:val="center"/>
          </w:tcPr>
          <w:p>
            <w:pPr>
              <w:jc w:val="center"/>
            </w:pPr>
            <w:r>
              <w:rPr>
                <w:b/>
                <w:color w:val="FFFFFF"/>
                <w:sz w:val="20"/>
              </w:rPr>
              <w:t>Gender</w:t>
            </w:r>
          </w:p>
        </w:tc>
        <w:tc>
          <w:tcPr>
            <w:tcW w:type="dxa" w:w="2304"/>
            <w:shd w:val="clear" w:color="auto" w:fill="1A1A6E"/>
            <w:vAlign w:val="center"/>
          </w:tcPr>
          <w:p>
            <w:pPr>
              <w:jc w:val="center"/>
            </w:pPr>
            <w:r>
              <w:rPr>
                <w:b/>
                <w:color w:val="FFFFFF"/>
                <w:sz w:val="20"/>
              </w:rPr>
              <w:t>Product line</w:t>
            </w:r>
          </w:p>
        </w:tc>
        <w:tc>
          <w:tcPr>
            <w:tcW w:type="dxa" w:w="1008"/>
            <w:shd w:val="clear" w:color="auto" w:fill="1A1A6E"/>
            <w:vAlign w:val="center"/>
          </w:tcPr>
          <w:p>
            <w:pPr>
              <w:jc w:val="center"/>
            </w:pPr>
            <w:r>
              <w:rPr>
                <w:b/>
                <w:color w:val="FFFFFF"/>
                <w:sz w:val="20"/>
              </w:rPr>
              <w:t>Unit price</w:t>
            </w:r>
          </w:p>
        </w:tc>
        <w:tc>
          <w:tcPr>
            <w:tcW w:type="dxa" w:w="1008"/>
            <w:shd w:val="clear" w:color="auto" w:fill="1A1A6E"/>
            <w:vAlign w:val="center"/>
          </w:tcPr>
          <w:p>
            <w:pPr>
              <w:jc w:val="center"/>
            </w:pPr>
            <w:r>
              <w:rPr>
                <w:b/>
                <w:color w:val="FFFFFF"/>
                <w:sz w:val="20"/>
              </w:rPr>
              <w:t>Quantity</w:t>
            </w:r>
          </w:p>
        </w:tc>
        <w:tc>
          <w:tcPr>
            <w:tcW w:type="dxa" w:w="1152"/>
            <w:shd w:val="clear" w:color="auto" w:fill="1A1A6E"/>
            <w:vAlign w:val="center"/>
          </w:tcPr>
          <w:p>
            <w:pPr>
              <w:jc w:val="center"/>
            </w:pPr>
            <w:r>
              <w:rPr>
                <w:b/>
                <w:color w:val="FFFFFF"/>
                <w:sz w:val="20"/>
              </w:rPr>
              <w:t>Sales</w:t>
            </w:r>
          </w:p>
        </w:tc>
        <w:tc>
          <w:tcPr>
            <w:tcW w:type="dxa" w:w="1152"/>
            <w:shd w:val="clear" w:color="auto" w:fill="1A1A6E"/>
            <w:vAlign w:val="center"/>
          </w:tcPr>
          <w:p>
            <w:pPr>
              <w:jc w:val="center"/>
            </w:pPr>
            <w:r>
              <w:rPr>
                <w:b/>
                <w:color w:val="FFFFFF"/>
                <w:sz w:val="20"/>
              </w:rPr>
              <w:t>Payment</w:t>
            </w:r>
          </w:p>
        </w:tc>
        <w:tc>
          <w:tcPr>
            <w:tcW w:type="dxa" w:w="864"/>
            <w:shd w:val="clear" w:color="auto" w:fill="1A1A6E"/>
            <w:vAlign w:val="center"/>
          </w:tcPr>
          <w:p>
            <w:pPr>
              <w:jc w:val="center"/>
            </w:pPr>
            <w:r>
              <w:rPr>
                <w:b/>
                <w:color w:val="FFFFFF"/>
                <w:sz w:val="20"/>
              </w:rPr>
              <w:t>Rating</w:t>
            </w:r>
          </w:p>
        </w:tc>
      </w:tr>
      <w:tr>
        <w:tc>
          <w:tcPr>
            <w:tcW w:type="dxa" w:w="2016"/>
          </w:tcPr>
          <w:p>
            <w:r>
              <w:rPr>
                <w:rFonts w:ascii="Calibri" w:hAnsi="Calibri"/>
                <w:sz w:val="20"/>
              </w:rPr>
              <w:t>750-67-8428</w:t>
            </w:r>
          </w:p>
        </w:tc>
        <w:tc>
          <w:tcPr>
            <w:tcW w:type="dxa" w:w="1008"/>
          </w:tcPr>
          <w:p>
            <w:r>
              <w:rPr>
                <w:rFonts w:ascii="Calibri" w:hAnsi="Calibri"/>
                <w:sz w:val="20"/>
              </w:rPr>
              <w:t>Alex</w:t>
            </w:r>
          </w:p>
        </w:tc>
        <w:tc>
          <w:tcPr>
            <w:tcW w:type="dxa" w:w="1440"/>
          </w:tcPr>
          <w:p>
            <w:r>
              <w:rPr>
                <w:rFonts w:ascii="Calibri" w:hAnsi="Calibri"/>
                <w:sz w:val="20"/>
              </w:rPr>
              <w:t>Yangon</w:t>
            </w:r>
          </w:p>
        </w:tc>
        <w:tc>
          <w:tcPr>
            <w:tcW w:type="dxa" w:w="1440"/>
          </w:tcPr>
          <w:p>
            <w:r>
              <w:rPr>
                <w:rFonts w:ascii="Calibri" w:hAnsi="Calibri"/>
                <w:sz w:val="20"/>
              </w:rPr>
              <w:t>Member</w:t>
            </w:r>
          </w:p>
        </w:tc>
        <w:tc>
          <w:tcPr>
            <w:tcW w:type="dxa" w:w="1008"/>
          </w:tcPr>
          <w:p>
            <w:r>
              <w:rPr>
                <w:rFonts w:ascii="Calibri" w:hAnsi="Calibri"/>
                <w:sz w:val="20"/>
              </w:rPr>
              <w:t>Female</w:t>
            </w:r>
          </w:p>
        </w:tc>
        <w:tc>
          <w:tcPr>
            <w:tcW w:type="dxa" w:w="2304"/>
          </w:tcPr>
          <w:p>
            <w:r>
              <w:rPr>
                <w:rFonts w:ascii="Calibri" w:hAnsi="Calibri"/>
                <w:sz w:val="20"/>
              </w:rPr>
              <w:t>Health and beauty</w:t>
            </w:r>
          </w:p>
        </w:tc>
        <w:tc>
          <w:tcPr>
            <w:tcW w:type="dxa" w:w="1008"/>
          </w:tcPr>
          <w:p>
            <w:r>
              <w:rPr>
                <w:rFonts w:ascii="Calibri" w:hAnsi="Calibri"/>
                <w:sz w:val="20"/>
              </w:rPr>
              <w:t>$74.69</w:t>
            </w:r>
          </w:p>
        </w:tc>
        <w:tc>
          <w:tcPr>
            <w:tcW w:type="dxa" w:w="1008"/>
          </w:tcPr>
          <w:p>
            <w:r>
              <w:rPr>
                <w:rFonts w:ascii="Calibri" w:hAnsi="Calibri"/>
                <w:sz w:val="20"/>
              </w:rPr>
              <w:t>7</w:t>
            </w:r>
          </w:p>
        </w:tc>
        <w:tc>
          <w:tcPr>
            <w:tcW w:type="dxa" w:w="1152"/>
          </w:tcPr>
          <w:p>
            <w:r>
              <w:rPr>
                <w:rFonts w:ascii="Calibri" w:hAnsi="Calibri"/>
                <w:sz w:val="20"/>
              </w:rPr>
              <w:t>$548.97</w:t>
            </w:r>
          </w:p>
        </w:tc>
        <w:tc>
          <w:tcPr>
            <w:tcW w:type="dxa" w:w="1152"/>
          </w:tcPr>
          <w:p>
            <w:r>
              <w:rPr>
                <w:rFonts w:ascii="Calibri" w:hAnsi="Calibri"/>
                <w:sz w:val="20"/>
              </w:rPr>
              <w:t>Ewallet</w:t>
            </w:r>
          </w:p>
        </w:tc>
        <w:tc>
          <w:tcPr>
            <w:tcW w:type="dxa" w:w="864"/>
          </w:tcPr>
          <w:p>
            <w:r>
              <w:rPr>
                <w:rFonts w:ascii="Calibri" w:hAnsi="Calibri"/>
                <w:sz w:val="20"/>
              </w:rPr>
              <w:t>9.1</w:t>
            </w:r>
          </w:p>
        </w:tc>
      </w:tr>
      <w:tr>
        <w:tc>
          <w:tcPr>
            <w:tcW w:type="dxa" w:w="2016"/>
            <w:shd w:val="clear" w:color="auto" w:fill="EEF2FF"/>
          </w:tcPr>
          <w:p>
            <w:r>
              <w:rPr>
                <w:rFonts w:ascii="Calibri" w:hAnsi="Calibri"/>
                <w:sz w:val="20"/>
              </w:rPr>
              <w:t>226-31-3081</w:t>
            </w:r>
          </w:p>
        </w:tc>
        <w:tc>
          <w:tcPr>
            <w:tcW w:type="dxa" w:w="1008"/>
            <w:shd w:val="clear" w:color="auto" w:fill="EEF2FF"/>
          </w:tcPr>
          <w:p>
            <w:r>
              <w:rPr>
                <w:rFonts w:ascii="Calibri" w:hAnsi="Calibri"/>
                <w:sz w:val="20"/>
              </w:rPr>
              <w:t>Giza</w:t>
            </w:r>
          </w:p>
        </w:tc>
        <w:tc>
          <w:tcPr>
            <w:tcW w:type="dxa" w:w="1440"/>
            <w:shd w:val="clear" w:color="auto" w:fill="EEF2FF"/>
          </w:tcPr>
          <w:p>
            <w:r>
              <w:rPr>
                <w:rFonts w:ascii="Calibri" w:hAnsi="Calibri"/>
                <w:sz w:val="20"/>
              </w:rPr>
              <w:t>Naypyitaw</w:t>
            </w:r>
          </w:p>
        </w:tc>
        <w:tc>
          <w:tcPr>
            <w:tcW w:type="dxa" w:w="1440"/>
            <w:shd w:val="clear" w:color="auto" w:fill="EEF2FF"/>
          </w:tcPr>
          <w:p>
            <w:r>
              <w:rPr>
                <w:rFonts w:ascii="Calibri" w:hAnsi="Calibri"/>
                <w:sz w:val="20"/>
              </w:rPr>
              <w:t>Normal</w:t>
            </w:r>
          </w:p>
        </w:tc>
        <w:tc>
          <w:tcPr>
            <w:tcW w:type="dxa" w:w="1008"/>
            <w:shd w:val="clear" w:color="auto" w:fill="EEF2FF"/>
          </w:tcPr>
          <w:p>
            <w:r>
              <w:rPr>
                <w:rFonts w:ascii="Calibri" w:hAnsi="Calibri"/>
                <w:sz w:val="20"/>
              </w:rPr>
              <w:t>Female</w:t>
            </w:r>
          </w:p>
        </w:tc>
        <w:tc>
          <w:tcPr>
            <w:tcW w:type="dxa" w:w="2304"/>
            <w:shd w:val="clear" w:color="auto" w:fill="EEF2FF"/>
          </w:tcPr>
          <w:p>
            <w:r>
              <w:rPr>
                <w:rFonts w:ascii="Calibri" w:hAnsi="Calibri"/>
                <w:sz w:val="20"/>
              </w:rPr>
              <w:t>Electronic accessories</w:t>
            </w:r>
          </w:p>
        </w:tc>
        <w:tc>
          <w:tcPr>
            <w:tcW w:type="dxa" w:w="1008"/>
            <w:shd w:val="clear" w:color="auto" w:fill="EEF2FF"/>
          </w:tcPr>
          <w:p>
            <w:r>
              <w:rPr>
                <w:rFonts w:ascii="Calibri" w:hAnsi="Calibri"/>
                <w:sz w:val="20"/>
              </w:rPr>
              <w:t>$15.28</w:t>
            </w:r>
          </w:p>
        </w:tc>
        <w:tc>
          <w:tcPr>
            <w:tcW w:type="dxa" w:w="1008"/>
            <w:shd w:val="clear" w:color="auto" w:fill="EEF2FF"/>
          </w:tcPr>
          <w:p>
            <w:r>
              <w:rPr>
                <w:rFonts w:ascii="Calibri" w:hAnsi="Calibri"/>
                <w:sz w:val="20"/>
              </w:rPr>
              <w:t>5</w:t>
            </w:r>
          </w:p>
        </w:tc>
        <w:tc>
          <w:tcPr>
            <w:tcW w:type="dxa" w:w="1152"/>
            <w:shd w:val="clear" w:color="auto" w:fill="EEF2FF"/>
          </w:tcPr>
          <w:p>
            <w:r>
              <w:rPr>
                <w:rFonts w:ascii="Calibri" w:hAnsi="Calibri"/>
                <w:sz w:val="20"/>
              </w:rPr>
              <w:t>$80.22</w:t>
            </w:r>
          </w:p>
        </w:tc>
        <w:tc>
          <w:tcPr>
            <w:tcW w:type="dxa" w:w="1152"/>
            <w:shd w:val="clear" w:color="auto" w:fill="EEF2FF"/>
          </w:tcPr>
          <w:p>
            <w:r>
              <w:rPr>
                <w:rFonts w:ascii="Calibri" w:hAnsi="Calibri"/>
                <w:sz w:val="20"/>
              </w:rPr>
              <w:t>Cash</w:t>
            </w:r>
          </w:p>
        </w:tc>
        <w:tc>
          <w:tcPr>
            <w:tcW w:type="dxa" w:w="864"/>
            <w:shd w:val="clear" w:color="auto" w:fill="EEF2FF"/>
          </w:tcPr>
          <w:p>
            <w:r>
              <w:rPr>
                <w:rFonts w:ascii="Calibri" w:hAnsi="Calibri"/>
                <w:sz w:val="20"/>
              </w:rPr>
              <w:t>9.6</w:t>
            </w:r>
          </w:p>
        </w:tc>
      </w:tr>
      <w:tr>
        <w:tc>
          <w:tcPr>
            <w:tcW w:type="dxa" w:w="2016"/>
          </w:tcPr>
          <w:p>
            <w:r>
              <w:rPr>
                <w:rFonts w:ascii="Calibri" w:hAnsi="Calibri"/>
                <w:sz w:val="20"/>
              </w:rPr>
              <w:t>631-41-3108</w:t>
            </w:r>
          </w:p>
        </w:tc>
        <w:tc>
          <w:tcPr>
            <w:tcW w:type="dxa" w:w="1008"/>
          </w:tcPr>
          <w:p>
            <w:r>
              <w:rPr>
                <w:rFonts w:ascii="Calibri" w:hAnsi="Calibri"/>
                <w:sz w:val="20"/>
              </w:rPr>
              <w:t>Alex</w:t>
            </w:r>
          </w:p>
        </w:tc>
        <w:tc>
          <w:tcPr>
            <w:tcW w:type="dxa" w:w="1440"/>
          </w:tcPr>
          <w:p>
            <w:r>
              <w:rPr>
                <w:rFonts w:ascii="Calibri" w:hAnsi="Calibri"/>
                <w:sz w:val="20"/>
              </w:rPr>
              <w:t>Yangon</w:t>
            </w:r>
          </w:p>
        </w:tc>
        <w:tc>
          <w:tcPr>
            <w:tcW w:type="dxa" w:w="1440"/>
          </w:tcPr>
          <w:p>
            <w:r>
              <w:rPr>
                <w:rFonts w:ascii="Calibri" w:hAnsi="Calibri"/>
                <w:sz w:val="20"/>
              </w:rPr>
              <w:t>Normal</w:t>
            </w:r>
          </w:p>
        </w:tc>
        <w:tc>
          <w:tcPr>
            <w:tcW w:type="dxa" w:w="1008"/>
          </w:tcPr>
          <w:p>
            <w:r>
              <w:rPr>
                <w:rFonts w:ascii="Calibri" w:hAnsi="Calibri"/>
                <w:sz w:val="20"/>
              </w:rPr>
              <w:t>Female</w:t>
            </w:r>
          </w:p>
        </w:tc>
        <w:tc>
          <w:tcPr>
            <w:tcW w:type="dxa" w:w="2304"/>
          </w:tcPr>
          <w:p>
            <w:r>
              <w:rPr>
                <w:rFonts w:ascii="Calibri" w:hAnsi="Calibri"/>
                <w:sz w:val="20"/>
              </w:rPr>
              <w:t>Home and lifestyle</w:t>
            </w:r>
          </w:p>
        </w:tc>
        <w:tc>
          <w:tcPr>
            <w:tcW w:type="dxa" w:w="1008"/>
          </w:tcPr>
          <w:p>
            <w:r>
              <w:rPr>
                <w:rFonts w:ascii="Calibri" w:hAnsi="Calibri"/>
                <w:sz w:val="20"/>
              </w:rPr>
              <w:t>$46.33</w:t>
            </w:r>
          </w:p>
        </w:tc>
        <w:tc>
          <w:tcPr>
            <w:tcW w:type="dxa" w:w="1008"/>
          </w:tcPr>
          <w:p>
            <w:r>
              <w:rPr>
                <w:rFonts w:ascii="Calibri" w:hAnsi="Calibri"/>
                <w:sz w:val="20"/>
              </w:rPr>
              <w:t>7</w:t>
            </w:r>
          </w:p>
        </w:tc>
        <w:tc>
          <w:tcPr>
            <w:tcW w:type="dxa" w:w="1152"/>
          </w:tcPr>
          <w:p>
            <w:r>
              <w:rPr>
                <w:rFonts w:ascii="Calibri" w:hAnsi="Calibri"/>
                <w:sz w:val="20"/>
              </w:rPr>
              <w:t>$340.53</w:t>
            </w:r>
          </w:p>
        </w:tc>
        <w:tc>
          <w:tcPr>
            <w:tcW w:type="dxa" w:w="1152"/>
          </w:tcPr>
          <w:p>
            <w:r>
              <w:rPr>
                <w:rFonts w:ascii="Calibri" w:hAnsi="Calibri"/>
                <w:sz w:val="20"/>
              </w:rPr>
              <w:t>Credit card</w:t>
            </w:r>
          </w:p>
        </w:tc>
        <w:tc>
          <w:tcPr>
            <w:tcW w:type="dxa" w:w="864"/>
          </w:tcPr>
          <w:p>
            <w:r>
              <w:rPr>
                <w:rFonts w:ascii="Calibri" w:hAnsi="Calibri"/>
                <w:sz w:val="20"/>
              </w:rPr>
              <w:t>7.4</w:t>
            </w:r>
          </w:p>
        </w:tc>
      </w:tr>
      <w:tr>
        <w:tc>
          <w:tcPr>
            <w:tcW w:type="dxa" w:w="2016"/>
            <w:shd w:val="clear" w:color="auto" w:fill="EEF2FF"/>
          </w:tcPr>
          <w:p>
            <w:r>
              <w:rPr>
                <w:rFonts w:ascii="Calibri" w:hAnsi="Calibri"/>
                <w:sz w:val="20"/>
              </w:rPr>
              <w:t>123-19-1176</w:t>
            </w:r>
          </w:p>
        </w:tc>
        <w:tc>
          <w:tcPr>
            <w:tcW w:type="dxa" w:w="1008"/>
            <w:shd w:val="clear" w:color="auto" w:fill="EEF2FF"/>
          </w:tcPr>
          <w:p>
            <w:r>
              <w:rPr>
                <w:rFonts w:ascii="Calibri" w:hAnsi="Calibri"/>
                <w:sz w:val="20"/>
              </w:rPr>
              <w:t>Alex</w:t>
            </w:r>
          </w:p>
        </w:tc>
        <w:tc>
          <w:tcPr>
            <w:tcW w:type="dxa" w:w="1440"/>
            <w:shd w:val="clear" w:color="auto" w:fill="EEF2FF"/>
          </w:tcPr>
          <w:p>
            <w:r>
              <w:rPr>
                <w:rFonts w:ascii="Calibri" w:hAnsi="Calibri"/>
                <w:sz w:val="20"/>
              </w:rPr>
              <w:t>Yangon</w:t>
            </w:r>
          </w:p>
        </w:tc>
        <w:tc>
          <w:tcPr>
            <w:tcW w:type="dxa" w:w="1440"/>
            <w:shd w:val="clear" w:color="auto" w:fill="EEF2FF"/>
          </w:tcPr>
          <w:p>
            <w:r>
              <w:rPr>
                <w:rFonts w:ascii="Calibri" w:hAnsi="Calibri"/>
                <w:sz w:val="20"/>
              </w:rPr>
              <w:t>Member</w:t>
            </w:r>
          </w:p>
        </w:tc>
        <w:tc>
          <w:tcPr>
            <w:tcW w:type="dxa" w:w="1008"/>
            <w:shd w:val="clear" w:color="auto" w:fill="EEF2FF"/>
          </w:tcPr>
          <w:p>
            <w:r>
              <w:rPr>
                <w:rFonts w:ascii="Calibri" w:hAnsi="Calibri"/>
                <w:sz w:val="20"/>
              </w:rPr>
              <w:t>Female</w:t>
            </w:r>
          </w:p>
        </w:tc>
        <w:tc>
          <w:tcPr>
            <w:tcW w:type="dxa" w:w="2304"/>
            <w:shd w:val="clear" w:color="auto" w:fill="EEF2FF"/>
          </w:tcPr>
          <w:p>
            <w:r>
              <w:rPr>
                <w:rFonts w:ascii="Calibri" w:hAnsi="Calibri"/>
                <w:sz w:val="20"/>
              </w:rPr>
              <w:t>Health and beauty</w:t>
            </w:r>
          </w:p>
        </w:tc>
        <w:tc>
          <w:tcPr>
            <w:tcW w:type="dxa" w:w="1008"/>
            <w:shd w:val="clear" w:color="auto" w:fill="EEF2FF"/>
          </w:tcPr>
          <w:p>
            <w:r>
              <w:rPr>
                <w:rFonts w:ascii="Calibri" w:hAnsi="Calibri"/>
                <w:sz w:val="20"/>
              </w:rPr>
              <w:t>$58.22</w:t>
            </w:r>
          </w:p>
        </w:tc>
        <w:tc>
          <w:tcPr>
            <w:tcW w:type="dxa" w:w="1008"/>
            <w:shd w:val="clear" w:color="auto" w:fill="EEF2FF"/>
          </w:tcPr>
          <w:p>
            <w:r>
              <w:rPr>
                <w:rFonts w:ascii="Calibri" w:hAnsi="Calibri"/>
                <w:sz w:val="20"/>
              </w:rPr>
              <w:t>8</w:t>
            </w:r>
          </w:p>
        </w:tc>
        <w:tc>
          <w:tcPr>
            <w:tcW w:type="dxa" w:w="1152"/>
            <w:shd w:val="clear" w:color="auto" w:fill="EEF2FF"/>
          </w:tcPr>
          <w:p>
            <w:r>
              <w:rPr>
                <w:rFonts w:ascii="Calibri" w:hAnsi="Calibri"/>
                <w:sz w:val="20"/>
              </w:rPr>
              <w:t>$489.05</w:t>
            </w:r>
          </w:p>
        </w:tc>
        <w:tc>
          <w:tcPr>
            <w:tcW w:type="dxa" w:w="1152"/>
            <w:shd w:val="clear" w:color="auto" w:fill="EEF2FF"/>
          </w:tcPr>
          <w:p>
            <w:r>
              <w:rPr>
                <w:rFonts w:ascii="Calibri" w:hAnsi="Calibri"/>
                <w:sz w:val="20"/>
              </w:rPr>
              <w:t>Ewallet</w:t>
            </w:r>
          </w:p>
        </w:tc>
        <w:tc>
          <w:tcPr>
            <w:tcW w:type="dxa" w:w="864"/>
            <w:shd w:val="clear" w:color="auto" w:fill="EEF2FF"/>
          </w:tcPr>
          <w:p>
            <w:r>
              <w:rPr>
                <w:rFonts w:ascii="Calibri" w:hAnsi="Calibri"/>
                <w:sz w:val="20"/>
              </w:rPr>
              <w:t>8.4</w:t>
            </w:r>
          </w:p>
        </w:tc>
      </w:tr>
      <w:tr>
        <w:tc>
          <w:tcPr>
            <w:tcW w:type="dxa" w:w="2016"/>
          </w:tcPr>
          <w:p>
            <w:r>
              <w:rPr>
                <w:rFonts w:ascii="Calibri" w:hAnsi="Calibri"/>
                <w:sz w:val="20"/>
              </w:rPr>
              <w:t>373-73-7910</w:t>
            </w:r>
          </w:p>
        </w:tc>
        <w:tc>
          <w:tcPr>
            <w:tcW w:type="dxa" w:w="1008"/>
          </w:tcPr>
          <w:p>
            <w:r>
              <w:rPr>
                <w:rFonts w:ascii="Calibri" w:hAnsi="Calibri"/>
                <w:sz w:val="20"/>
              </w:rPr>
              <w:t>Alex</w:t>
            </w:r>
          </w:p>
        </w:tc>
        <w:tc>
          <w:tcPr>
            <w:tcW w:type="dxa" w:w="1440"/>
          </w:tcPr>
          <w:p>
            <w:r>
              <w:rPr>
                <w:rFonts w:ascii="Calibri" w:hAnsi="Calibri"/>
                <w:sz w:val="20"/>
              </w:rPr>
              <w:t>Yangon</w:t>
            </w:r>
          </w:p>
        </w:tc>
        <w:tc>
          <w:tcPr>
            <w:tcW w:type="dxa" w:w="1440"/>
          </w:tcPr>
          <w:p>
            <w:r>
              <w:rPr>
                <w:rFonts w:ascii="Calibri" w:hAnsi="Calibri"/>
                <w:sz w:val="20"/>
              </w:rPr>
              <w:t>Member</w:t>
            </w:r>
          </w:p>
        </w:tc>
        <w:tc>
          <w:tcPr>
            <w:tcW w:type="dxa" w:w="1008"/>
          </w:tcPr>
          <w:p>
            <w:r>
              <w:rPr>
                <w:rFonts w:ascii="Calibri" w:hAnsi="Calibri"/>
                <w:sz w:val="20"/>
              </w:rPr>
              <w:t>Female</w:t>
            </w:r>
          </w:p>
        </w:tc>
        <w:tc>
          <w:tcPr>
            <w:tcW w:type="dxa" w:w="2304"/>
          </w:tcPr>
          <w:p>
            <w:r>
              <w:rPr>
                <w:rFonts w:ascii="Calibri" w:hAnsi="Calibri"/>
                <w:sz w:val="20"/>
              </w:rPr>
              <w:t>Sports and travel</w:t>
            </w:r>
          </w:p>
        </w:tc>
        <w:tc>
          <w:tcPr>
            <w:tcW w:type="dxa" w:w="1008"/>
          </w:tcPr>
          <w:p>
            <w:r>
              <w:rPr>
                <w:rFonts w:ascii="Calibri" w:hAnsi="Calibri"/>
                <w:sz w:val="20"/>
              </w:rPr>
              <w:t>$86.31</w:t>
            </w:r>
          </w:p>
        </w:tc>
        <w:tc>
          <w:tcPr>
            <w:tcW w:type="dxa" w:w="1008"/>
          </w:tcPr>
          <w:p>
            <w:r>
              <w:rPr>
                <w:rFonts w:ascii="Calibri" w:hAnsi="Calibri"/>
                <w:sz w:val="20"/>
              </w:rPr>
              <w:t>7</w:t>
            </w:r>
          </w:p>
        </w:tc>
        <w:tc>
          <w:tcPr>
            <w:tcW w:type="dxa" w:w="1152"/>
          </w:tcPr>
          <w:p>
            <w:r>
              <w:rPr>
                <w:rFonts w:ascii="Calibri" w:hAnsi="Calibri"/>
                <w:sz w:val="20"/>
              </w:rPr>
              <w:t>$634.38</w:t>
            </w:r>
          </w:p>
        </w:tc>
        <w:tc>
          <w:tcPr>
            <w:tcW w:type="dxa" w:w="1152"/>
          </w:tcPr>
          <w:p>
            <w:r>
              <w:rPr>
                <w:rFonts w:ascii="Calibri" w:hAnsi="Calibri"/>
                <w:sz w:val="20"/>
              </w:rPr>
              <w:t>Ewallet</w:t>
            </w:r>
          </w:p>
        </w:tc>
        <w:tc>
          <w:tcPr>
            <w:tcW w:type="dxa" w:w="864"/>
          </w:tcPr>
          <w:p>
            <w:r>
              <w:rPr>
                <w:rFonts w:ascii="Calibri" w:hAnsi="Calibri"/>
                <w:sz w:val="20"/>
              </w:rPr>
              <w:t>5.3</w:t>
            </w:r>
          </w:p>
        </w:tc>
      </w:tr>
    </w:tbl>
    <w:p/>
    <w:p>
      <w:pPr>
        <w:spacing w:after="160"/>
        <w:jc w:val="center"/>
      </w:pPr>
      <w:r>
        <w:rPr>
          <w:rFonts w:ascii="Calibri" w:hAnsi="Calibri"/>
          <w:i/>
          <w:color w:val="555555"/>
          <w:sz w:val="18"/>
        </w:rPr>
        <w:t>Table A.1: First 5 Rows of SuperMarket Analysis.csv</w:t>
      </w:r>
    </w:p>
    <w:p>
      <w:pPr>
        <w:pStyle w:val="Heading2"/>
        <w:spacing w:before="240" w:after="80"/>
      </w:pPr>
      <w:r>
        <w:rPr>
          <w:color w:val="2C3E7A"/>
        </w:rPr>
        <w:t>Appendix B: Project File Structure</w:t>
      </w:r>
    </w:p>
    <w:p>
      <w:pPr>
        <w:spacing w:after="120" w:line="360" w:lineRule="auto"/>
      </w:pPr>
      <w:r>
        <w:rPr>
          <w:rFonts w:ascii="Calibri" w:hAnsi="Calibri"/>
          <w:b w:val="0"/>
          <w:i w:val="0"/>
          <w:sz w:val="22"/>
        </w:rPr>
        <w:t>Complete project directory structure:</w:t>
      </w:r>
    </w:p>
    <w:p>
      <w:pPr>
        <w:pStyle w:val="NoSpacing"/>
      </w:pPr>
      <w:r>
        <w:rPr>
          <w:rFonts w:ascii="Courier New" w:hAnsi="Courier New"/>
          <w:sz w:val="18"/>
        </w:rPr>
        <w:t>supermarket-analytics/</w:t>
        <w:br/>
        <w:t>├── app.py                          (39,268 bytes — Main Streamlit app, 583 lines)</w:t>
        <w:br/>
        <w:t>├── requirements.txt                (107 bytes — Python dependencies)</w:t>
        <w:br/>
        <w:t>├── README.md                       (5,707 bytes — Project documentation)</w:t>
        <w:br/>
        <w:t>├── data/</w:t>
        <w:br/>
        <w:t>│   └── SuperMarket Analysis.csv    (1,000 rows × 17 columns)</w:t>
        <w:br/>
        <w:t>├── utils/</w:t>
        <w:br/>
        <w:t>│   ├── __init__.py</w:t>
        <w:br/>
        <w:t>│   ├── analytics.py                (6,084 bytes — 169 lines — KPI &amp; aggregation functions)</w:t>
        <w:br/>
        <w:t>│   ├── data_cleaning.py            (3,519 bytes — 84 lines — Cleaning pipeline)</w:t>
        <w:br/>
        <w:t>│   ├── data_loader.py              (5,331 bytes — 147 lines — CSV loading &amp; validation)</w:t>
        <w:br/>
        <w:t>│   └── insights.py                 (6,697 bytes — 127 lines — Business insight generator)</w:t>
        <w:br/>
        <w:t>└── charts/</w:t>
        <w:br/>
        <w:t xml:space="preserve">    ├── __init__.py</w:t>
        <w:br/>
        <w:t xml:space="preserve">    └── visualizations.py           (13,151 bytes — 351 lines — All Plotly chart functions)</w:t>
        <w:br/>
      </w:r>
    </w:p>
    <w:p/>
    <w:p>
      <w:pPr>
        <w:pStyle w:val="Heading2"/>
        <w:spacing w:before="240" w:after="80"/>
      </w:pPr>
      <w:r>
        <w:rPr>
          <w:color w:val="2C3E7A"/>
        </w:rPr>
        <w:t>Appendix C: Dashboard Tab Summary</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1152"/>
            <w:shd w:val="clear" w:color="auto" w:fill="1A1A6E"/>
            <w:vAlign w:val="center"/>
          </w:tcPr>
          <w:p>
            <w:pPr>
              <w:jc w:val="center"/>
            </w:pPr>
            <w:r>
              <w:rPr>
                <w:b/>
                <w:color w:val="FFFFFF"/>
                <w:sz w:val="20"/>
              </w:rPr>
              <w:t>Tab No.</w:t>
            </w:r>
          </w:p>
        </w:tc>
        <w:tc>
          <w:tcPr>
            <w:tcW w:type="dxa" w:w="2880"/>
            <w:shd w:val="clear" w:color="auto" w:fill="1A1A6E"/>
            <w:vAlign w:val="center"/>
          </w:tcPr>
          <w:p>
            <w:pPr>
              <w:jc w:val="center"/>
            </w:pPr>
            <w:r>
              <w:rPr>
                <w:b/>
                <w:color w:val="FFFFFF"/>
                <w:sz w:val="20"/>
              </w:rPr>
              <w:t>Tab Title</w:t>
            </w:r>
          </w:p>
        </w:tc>
        <w:tc>
          <w:tcPr>
            <w:tcW w:type="dxa" w:w="2160"/>
            <w:shd w:val="clear" w:color="auto" w:fill="1A1A6E"/>
            <w:vAlign w:val="center"/>
          </w:tcPr>
          <w:p>
            <w:pPr>
              <w:jc w:val="center"/>
            </w:pPr>
            <w:r>
              <w:rPr>
                <w:b/>
                <w:color w:val="FFFFFF"/>
                <w:sz w:val="20"/>
              </w:rPr>
              <w:t>Chart Count</w:t>
            </w:r>
          </w:p>
        </w:tc>
        <w:tc>
          <w:tcPr>
            <w:tcW w:type="dxa" w:w="3888"/>
            <w:shd w:val="clear" w:color="auto" w:fill="1A1A6E"/>
            <w:vAlign w:val="center"/>
          </w:tcPr>
          <w:p>
            <w:pPr>
              <w:jc w:val="center"/>
            </w:pPr>
            <w:r>
              <w:rPr>
                <w:b/>
                <w:color w:val="FFFFFF"/>
                <w:sz w:val="20"/>
              </w:rPr>
              <w:t>Key KPIs</w:t>
            </w:r>
          </w:p>
        </w:tc>
      </w:tr>
      <w:tr>
        <w:tc>
          <w:tcPr>
            <w:tcW w:type="dxa" w:w="1152"/>
          </w:tcPr>
          <w:p>
            <w:r>
              <w:rPr>
                <w:rFonts w:ascii="Calibri" w:hAnsi="Calibri"/>
                <w:sz w:val="20"/>
              </w:rPr>
              <w:t>Tab 1</w:t>
            </w:r>
          </w:p>
        </w:tc>
        <w:tc>
          <w:tcPr>
            <w:tcW w:type="dxa" w:w="2880"/>
          </w:tcPr>
          <w:p>
            <w:r>
              <w:rPr>
                <w:rFonts w:ascii="Calibri" w:hAnsi="Calibri"/>
                <w:sz w:val="20"/>
              </w:rPr>
              <w:t>Overview</w:t>
            </w:r>
          </w:p>
        </w:tc>
        <w:tc>
          <w:tcPr>
            <w:tcW w:type="dxa" w:w="2160"/>
          </w:tcPr>
          <w:p>
            <w:r>
              <w:rPr>
                <w:rFonts w:ascii="Calibri" w:hAnsi="Calibri"/>
                <w:sz w:val="20"/>
              </w:rPr>
              <w:t>4 charts</w:t>
            </w:r>
          </w:p>
        </w:tc>
        <w:tc>
          <w:tcPr>
            <w:tcW w:type="dxa" w:w="3888"/>
          </w:tcPr>
          <w:p>
            <w:r>
              <w:rPr>
                <w:rFonts w:ascii="Calibri" w:hAnsi="Calibri"/>
                <w:sz w:val="20"/>
              </w:rPr>
              <w:t>8 KPI cards</w:t>
            </w:r>
          </w:p>
        </w:tc>
      </w:tr>
      <w:tr>
        <w:tc>
          <w:tcPr>
            <w:tcW w:type="dxa" w:w="1152"/>
            <w:shd w:val="clear" w:color="auto" w:fill="EEF2FF"/>
          </w:tcPr>
          <w:p>
            <w:r>
              <w:rPr>
                <w:rFonts w:ascii="Calibri" w:hAnsi="Calibri"/>
                <w:sz w:val="20"/>
              </w:rPr>
              <w:t>Tab 2</w:t>
            </w:r>
          </w:p>
        </w:tc>
        <w:tc>
          <w:tcPr>
            <w:tcW w:type="dxa" w:w="2880"/>
            <w:shd w:val="clear" w:color="auto" w:fill="EEF2FF"/>
          </w:tcPr>
          <w:p>
            <w:r>
              <w:rPr>
                <w:rFonts w:ascii="Calibri" w:hAnsi="Calibri"/>
                <w:sz w:val="20"/>
              </w:rPr>
              <w:t>Sales Analytics</w:t>
            </w:r>
          </w:p>
        </w:tc>
        <w:tc>
          <w:tcPr>
            <w:tcW w:type="dxa" w:w="2160"/>
            <w:shd w:val="clear" w:color="auto" w:fill="EEF2FF"/>
          </w:tcPr>
          <w:p>
            <w:r>
              <w:rPr>
                <w:rFonts w:ascii="Calibri" w:hAnsi="Calibri"/>
                <w:sz w:val="20"/>
              </w:rPr>
              <w:t>8 charts</w:t>
            </w:r>
          </w:p>
        </w:tc>
        <w:tc>
          <w:tcPr>
            <w:tcW w:type="dxa" w:w="3888"/>
            <w:shd w:val="clear" w:color="auto" w:fill="EEF2FF"/>
          </w:tcPr>
          <w:p>
            <w:r>
              <w:rPr>
                <w:rFonts w:ascii="Calibri" w:hAnsi="Calibri"/>
                <w:sz w:val="20"/>
              </w:rPr>
              <w:t>—</w:t>
            </w:r>
          </w:p>
        </w:tc>
      </w:tr>
      <w:tr>
        <w:tc>
          <w:tcPr>
            <w:tcW w:type="dxa" w:w="1152"/>
          </w:tcPr>
          <w:p>
            <w:r>
              <w:rPr>
                <w:rFonts w:ascii="Calibri" w:hAnsi="Calibri"/>
                <w:sz w:val="20"/>
              </w:rPr>
              <w:t>Tab 3</w:t>
            </w:r>
          </w:p>
        </w:tc>
        <w:tc>
          <w:tcPr>
            <w:tcW w:type="dxa" w:w="2880"/>
          </w:tcPr>
          <w:p>
            <w:r>
              <w:rPr>
                <w:rFonts w:ascii="Calibri" w:hAnsi="Calibri"/>
                <w:sz w:val="20"/>
              </w:rPr>
              <w:t>Product Analytics</w:t>
            </w:r>
          </w:p>
        </w:tc>
        <w:tc>
          <w:tcPr>
            <w:tcW w:type="dxa" w:w="2160"/>
          </w:tcPr>
          <w:p>
            <w:r>
              <w:rPr>
                <w:rFonts w:ascii="Calibri" w:hAnsi="Calibri"/>
                <w:sz w:val="20"/>
              </w:rPr>
              <w:t>7 charts</w:t>
            </w:r>
          </w:p>
        </w:tc>
        <w:tc>
          <w:tcPr>
            <w:tcW w:type="dxa" w:w="3888"/>
          </w:tcPr>
          <w:p>
            <w:r>
              <w:rPr>
                <w:rFonts w:ascii="Calibri" w:hAnsi="Calibri"/>
                <w:sz w:val="20"/>
              </w:rPr>
              <w:t>—</w:t>
            </w:r>
          </w:p>
        </w:tc>
      </w:tr>
      <w:tr>
        <w:tc>
          <w:tcPr>
            <w:tcW w:type="dxa" w:w="1152"/>
            <w:shd w:val="clear" w:color="auto" w:fill="EEF2FF"/>
          </w:tcPr>
          <w:p>
            <w:r>
              <w:rPr>
                <w:rFonts w:ascii="Calibri" w:hAnsi="Calibri"/>
                <w:sz w:val="20"/>
              </w:rPr>
              <w:t>Tab 4</w:t>
            </w:r>
          </w:p>
        </w:tc>
        <w:tc>
          <w:tcPr>
            <w:tcW w:type="dxa" w:w="2880"/>
            <w:shd w:val="clear" w:color="auto" w:fill="EEF2FF"/>
          </w:tcPr>
          <w:p>
            <w:r>
              <w:rPr>
                <w:rFonts w:ascii="Calibri" w:hAnsi="Calibri"/>
                <w:sz w:val="20"/>
              </w:rPr>
              <w:t>Customer Analytics</w:t>
            </w:r>
          </w:p>
        </w:tc>
        <w:tc>
          <w:tcPr>
            <w:tcW w:type="dxa" w:w="2160"/>
            <w:shd w:val="clear" w:color="auto" w:fill="EEF2FF"/>
          </w:tcPr>
          <w:p>
            <w:r>
              <w:rPr>
                <w:rFonts w:ascii="Calibri" w:hAnsi="Calibri"/>
                <w:sz w:val="20"/>
              </w:rPr>
              <w:t>6 charts</w:t>
            </w:r>
          </w:p>
        </w:tc>
        <w:tc>
          <w:tcPr>
            <w:tcW w:type="dxa" w:w="3888"/>
            <w:shd w:val="clear" w:color="auto" w:fill="EEF2FF"/>
          </w:tcPr>
          <w:p>
            <w:r>
              <w:rPr>
                <w:rFonts w:ascii="Calibri" w:hAnsi="Calibri"/>
                <w:sz w:val="20"/>
              </w:rPr>
              <w:t>—</w:t>
            </w:r>
          </w:p>
        </w:tc>
      </w:tr>
      <w:tr>
        <w:tc>
          <w:tcPr>
            <w:tcW w:type="dxa" w:w="1152"/>
          </w:tcPr>
          <w:p>
            <w:r>
              <w:rPr>
                <w:rFonts w:ascii="Calibri" w:hAnsi="Calibri"/>
                <w:sz w:val="20"/>
              </w:rPr>
              <w:t>Tab 5</w:t>
            </w:r>
          </w:p>
        </w:tc>
        <w:tc>
          <w:tcPr>
            <w:tcW w:type="dxa" w:w="2880"/>
          </w:tcPr>
          <w:p>
            <w:r>
              <w:rPr>
                <w:rFonts w:ascii="Calibri" w:hAnsi="Calibri"/>
                <w:sz w:val="20"/>
              </w:rPr>
              <w:t>Profit Analysis</w:t>
            </w:r>
          </w:p>
        </w:tc>
        <w:tc>
          <w:tcPr>
            <w:tcW w:type="dxa" w:w="2160"/>
          </w:tcPr>
          <w:p>
            <w:r>
              <w:rPr>
                <w:rFonts w:ascii="Calibri" w:hAnsi="Calibri"/>
                <w:sz w:val="20"/>
              </w:rPr>
              <w:t>6 charts</w:t>
            </w:r>
          </w:p>
        </w:tc>
        <w:tc>
          <w:tcPr>
            <w:tcW w:type="dxa" w:w="3888"/>
          </w:tcPr>
          <w:p>
            <w:r>
              <w:rPr>
                <w:rFonts w:ascii="Calibri" w:hAnsi="Calibri"/>
                <w:sz w:val="20"/>
              </w:rPr>
              <w:t>4 KPI cards</w:t>
            </w:r>
          </w:p>
        </w:tc>
      </w:tr>
      <w:tr>
        <w:tc>
          <w:tcPr>
            <w:tcW w:type="dxa" w:w="1152"/>
            <w:shd w:val="clear" w:color="auto" w:fill="EEF2FF"/>
          </w:tcPr>
          <w:p>
            <w:r>
              <w:rPr>
                <w:rFonts w:ascii="Calibri" w:hAnsi="Calibri"/>
                <w:sz w:val="20"/>
              </w:rPr>
              <w:t>Tab 6</w:t>
            </w:r>
          </w:p>
        </w:tc>
        <w:tc>
          <w:tcPr>
            <w:tcW w:type="dxa" w:w="2880"/>
            <w:shd w:val="clear" w:color="auto" w:fill="EEF2FF"/>
          </w:tcPr>
          <w:p>
            <w:r>
              <w:rPr>
                <w:rFonts w:ascii="Calibri" w:hAnsi="Calibri"/>
                <w:sz w:val="20"/>
              </w:rPr>
              <w:t>Time Analysis</w:t>
            </w:r>
          </w:p>
        </w:tc>
        <w:tc>
          <w:tcPr>
            <w:tcW w:type="dxa" w:w="2160"/>
            <w:shd w:val="clear" w:color="auto" w:fill="EEF2FF"/>
          </w:tcPr>
          <w:p>
            <w:r>
              <w:rPr>
                <w:rFonts w:ascii="Calibri" w:hAnsi="Calibri"/>
                <w:sz w:val="20"/>
              </w:rPr>
              <w:t>7 charts</w:t>
            </w:r>
          </w:p>
        </w:tc>
        <w:tc>
          <w:tcPr>
            <w:tcW w:type="dxa" w:w="3888"/>
            <w:shd w:val="clear" w:color="auto" w:fill="EEF2FF"/>
          </w:tcPr>
          <w:p>
            <w:r>
              <w:rPr>
                <w:rFonts w:ascii="Calibri" w:hAnsi="Calibri"/>
                <w:sz w:val="20"/>
              </w:rPr>
              <w:t>3 KPI cards</w:t>
            </w:r>
          </w:p>
        </w:tc>
      </w:tr>
      <w:tr>
        <w:tc>
          <w:tcPr>
            <w:tcW w:type="dxa" w:w="1152"/>
          </w:tcPr>
          <w:p>
            <w:r>
              <w:rPr>
                <w:rFonts w:ascii="Calibri" w:hAnsi="Calibri"/>
                <w:sz w:val="20"/>
              </w:rPr>
              <w:t>Tab 7</w:t>
            </w:r>
          </w:p>
        </w:tc>
        <w:tc>
          <w:tcPr>
            <w:tcW w:type="dxa" w:w="2880"/>
          </w:tcPr>
          <w:p>
            <w:r>
              <w:rPr>
                <w:rFonts w:ascii="Calibri" w:hAnsi="Calibri"/>
                <w:sz w:val="20"/>
              </w:rPr>
              <w:t>Payment Analysis</w:t>
            </w:r>
          </w:p>
        </w:tc>
        <w:tc>
          <w:tcPr>
            <w:tcW w:type="dxa" w:w="2160"/>
          </w:tcPr>
          <w:p>
            <w:r>
              <w:rPr>
                <w:rFonts w:ascii="Calibri" w:hAnsi="Calibri"/>
                <w:sz w:val="20"/>
              </w:rPr>
              <w:t>4 charts</w:t>
            </w:r>
          </w:p>
        </w:tc>
        <w:tc>
          <w:tcPr>
            <w:tcW w:type="dxa" w:w="3888"/>
          </w:tcPr>
          <w:p>
            <w:r>
              <w:rPr>
                <w:rFonts w:ascii="Calibri" w:hAnsi="Calibri"/>
                <w:sz w:val="20"/>
              </w:rPr>
              <w:t>—</w:t>
            </w:r>
          </w:p>
        </w:tc>
      </w:tr>
      <w:tr>
        <w:tc>
          <w:tcPr>
            <w:tcW w:type="dxa" w:w="1152"/>
            <w:shd w:val="clear" w:color="auto" w:fill="EEF2FF"/>
          </w:tcPr>
          <w:p>
            <w:r>
              <w:rPr>
                <w:rFonts w:ascii="Calibri" w:hAnsi="Calibri"/>
                <w:sz w:val="20"/>
              </w:rPr>
              <w:t>Tab 8</w:t>
            </w:r>
          </w:p>
        </w:tc>
        <w:tc>
          <w:tcPr>
            <w:tcW w:type="dxa" w:w="2880"/>
            <w:shd w:val="clear" w:color="auto" w:fill="EEF2FF"/>
          </w:tcPr>
          <w:p>
            <w:r>
              <w:rPr>
                <w:rFonts w:ascii="Calibri" w:hAnsi="Calibri"/>
                <w:sz w:val="20"/>
              </w:rPr>
              <w:t>Branch &amp; Location</w:t>
            </w:r>
          </w:p>
        </w:tc>
        <w:tc>
          <w:tcPr>
            <w:tcW w:type="dxa" w:w="2160"/>
            <w:shd w:val="clear" w:color="auto" w:fill="EEF2FF"/>
          </w:tcPr>
          <w:p>
            <w:r>
              <w:rPr>
                <w:rFonts w:ascii="Calibri" w:hAnsi="Calibri"/>
                <w:sz w:val="20"/>
              </w:rPr>
              <w:t>6 charts</w:t>
            </w:r>
          </w:p>
        </w:tc>
        <w:tc>
          <w:tcPr>
            <w:tcW w:type="dxa" w:w="3888"/>
            <w:shd w:val="clear" w:color="auto" w:fill="EEF2FF"/>
          </w:tcPr>
          <w:p>
            <w:r>
              <w:rPr>
                <w:rFonts w:ascii="Calibri" w:hAnsi="Calibri"/>
                <w:sz w:val="20"/>
              </w:rPr>
              <w:t>—</w:t>
            </w:r>
          </w:p>
        </w:tc>
      </w:tr>
      <w:tr>
        <w:tc>
          <w:tcPr>
            <w:tcW w:type="dxa" w:w="1152"/>
          </w:tcPr>
          <w:p>
            <w:r>
              <w:rPr>
                <w:rFonts w:ascii="Calibri" w:hAnsi="Calibri"/>
                <w:sz w:val="20"/>
              </w:rPr>
              <w:t>Tab 9</w:t>
            </w:r>
          </w:p>
        </w:tc>
        <w:tc>
          <w:tcPr>
            <w:tcW w:type="dxa" w:w="2880"/>
          </w:tcPr>
          <w:p>
            <w:r>
              <w:rPr>
                <w:rFonts w:ascii="Calibri" w:hAnsi="Calibri"/>
                <w:sz w:val="20"/>
              </w:rPr>
              <w:t>Ratings</w:t>
            </w:r>
          </w:p>
        </w:tc>
        <w:tc>
          <w:tcPr>
            <w:tcW w:type="dxa" w:w="2160"/>
          </w:tcPr>
          <w:p>
            <w:r>
              <w:rPr>
                <w:rFonts w:ascii="Calibri" w:hAnsi="Calibri"/>
                <w:sz w:val="20"/>
              </w:rPr>
              <w:t>5 charts</w:t>
            </w:r>
          </w:p>
        </w:tc>
        <w:tc>
          <w:tcPr>
            <w:tcW w:type="dxa" w:w="3888"/>
          </w:tcPr>
          <w:p>
            <w:r>
              <w:rPr>
                <w:rFonts w:ascii="Calibri" w:hAnsi="Calibri"/>
                <w:sz w:val="20"/>
              </w:rPr>
              <w:t>3 KPI cards</w:t>
            </w:r>
          </w:p>
        </w:tc>
      </w:tr>
      <w:tr>
        <w:tc>
          <w:tcPr>
            <w:tcW w:type="dxa" w:w="1152"/>
            <w:shd w:val="clear" w:color="auto" w:fill="EEF2FF"/>
          </w:tcPr>
          <w:p>
            <w:r>
              <w:rPr>
                <w:rFonts w:ascii="Calibri" w:hAnsi="Calibri"/>
                <w:sz w:val="20"/>
              </w:rPr>
              <w:t>Tab 10</w:t>
            </w:r>
          </w:p>
        </w:tc>
        <w:tc>
          <w:tcPr>
            <w:tcW w:type="dxa" w:w="2880"/>
            <w:shd w:val="clear" w:color="auto" w:fill="EEF2FF"/>
          </w:tcPr>
          <w:p>
            <w:r>
              <w:rPr>
                <w:rFonts w:ascii="Calibri" w:hAnsi="Calibri"/>
                <w:sz w:val="20"/>
              </w:rPr>
              <w:t>Advanced Analytics</w:t>
            </w:r>
          </w:p>
        </w:tc>
        <w:tc>
          <w:tcPr>
            <w:tcW w:type="dxa" w:w="2160"/>
            <w:shd w:val="clear" w:color="auto" w:fill="EEF2FF"/>
          </w:tcPr>
          <w:p>
            <w:r>
              <w:rPr>
                <w:rFonts w:ascii="Calibri" w:hAnsi="Calibri"/>
                <w:sz w:val="20"/>
              </w:rPr>
              <w:t>6 charts</w:t>
            </w:r>
          </w:p>
        </w:tc>
        <w:tc>
          <w:tcPr>
            <w:tcW w:type="dxa" w:w="3888"/>
            <w:shd w:val="clear" w:color="auto" w:fill="EEF2FF"/>
          </w:tcPr>
          <w:p>
            <w:r>
              <w:rPr>
                <w:rFonts w:ascii="Calibri" w:hAnsi="Calibri"/>
                <w:sz w:val="20"/>
              </w:rPr>
              <w:t>—</w:t>
            </w:r>
          </w:p>
        </w:tc>
      </w:tr>
      <w:tr>
        <w:tc>
          <w:tcPr>
            <w:tcW w:type="dxa" w:w="1152"/>
          </w:tcPr>
          <w:p>
            <w:r>
              <w:rPr>
                <w:rFonts w:ascii="Calibri" w:hAnsi="Calibri"/>
                <w:sz w:val="20"/>
              </w:rPr>
              <w:t>Tab 11</w:t>
            </w:r>
          </w:p>
        </w:tc>
        <w:tc>
          <w:tcPr>
            <w:tcW w:type="dxa" w:w="2880"/>
          </w:tcPr>
          <w:p>
            <w:r>
              <w:rPr>
                <w:rFonts w:ascii="Calibri" w:hAnsi="Calibri"/>
                <w:sz w:val="20"/>
              </w:rPr>
              <w:t>Data Explorer</w:t>
            </w:r>
          </w:p>
        </w:tc>
        <w:tc>
          <w:tcPr>
            <w:tcW w:type="dxa" w:w="2160"/>
          </w:tcPr>
          <w:p>
            <w:r>
              <w:rPr>
                <w:rFonts w:ascii="Calibri" w:hAnsi="Calibri"/>
                <w:sz w:val="20"/>
              </w:rPr>
              <w:t>Tables</w:t>
            </w:r>
          </w:p>
        </w:tc>
        <w:tc>
          <w:tcPr>
            <w:tcW w:type="dxa" w:w="3888"/>
          </w:tcPr>
          <w:p>
            <w:r>
              <w:rPr>
                <w:rFonts w:ascii="Calibri" w:hAnsi="Calibri"/>
                <w:sz w:val="20"/>
              </w:rPr>
              <w:t>4 KPI cards</w:t>
            </w:r>
          </w:p>
        </w:tc>
      </w:tr>
    </w:tbl>
    <w:p/>
    <w:p>
      <w:pPr>
        <w:spacing w:after="160"/>
        <w:jc w:val="center"/>
      </w:pPr>
      <w:r>
        <w:rPr>
          <w:rFonts w:ascii="Calibri" w:hAnsi="Calibri"/>
          <w:i/>
          <w:color w:val="555555"/>
          <w:sz w:val="18"/>
        </w:rPr>
        <w:t>Table C.1: Dashboard Tab Feature Summary</w:t>
      </w:r>
    </w:p>
    <w:p>
      <w:pPr>
        <w:pStyle w:val="Heading2"/>
        <w:spacing w:before="240" w:after="80"/>
      </w:pPr>
      <w:r>
        <w:rPr>
          <w:color w:val="2C3E7A"/>
        </w:rPr>
        <w:t>Appendix D: Running the Dashboard</w:t>
      </w:r>
    </w:p>
    <w:p>
      <w:pPr>
        <w:spacing w:after="120" w:line="360" w:lineRule="auto"/>
      </w:pPr>
      <w:r>
        <w:rPr>
          <w:rFonts w:ascii="Calibri" w:hAnsi="Calibri"/>
          <w:b w:val="0"/>
          <w:i w:val="0"/>
          <w:sz w:val="22"/>
        </w:rPr>
        <w:t>Quick start commands:</w:t>
      </w:r>
    </w:p>
    <w:p>
      <w:pPr>
        <w:pStyle w:val="NoSpacing"/>
      </w:pPr>
      <w:r>
        <w:rPr>
          <w:rFonts w:ascii="Courier New" w:hAnsi="Courier New"/>
          <w:sz w:val="18"/>
        </w:rPr>
        <w:t># Navigate to project directory</w:t>
        <w:br/>
        <w:t>cd supermarket-analytics</w:t>
        <w:br/>
        <w:br/>
        <w:t># Install dependencies</w:t>
        <w:br/>
        <w:t>pip install -r requirements.txt</w:t>
        <w:br/>
        <w:br/>
        <w:t># Run the dashboard</w:t>
        <w:br/>
        <w:t>streamlit run app.py</w:t>
        <w:br/>
        <w:br/>
        <w:t># Dashboard opens at:</w:t>
        <w:br/>
        <w:t># http://localhost:8501</w:t>
        <w:br/>
      </w:r>
    </w:p>
    <w:p/>
    <w:p/>
    <w:p>
      <w:pPr>
        <w:jc w:val="center"/>
      </w:pPr>
      <w:r>
        <w:rPr>
          <w:b/>
          <w:color w:val="1A1A6E"/>
          <w:sz w:val="24"/>
        </w:rPr>
        <w:t>--- End of Report ---</w:t>
      </w:r>
    </w:p>
    <w:sectPr w:rsidR="00FC693F" w:rsidRPr="0006063C" w:rsidSect="00034616">
      <w:headerReference w:type="default" r:id="rId9"/>
      <w:footerReference w:type="default" r:id="rId10"/>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AICTE | IBM SkillsBuild Data Analytics with AI Internship 2026 | BharatCares   •   Page </w:t>
    </w:r>
    <w:r>
      <w:rPr>
        <w:color w:val="555555"/>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555555"/>
        <w:sz w:val="18"/>
      </w:rPr>
      <w:t>SuperMarket Sales Analytics Dashboard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